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04D97" w14:textId="77777777" w:rsidR="0080133F" w:rsidRPr="0080133F" w:rsidRDefault="0080133F" w:rsidP="0080133F">
      <w:pPr>
        <w:rPr>
          <w:b/>
          <w:bCs/>
        </w:rPr>
      </w:pPr>
      <w:r w:rsidRPr="0080133F">
        <w:rPr>
          <w:b/>
          <w:bCs/>
        </w:rPr>
        <w:t xml:space="preserve">A Commentary on the Opening Declaration of Chapter One of </w:t>
      </w:r>
      <w:r w:rsidRPr="0080133F">
        <w:rPr>
          <w:b/>
          <w:bCs/>
          <w:i/>
          <w:iCs/>
        </w:rPr>
        <w:t>The Rule of Saint Benedict</w:t>
      </w:r>
    </w:p>
    <w:p w14:paraId="484D8BAC" w14:textId="3C56AB6F" w:rsidR="0080133F" w:rsidRPr="0080133F" w:rsidRDefault="0080133F" w:rsidP="0080133F">
      <w:r w:rsidRPr="0080133F">
        <w:t xml:space="preserve">Written in the early sixth century, </w:t>
      </w:r>
      <w:r w:rsidRPr="0080133F">
        <w:rPr>
          <w:i/>
          <w:iCs/>
        </w:rPr>
        <w:t>The Rule of Saint Benedict</w:t>
      </w:r>
      <w:r w:rsidRPr="0080133F">
        <w:t xml:space="preserve"> stands as the most influential guide to monastic life in Western Christianity. Its author, Benedict of Nursia, sought to bring stability and order to communities of monks at a time when monastic practice across Europe was uneven and often unregulated. David Knowles observes that early Western monasticism </w:t>
      </w:r>
      <w:r w:rsidR="005277ED">
        <w:t xml:space="preserve">grew </w:t>
      </w:r>
      <w:r w:rsidRPr="0080133F">
        <w:t xml:space="preserve">from diverse and sometimes conflicting influences, from the Egyptian desert to the writings of John Cassian, producing </w:t>
      </w:r>
      <w:r w:rsidR="0079051B">
        <w:t>multiple disciplines within monastic life.</w:t>
      </w:r>
      <w:r w:rsidR="00A445F3">
        <w:rPr>
          <w:rStyle w:val="FootnoteReference"/>
        </w:rPr>
        <w:footnoteReference w:id="1"/>
      </w:r>
      <w:r w:rsidR="0079051B">
        <w:t xml:space="preserve"> </w:t>
      </w:r>
      <w:r w:rsidRPr="0080133F">
        <w:t>Benedict’s Rule emerged as an answer to that confusion: a text of moderation and discipline, designed to balance spiritual aspiration with practical governance.</w:t>
      </w:r>
    </w:p>
    <w:p w14:paraId="61F41BF3" w14:textId="77777777" w:rsidR="0080133F" w:rsidRPr="0080133F" w:rsidRDefault="0080133F" w:rsidP="0080133F">
      <w:r w:rsidRPr="0080133F">
        <w:t>The first chapter of the Rule, “The Kinds of Monks,” provides a key to Benedict’s wider vision. The opening declaration reads:</w:t>
      </w:r>
    </w:p>
    <w:p w14:paraId="6CE12AA4" w14:textId="05E165C8" w:rsidR="0080133F" w:rsidRPr="0080133F" w:rsidRDefault="0080133F" w:rsidP="0080133F">
      <w:r w:rsidRPr="0080133F">
        <w:t xml:space="preserve">“There are evidently four kinds of monks. </w:t>
      </w:r>
      <w:bookmarkStart w:id="0" w:name="_Int_agDmYuhh"/>
      <w:r w:rsidRPr="0080133F">
        <w:t>The first are the Cenobites, that is, those who live in monasteries, under a Rule and an abbot.</w:t>
      </w:r>
      <w:bookmarkEnd w:id="0"/>
      <w:r w:rsidRPr="0080133F">
        <w:t xml:space="preserve">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r w:rsidR="00A445F3">
        <w:rPr>
          <w:rStyle w:val="FootnoteReference"/>
        </w:rPr>
        <w:footnoteReference w:id="2"/>
      </w:r>
    </w:p>
    <w:p w14:paraId="152DCEF7" w14:textId="77777777" w:rsidR="0080133F" w:rsidRPr="0080133F" w:rsidRDefault="0080133F" w:rsidP="0080133F">
      <w:r w:rsidRPr="0080133F">
        <w:t>This passage does more than list types of monks. It establishes a hierarchy of spiritual life and a structure of authority that would define Western monasticism for centuries.</w:t>
      </w:r>
    </w:p>
    <w:p w14:paraId="02D66ADC" w14:textId="1622A3E4" w:rsidR="0080133F" w:rsidRPr="0080133F" w:rsidRDefault="0080133F" w:rsidP="0080133F">
      <w:r w:rsidRPr="0080133F">
        <w:t xml:space="preserve">Benedict’s first statement, “There are evidently four kinds of monks,” carries quiet authority. The adverb “evidently” implies observation and certainty, as if the categories he presents are universally recognised. Yet in making this classification, Benedict defines the moral and institutional order on which his Rule depends. </w:t>
      </w:r>
      <w:r w:rsidR="009C762A">
        <w:t>Knowles also</w:t>
      </w:r>
      <w:r w:rsidRPr="0080133F">
        <w:t xml:space="preserve"> notes that </w:t>
      </w:r>
      <w:r w:rsidR="009C762A">
        <w:t>that the need existed for a recognised code</w:t>
      </w:r>
      <w:r w:rsidRPr="0080133F">
        <w:t>.”</w:t>
      </w:r>
      <w:r w:rsidR="00A445F3">
        <w:rPr>
          <w:rStyle w:val="FootnoteReference"/>
        </w:rPr>
        <w:footnoteReference w:id="3"/>
      </w:r>
      <w:r w:rsidRPr="0080133F">
        <w:t xml:space="preserve"> Benedict’s </w:t>
      </w:r>
      <w:r w:rsidR="009C762A" w:rsidRPr="0080133F">
        <w:t>classification</w:t>
      </w:r>
      <w:r w:rsidRPr="0080133F">
        <w:t xml:space="preserve"> performs that regulating work: transform</w:t>
      </w:r>
      <w:r w:rsidR="005277ED">
        <w:t>ing</w:t>
      </w:r>
      <w:r w:rsidRPr="0080133F">
        <w:t xml:space="preserve"> variety into order, setting boundaries </w:t>
      </w:r>
      <w:r w:rsidR="003C1468">
        <w:t xml:space="preserve">for </w:t>
      </w:r>
      <w:r w:rsidRPr="0080133F">
        <w:t>legitimate monastic life.</w:t>
      </w:r>
    </w:p>
    <w:p w14:paraId="76CE260D" w14:textId="790444D8" w:rsidR="0080133F" w:rsidRPr="0080133F" w:rsidRDefault="0080133F" w:rsidP="0080133F">
      <w:r w:rsidRPr="0080133F">
        <w:t>The focus on the Cenobite as the first and truest monk shows Benedict’s conviction that obedience and community are the foundations of spiritual growth. These monks “live in monasteries, under a Rule and an abbot.” To live “in monasteries” signals</w:t>
      </w:r>
      <w:r w:rsidR="003C1468">
        <w:t xml:space="preserve"> the</w:t>
      </w:r>
      <w:r w:rsidRPr="0080133F">
        <w:t xml:space="preserve"> </w:t>
      </w:r>
      <w:r w:rsidR="007F504E">
        <w:t xml:space="preserve">importance of </w:t>
      </w:r>
      <w:r w:rsidRPr="0080133F">
        <w:t>stability</w:t>
      </w:r>
      <w:r w:rsidR="00886A6B">
        <w:t xml:space="preserve">, </w:t>
      </w:r>
      <w:r w:rsidRPr="0080133F">
        <w:t xml:space="preserve">which became </w:t>
      </w:r>
      <w:r w:rsidR="007F504E">
        <w:t xml:space="preserve">a foundation </w:t>
      </w:r>
      <w:r w:rsidRPr="0080133F">
        <w:t xml:space="preserve">of Benedictine life. </w:t>
      </w:r>
      <w:r w:rsidR="007F504E">
        <w:t xml:space="preserve">This sentiment </w:t>
      </w:r>
      <w:r w:rsidRPr="0080133F">
        <w:lastRenderedPageBreak/>
        <w:t>contrast</w:t>
      </w:r>
      <w:r w:rsidR="007F504E">
        <w:t>s</w:t>
      </w:r>
      <w:r w:rsidRPr="0080133F">
        <w:t xml:space="preserve"> sharply with the mobility of earlier ascetics</w:t>
      </w:r>
      <w:r w:rsidR="007F504E">
        <w:t xml:space="preserve"> such as followers of the Egyptian Church</w:t>
      </w:r>
      <w:r w:rsidRPr="0080133F">
        <w:t>.</w:t>
      </w:r>
      <w:r w:rsidR="00A445F3">
        <w:rPr>
          <w:rStyle w:val="FootnoteReference"/>
        </w:rPr>
        <w:footnoteReference w:id="4"/>
      </w:r>
      <w:r w:rsidRPr="0080133F">
        <w:t xml:space="preserve"> Stability binds the monk to community and to perseverance in faith.</w:t>
      </w:r>
      <w:r w:rsidR="00A445F3">
        <w:rPr>
          <w:rStyle w:val="FootnoteReference"/>
        </w:rPr>
        <w:footnoteReference w:id="5"/>
      </w:r>
    </w:p>
    <w:p w14:paraId="5D96C067" w14:textId="33D21405" w:rsidR="0080133F" w:rsidRPr="0080133F" w:rsidRDefault="0080133F" w:rsidP="0080133F">
      <w:r w:rsidRPr="0080133F">
        <w:t>The phrase “under a Rule and an abbot” encapsulates Benedict’s theology of obedience. The preposition “under” suggests hierarchy and dependence, yet also protection. Within the monastery, authority is not arbitrary but sacramental</w:t>
      </w:r>
      <w:r w:rsidR="00760E58">
        <w:t>;</w:t>
      </w:r>
      <w:r w:rsidR="007F504E">
        <w:t xml:space="preserve"> </w:t>
      </w:r>
      <w:r w:rsidRPr="0080133F">
        <w:t>the abbot represents Christ, and the Rule embodies divine order.</w:t>
      </w:r>
      <w:r w:rsidR="00A445F3">
        <w:rPr>
          <w:rStyle w:val="FootnoteReference"/>
        </w:rPr>
        <w:footnoteReference w:id="6"/>
      </w:r>
      <w:r w:rsidRPr="0080133F">
        <w:t xml:space="preserve"> Benedict thus transforms submission into a path to spiritual freedom. Knowles interprets this as a deliberate correction to the extremes of earlier asceticism, replacing solitary struggle with communal discipline grounded in humility.</w:t>
      </w:r>
      <w:r w:rsidR="00A445F3">
        <w:rPr>
          <w:rStyle w:val="FootnoteReference"/>
        </w:rPr>
        <w:footnoteReference w:id="7"/>
      </w:r>
    </w:p>
    <w:p w14:paraId="2EFC72E4" w14:textId="3A27B191" w:rsidR="0080133F" w:rsidRPr="0080133F" w:rsidRDefault="0080133F" w:rsidP="0080133F">
      <w:r w:rsidRPr="0080133F">
        <w:t>In defining the Cenobite first, Benedict establishes his model of authentic Christian life: obedience lived in community. The monastery functions as what Benedict later calls a “school for the Lord’s service,” where monks learn to overcome self-will through shared discipline.</w:t>
      </w:r>
      <w:r w:rsidR="00A445F3">
        <w:rPr>
          <w:rStyle w:val="FootnoteReference"/>
        </w:rPr>
        <w:footnoteReference w:id="8"/>
      </w:r>
      <w:r w:rsidRPr="0080133F">
        <w:t xml:space="preserve"> The Rule provides the framework</w:t>
      </w:r>
      <w:r w:rsidR="000B0D51">
        <w:t xml:space="preserve">: </w:t>
      </w:r>
      <w:r w:rsidRPr="0080133F">
        <w:t xml:space="preserve">times of prayer, manual labour, </w:t>
      </w:r>
      <w:r w:rsidR="00760E58">
        <w:t xml:space="preserve">and </w:t>
      </w:r>
      <w:r w:rsidRPr="0080133F">
        <w:t>silence</w:t>
      </w:r>
      <w:r w:rsidR="000B0D51">
        <w:t xml:space="preserve">, </w:t>
      </w:r>
      <w:r w:rsidRPr="0080133F">
        <w:t>through which virtue is formed in daily routine.</w:t>
      </w:r>
    </w:p>
    <w:p w14:paraId="25D05D49" w14:textId="6549C037" w:rsidR="0080133F" w:rsidRPr="0080133F" w:rsidRDefault="0080133F" w:rsidP="0080133F">
      <w:r w:rsidRPr="0080133F">
        <w:t>Benedict’s prioritising of community reflects broader social and spiritual insight</w:t>
      </w:r>
      <w:r w:rsidR="003C1468">
        <w:t>s</w:t>
      </w:r>
      <w:r w:rsidRPr="0080133F">
        <w:t xml:space="preserve">. </w:t>
      </w:r>
      <w:r w:rsidR="005277ED">
        <w:t>I</w:t>
      </w:r>
      <w:r w:rsidRPr="0080133F">
        <w:t xml:space="preserve">n the post-Roman world, where institutions were fragile, the monastery </w:t>
      </w:r>
      <w:r w:rsidR="007630E1">
        <w:t>“</w:t>
      </w:r>
      <w:r w:rsidR="007630E1" w:rsidRPr="007630E1">
        <w:t>became a nucleus that could escape destruction when towns were destroyed, and that could receive gifts and prosper in times of peace</w:t>
      </w:r>
      <w:r w:rsidRPr="0080133F">
        <w:t>.”</w:t>
      </w:r>
      <w:r w:rsidR="00A445F3">
        <w:rPr>
          <w:rStyle w:val="FootnoteReference"/>
        </w:rPr>
        <w:footnoteReference w:id="9"/>
      </w:r>
      <w:r w:rsidRPr="0080133F">
        <w:t xml:space="preserve"> Within its walls, obedience replaced chaos, humility overcame pride, and collective discipline restored moral order. </w:t>
      </w:r>
      <w:r w:rsidR="003C1468">
        <w:t>T</w:t>
      </w:r>
      <w:r w:rsidRPr="0080133F">
        <w:t>he monastery was not an escape from the world</w:t>
      </w:r>
      <w:r w:rsidR="003C1468">
        <w:t>,</w:t>
      </w:r>
      <w:r w:rsidRPr="0080133F">
        <w:t xml:space="preserve"> but a model for its renewal. The Cenobite represents not only a religious ideal but a social one</w:t>
      </w:r>
      <w:r w:rsidR="007630E1">
        <w:t>;</w:t>
      </w:r>
      <w:r w:rsidRPr="0080133F">
        <w:t xml:space="preserve"> the belief that holiness is achieved through cooperation and mutual service rather than solitary pursuit.</w:t>
      </w:r>
    </w:p>
    <w:p w14:paraId="60F4B980" w14:textId="4DF61AFC" w:rsidR="0080133F" w:rsidRPr="0080133F" w:rsidRDefault="0080133F" w:rsidP="0080133F">
      <w:r w:rsidRPr="0080133F">
        <w:t>The second kind of monk, the Anchorite or hermit, contrast</w:t>
      </w:r>
      <w:r w:rsidR="003C1468">
        <w:t>s strikingly</w:t>
      </w:r>
      <w:r w:rsidRPr="0080133F">
        <w:t>. Benedict describes those who, “not in the first fervour of their conversion, but after long probation in a monastery… go out well armed from the ranks of the community to the solitary combat of the desert.”</w:t>
      </w:r>
      <w:r w:rsidR="00A445F3">
        <w:rPr>
          <w:rStyle w:val="FootnoteReference"/>
        </w:rPr>
        <w:footnoteReference w:id="10"/>
      </w:r>
      <w:r w:rsidRPr="0080133F">
        <w:t xml:space="preserve"> The sentence </w:t>
      </w:r>
      <w:r w:rsidR="003C1468">
        <w:t xml:space="preserve">structure </w:t>
      </w:r>
      <w:r w:rsidRPr="0080133F">
        <w:t>itself teaches restraint. The repetition of “not… but after long probation” suggests measured progression from zeal to maturity. Solitude is not an impulsive act of devotion but the reward of long obedience.</w:t>
      </w:r>
      <w:r w:rsidR="00A445F3">
        <w:rPr>
          <w:rStyle w:val="FootnoteReference"/>
        </w:rPr>
        <w:footnoteReference w:id="11"/>
      </w:r>
    </w:p>
    <w:p w14:paraId="277D4DE6" w14:textId="4E3EAEDE" w:rsidR="0080133F" w:rsidRPr="0080133F" w:rsidRDefault="0080133F" w:rsidP="0080133F">
      <w:r w:rsidRPr="0080133F">
        <w:t xml:space="preserve">Benedict’s martial </w:t>
      </w:r>
      <w:r w:rsidR="000B62C5" w:rsidRPr="0080133F">
        <w:t>imagery</w:t>
      </w:r>
      <w:r w:rsidR="000B62C5">
        <w:t xml:space="preserve">: </w:t>
      </w:r>
      <w:r w:rsidRPr="0080133F">
        <w:t>“well armed,” “ranks,” and “combat”</w:t>
      </w:r>
      <w:r w:rsidR="000B62C5">
        <w:t xml:space="preserve">, </w:t>
      </w:r>
      <w:r w:rsidRPr="0080133F">
        <w:t xml:space="preserve">reflects his understanding of spiritual life as disciplined struggle. The monastery is a training ground </w:t>
      </w:r>
      <w:r w:rsidRPr="0080133F">
        <w:lastRenderedPageBreak/>
        <w:t>where monks learn to fight temptation “in association with many brethren.”</w:t>
      </w:r>
      <w:r w:rsidR="00A445F3">
        <w:rPr>
          <w:rStyle w:val="FootnoteReference"/>
        </w:rPr>
        <w:footnoteReference w:id="12"/>
      </w:r>
      <w:r w:rsidRPr="0080133F">
        <w:t xml:space="preserve"> Only when the battle is inwardly mastered can the hermit face solitude safely. This contrasts with the more spontaneous or individualistic ascetics of the Egyptian desert, whose examples inspired but worried later monastic leaders.</w:t>
      </w:r>
    </w:p>
    <w:p w14:paraId="0D2247B3" w14:textId="6AC4BB10" w:rsidR="0080133F" w:rsidRPr="0080133F" w:rsidRDefault="0080133F" w:rsidP="0080133F">
      <w:r w:rsidRPr="0080133F">
        <w:t>When Benedict writes that hermits can now live “without the help of others, and by their own strength and God’s assistance,” he expresses a careful balance between divine grace and human discipline.</w:t>
      </w:r>
      <w:r w:rsidR="00A445F3">
        <w:rPr>
          <w:rStyle w:val="FootnoteReference"/>
        </w:rPr>
        <w:footnoteReference w:id="13"/>
      </w:r>
      <w:r w:rsidRPr="0080133F">
        <w:t xml:space="preserve"> The phrase joins independence and dependence</w:t>
      </w:r>
      <w:r w:rsidR="00760E58">
        <w:t>;</w:t>
      </w:r>
      <w:r w:rsidR="00760E58" w:rsidRPr="0080133F">
        <w:t xml:space="preserve"> </w:t>
      </w:r>
      <w:r w:rsidRPr="0080133F">
        <w:t>the hermit acts “by their own strength” only because that strength has been formed in community.</w:t>
      </w:r>
      <w:r w:rsidR="00A445F3">
        <w:rPr>
          <w:rStyle w:val="FootnoteReference"/>
        </w:rPr>
        <w:footnoteReference w:id="14"/>
      </w:r>
      <w:r w:rsidR="0032702B">
        <w:t xml:space="preserve"> This lends validity to </w:t>
      </w:r>
      <w:r w:rsidR="004765A8">
        <w:t>B</w:t>
      </w:r>
      <w:r w:rsidR="0032702B">
        <w:t>enedict’s central paradox that obedience creates the only true freedom</w:t>
      </w:r>
      <w:r w:rsidR="004765A8">
        <w:t>,</w:t>
      </w:r>
      <w:r w:rsidR="0032702B">
        <w:t xml:space="preserve"> </w:t>
      </w:r>
      <w:r w:rsidR="004765A8">
        <w:t>a</w:t>
      </w:r>
      <w:r w:rsidR="0032702B">
        <w:t xml:space="preserve">nd the disciplined </w:t>
      </w:r>
      <w:r w:rsidR="004765A8">
        <w:t xml:space="preserve">monk </w:t>
      </w:r>
      <w:r w:rsidR="0032702B">
        <w:t xml:space="preserve">becomes capable of solitude once he has internalised the </w:t>
      </w:r>
      <w:r w:rsidR="003C1468">
        <w:t>R</w:t>
      </w:r>
      <w:r w:rsidR="0032702B">
        <w:t>ule.</w:t>
      </w:r>
      <w:r w:rsidRPr="0080133F">
        <w:t xml:space="preserve"> </w:t>
      </w:r>
    </w:p>
    <w:p w14:paraId="6F21A31C" w14:textId="610A7AD6" w:rsidR="0080133F" w:rsidRPr="0080133F" w:rsidRDefault="0080133F" w:rsidP="00F40982">
      <w:r w:rsidRPr="0080133F">
        <w:t>By presenting the Cenobite and the Anchorite first, Benedict defines the legitimate forms of monastic life before turning</w:t>
      </w:r>
      <w:r w:rsidR="0032702B">
        <w:t xml:space="preserve"> </w:t>
      </w:r>
      <w:r w:rsidRPr="0080133F">
        <w:t>to false and disordered kinds</w:t>
      </w:r>
      <w:r w:rsidR="0032702B">
        <w:t xml:space="preserve"> later in the chapter</w:t>
      </w:r>
      <w:r w:rsidRPr="0080133F">
        <w:t xml:space="preserve">. The implied contrast already carries moral weight: the obedient monk stands for order, while the self-directed stands for pride and instability. </w:t>
      </w:r>
      <w:r w:rsidR="005277ED">
        <w:t>W</w:t>
      </w:r>
      <w:r w:rsidR="00F40982">
        <w:t xml:space="preserve">ithin </w:t>
      </w:r>
      <w:r w:rsidRPr="0080133F">
        <w:t xml:space="preserve">this structure </w:t>
      </w:r>
      <w:r w:rsidR="00F40982" w:rsidRPr="00F40982">
        <w:t xml:space="preserve">traditional eastern forms of </w:t>
      </w:r>
      <w:r w:rsidR="00F40982" w:rsidRPr="004765A8">
        <w:t>monastic life “need not be at opposite extremes of the monastic experience</w:t>
      </w:r>
      <w:r w:rsidRPr="004765A8">
        <w:t>.” The Rule’s opening thus functions as both theology and governance</w:t>
      </w:r>
      <w:r w:rsidR="000E4402" w:rsidRPr="004765A8">
        <w:t xml:space="preserve">, </w:t>
      </w:r>
      <w:r w:rsidRPr="004765A8">
        <w:t>a spiritual taxonomy designed to safeguard unity.</w:t>
      </w:r>
      <w:r w:rsidR="00A445F3" w:rsidRPr="004765A8">
        <w:rPr>
          <w:rStyle w:val="FootnoteReference"/>
        </w:rPr>
        <w:footnoteReference w:id="15"/>
      </w:r>
    </w:p>
    <w:p w14:paraId="2A4AE1B7" w14:textId="6D43AEF6" w:rsidR="0080133F" w:rsidRPr="0080133F" w:rsidRDefault="0080133F" w:rsidP="0080133F">
      <w:r w:rsidRPr="0080133F">
        <w:t>The influence of this opening declaration</w:t>
      </w:r>
      <w:r w:rsidR="00A445F3">
        <w:t xml:space="preserve"> of </w:t>
      </w:r>
      <w:r w:rsidR="00A445F3" w:rsidRPr="0080133F">
        <w:t>Benedict’s Rule</w:t>
      </w:r>
      <w:r w:rsidRPr="0080133F">
        <w:t xml:space="preserve"> reaches far beyond its immediate historical moment</w:t>
      </w:r>
      <w:r w:rsidR="00A445F3">
        <w:t xml:space="preserve"> </w:t>
      </w:r>
      <w:r w:rsidRPr="0080133F">
        <w:t>as a pattern for the ordering of Christian life itself</w:t>
      </w:r>
      <w:r w:rsidR="00A445F3">
        <w:t>,</w:t>
      </w:r>
      <w:r w:rsidRPr="0080133F">
        <w:t xml:space="preserve"> extending its principles beyond monastic walls. In the centuries that followed, monasteries became centres of learning, charity, and stability, embodying the order Benedict had described in miniature. </w:t>
      </w:r>
      <w:r w:rsidR="003A191A">
        <w:t>T</w:t>
      </w:r>
      <w:r w:rsidRPr="0080133F">
        <w:t xml:space="preserve">hese institutions </w:t>
      </w:r>
      <w:r w:rsidR="003A191A">
        <w:t xml:space="preserve">provided a model example of </w:t>
      </w:r>
      <w:r w:rsidRPr="0080133F">
        <w:t xml:space="preserve">prayer </w:t>
      </w:r>
      <w:r w:rsidR="003A191A">
        <w:t>and</w:t>
      </w:r>
      <w:r w:rsidRPr="0080133F">
        <w:t xml:space="preserve"> civilisation </w:t>
      </w:r>
      <w:r w:rsidR="003A191A">
        <w:t xml:space="preserve">combining </w:t>
      </w:r>
      <w:r w:rsidRPr="0080133F">
        <w:t>spiritual discipline to cultural endurance.</w:t>
      </w:r>
    </w:p>
    <w:p w14:paraId="15C1F084" w14:textId="589C14B1" w:rsidR="0080133F" w:rsidRPr="0080133F" w:rsidRDefault="0080133F" w:rsidP="0080133F">
      <w:r w:rsidRPr="0080133F">
        <w:t>In an age of social fragmentation, the monastery’s rhythm of prayer and labour represented a form of harmony between the human and divine. The first paragraph of Chapter One, anticipates this synthesis: from the ordered community of Cenobites to the mature solitude of Anchorites, Benedict outlines a spiritual journey grounded in discipline and completed in grace.</w:t>
      </w:r>
    </w:p>
    <w:p w14:paraId="1CC0DFB4" w14:textId="68D599F2" w:rsidR="0080133F" w:rsidRPr="0080133F" w:rsidRDefault="0080133F" w:rsidP="0080133F">
      <w:r w:rsidRPr="0080133F">
        <w:t xml:space="preserve">The opening of Chapter One of </w:t>
      </w:r>
      <w:r w:rsidRPr="0080133F">
        <w:rPr>
          <w:i/>
          <w:iCs/>
        </w:rPr>
        <w:t>The Rule of Saint Benedict</w:t>
      </w:r>
      <w:r w:rsidRPr="0080133F">
        <w:t xml:space="preserve"> is more than a description of monastic types; it is a declaration of principle. By defining the Cenobite as the ideal monk, Benedict sets obedience, humility, and community at the heart of the Christian path. The Anchorite, disciplined and “well armed,” embodies the fulfilment of that path in solitude sustained by God. Through these classifications, Benedict establishes a </w:t>
      </w:r>
      <w:r w:rsidRPr="0080133F">
        <w:lastRenderedPageBreak/>
        <w:t>theology of order that shaped the development of Western monasticism and</w:t>
      </w:r>
      <w:r w:rsidR="004765A8">
        <w:t xml:space="preserve"> </w:t>
      </w:r>
      <w:r w:rsidRPr="0080133F">
        <w:t>medieval Christian society.</w:t>
      </w:r>
    </w:p>
    <w:p w14:paraId="369BD907" w14:textId="3DDEAC97" w:rsidR="0080133F" w:rsidRPr="0080133F" w:rsidRDefault="0080133F" w:rsidP="0080133F"/>
    <w:p w14:paraId="55131DC7" w14:textId="14222641" w:rsidR="00A445F3" w:rsidRDefault="0080133F" w:rsidP="00A445F3">
      <w:r w:rsidRPr="0080133F">
        <w:br/>
      </w:r>
    </w:p>
    <w:p w14:paraId="6E3765C5" w14:textId="249D1DAC" w:rsidR="00A445F3" w:rsidRDefault="00A445F3">
      <w:r>
        <w:br w:type="page"/>
      </w:r>
    </w:p>
    <w:p w14:paraId="1EE549C4" w14:textId="77777777" w:rsidR="00A445F3" w:rsidRPr="00E10DD7" w:rsidRDefault="00A445F3" w:rsidP="00A445F3">
      <w:pPr>
        <w:rPr>
          <w:b/>
          <w:bCs/>
        </w:rPr>
      </w:pPr>
      <w:r w:rsidRPr="00B00D90">
        <w:rPr>
          <w:b/>
          <w:bCs/>
        </w:rPr>
        <w:lastRenderedPageBreak/>
        <w:t>Commentary on the Architectural Development and Spatial Design of Tintern Abbey</w:t>
      </w:r>
    </w:p>
    <w:p w14:paraId="5D4BB3ED" w14:textId="77777777" w:rsidR="00A445F3" w:rsidRDefault="00A445F3" w:rsidP="00A445F3">
      <w:pPr>
        <w:keepNext/>
      </w:pPr>
      <w:r w:rsidRPr="00E10DD7">
        <w:rPr>
          <w:rFonts w:ascii="Calibri" w:hAnsi="Calibri" w:cs="Calibri"/>
          <w:noProof/>
        </w:rPr>
        <w:drawing>
          <wp:inline distT="0" distB="0" distL="0" distR="0" wp14:anchorId="2E80D44E" wp14:editId="1F5D8E8D">
            <wp:extent cx="5327015" cy="5103495"/>
            <wp:effectExtent l="0" t="0" r="6985" b="1905"/>
            <wp:docPr id="339418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7015" cy="5103495"/>
                    </a:xfrm>
                    <a:prstGeom prst="rect">
                      <a:avLst/>
                    </a:prstGeom>
                    <a:noFill/>
                    <a:ln>
                      <a:noFill/>
                    </a:ln>
                  </pic:spPr>
                </pic:pic>
              </a:graphicData>
            </a:graphic>
          </wp:inline>
        </w:drawing>
      </w:r>
    </w:p>
    <w:p w14:paraId="3C426F21" w14:textId="59B3B442" w:rsidR="00A445F3" w:rsidRPr="00B00D90" w:rsidRDefault="00A445F3" w:rsidP="00A445F3">
      <w:pPr>
        <w:pStyle w:val="Caption"/>
        <w:rPr>
          <w:b/>
          <w:bCs/>
        </w:rPr>
      </w:pPr>
      <w:r>
        <w:t>Figure 1: Tintern Abbey Ground Floorplan</w:t>
      </w:r>
      <w:r>
        <w:rPr>
          <w:rStyle w:val="EndnoteReference"/>
        </w:rPr>
        <w:endnoteReference w:id="1"/>
      </w:r>
      <w:r>
        <w:rPr>
          <w:rStyle w:val="FootnoteReference"/>
          <w:b/>
          <w:bCs/>
        </w:rPr>
        <w:footnoteReference w:id="16"/>
      </w:r>
    </w:p>
    <w:p w14:paraId="5BAE0B45" w14:textId="10BF4E9A" w:rsidR="00A445F3" w:rsidRPr="00B00D90" w:rsidRDefault="00A445F3" w:rsidP="00A445F3">
      <w:r w:rsidRPr="00B00D90">
        <w:t>Founded in 1131 by Walter de Clare on the west bank of the River Wye in Monmouthshire, Tintern Abbey stands as one of the most complete and instructive examples of Cistercian monastic architecture in Britain. Its architectural evolution</w:t>
      </w:r>
      <w:r w:rsidRPr="00E10DD7">
        <w:t xml:space="preserve">, </w:t>
      </w:r>
      <w:r w:rsidRPr="00B00D90">
        <w:t>from a modest twelfth-century foundation into a major Gothic complex by the early fourteenth century</w:t>
      </w:r>
      <w:r w:rsidRPr="00E10DD7">
        <w:t xml:space="preserve">, </w:t>
      </w:r>
      <w:r w:rsidRPr="00B00D90">
        <w:t xml:space="preserve">reveals stylistic transformation </w:t>
      </w:r>
      <w:r w:rsidR="00B248C1">
        <w:t xml:space="preserve">and </w:t>
      </w:r>
      <w:r w:rsidRPr="00B00D90">
        <w:t>how ideals of the Cistercian order were embedded in its spatial design. The abbey embodies the Cistercian pursuit of simplicity, moderation, and seclusion.</w:t>
      </w:r>
      <w:r w:rsidRPr="00E10DD7">
        <w:t xml:space="preserve"> It was imperative the positioning of these buildings performed both a practical and religiously efficient sequence.</w:t>
      </w:r>
      <w:r>
        <w:rPr>
          <w:rStyle w:val="FootnoteReference"/>
        </w:rPr>
        <w:footnoteReference w:id="17"/>
      </w:r>
      <w:r w:rsidRPr="00B00D90">
        <w:t xml:space="preserve"> </w:t>
      </w:r>
    </w:p>
    <w:p w14:paraId="3EF33E71" w14:textId="64885A43" w:rsidR="00A445F3" w:rsidRPr="00B00D90" w:rsidRDefault="00A445F3" w:rsidP="00A445F3">
      <w:r w:rsidRPr="00B00D90">
        <w:lastRenderedPageBreak/>
        <w:t>Tintern Abbey</w:t>
      </w:r>
      <w:r w:rsidR="00B248C1">
        <w:t>’s development</w:t>
      </w:r>
      <w:r w:rsidRPr="00B00D90">
        <w:t xml:space="preserve"> occurred in distinct phases, each reflecting practical necessity and the order’s theological emphasis on restraint. The earliest phase, dating from its foundation in 1131 until the mid-twelfth century, saw monks from </w:t>
      </w:r>
      <w:proofErr w:type="spellStart"/>
      <w:r w:rsidRPr="00B00D90">
        <w:t>L’Aumône</w:t>
      </w:r>
      <w:proofErr w:type="spellEnd"/>
      <w:r w:rsidRPr="00B00D90">
        <w:t xml:space="preserve"> in France establish a small community on land granted by the Norman lord of Chepstow. The initial complex was constructed in timber or rubble masonry, with a simple church, cloister, dormitory, and refectory.</w:t>
      </w:r>
      <w:r>
        <w:rPr>
          <w:rStyle w:val="FootnoteReference"/>
        </w:rPr>
        <w:footnoteReference w:id="18"/>
      </w:r>
      <w:r w:rsidRPr="00B00D90">
        <w:t xml:space="preserve"> </w:t>
      </w:r>
      <w:r w:rsidR="00B76678">
        <w:t>T</w:t>
      </w:r>
      <w:r w:rsidRPr="00B00D90">
        <w:t>hese early structures were temporary and later replaced by stone buildings as the community grew.</w:t>
      </w:r>
      <w:r>
        <w:rPr>
          <w:rStyle w:val="FootnoteReference"/>
        </w:rPr>
        <w:footnoteReference w:id="19"/>
      </w:r>
      <w:r w:rsidRPr="00B00D90">
        <w:t xml:space="preserve"> </w:t>
      </w:r>
      <w:r w:rsidR="00B248C1">
        <w:t>S</w:t>
      </w:r>
      <w:r w:rsidRPr="00B00D90">
        <w:t>uch humble beginnings were typical of Cistercian foundations</w:t>
      </w:r>
      <w:r w:rsidRPr="00E10DD7">
        <w:t xml:space="preserve"> where</w:t>
      </w:r>
      <w:r w:rsidRPr="00B00D90">
        <w:t xml:space="preserve"> “</w:t>
      </w:r>
      <w:r w:rsidRPr="00E10DD7">
        <w:t>a single small straggling group of apartments, all on a single ground-floor level and without any conventional plan, in which the monks could pass in a few seconds from oratory to dormitory or refectory</w:t>
      </w:r>
      <w:r w:rsidR="00B76678">
        <w:t>.</w:t>
      </w:r>
      <w:r w:rsidRPr="00E10DD7">
        <w:t xml:space="preserve">” </w:t>
      </w:r>
      <w:r w:rsidRPr="00B00D90">
        <w:t>This initial simplicity reflected the order’s rejection of monastic opulence and emphasis on manual work and self-sufficiency.</w:t>
      </w:r>
      <w:r>
        <w:rPr>
          <w:rStyle w:val="FootnoteReference"/>
        </w:rPr>
        <w:footnoteReference w:id="20"/>
      </w:r>
    </w:p>
    <w:p w14:paraId="14AF4FDE" w14:textId="645F2EEF" w:rsidR="00A445F3" w:rsidRPr="00B00D90" w:rsidRDefault="00A445F3" w:rsidP="00A445F3">
      <w:r w:rsidRPr="00B00D90">
        <w:t xml:space="preserve">By the late twelfth and early thirteenth centuries, Tintern entered a sustained period of rebuilding. The </w:t>
      </w:r>
      <w:r w:rsidR="00B248C1">
        <w:t>plan</w:t>
      </w:r>
      <w:r w:rsidRPr="00B00D90">
        <w:t xml:space="preserve"> shows this stage</w:t>
      </w:r>
      <w:r w:rsidRPr="00E10DD7">
        <w:t xml:space="preserve"> </w:t>
      </w:r>
      <w:r w:rsidRPr="00B00D90">
        <w:t>as a phase of consolidation, with the reconstruction of the cloister, chapter house, and domestic ranges. The adoption of stone vaulting and a more regular quadrangular plan reflected both economic stability and maturing architectural ambition.</w:t>
      </w:r>
      <w:r>
        <w:rPr>
          <w:rStyle w:val="FootnoteReference"/>
        </w:rPr>
        <w:footnoteReference w:id="21"/>
      </w:r>
      <w:r w:rsidRPr="00B00D90">
        <w:t xml:space="preserve"> By </w:t>
      </w:r>
      <w:r w:rsidRPr="00E10DD7">
        <w:t>the thirteenth century</w:t>
      </w:r>
      <w:r w:rsidRPr="00B00D90">
        <w:t>, Tintern’s estates covered more than 3,000 acres and supported roughly 3,000 sheep.</w:t>
      </w:r>
      <w:r>
        <w:rPr>
          <w:rStyle w:val="FootnoteReference"/>
        </w:rPr>
        <w:footnoteReference w:id="22"/>
      </w:r>
      <w:r w:rsidRPr="00B00D90">
        <w:t xml:space="preserve"> The most significant transformation came between c. 1269 and 1301, when the Gothic church was built under Roger Bigod III, Earl of Norfolk and Lord of Chepstow.</w:t>
      </w:r>
      <w:r w:rsidRPr="00E10DD7">
        <w:t xml:space="preserve"> </w:t>
      </w:r>
      <w:r w:rsidRPr="00B00D90">
        <w:t>Its east end was in use by 1288</w:t>
      </w:r>
      <w:r w:rsidRPr="00E10DD7">
        <w:t>.</w:t>
      </w:r>
      <w:r>
        <w:rPr>
          <w:rStyle w:val="FootnoteReference"/>
        </w:rPr>
        <w:footnoteReference w:id="23"/>
      </w:r>
      <w:r w:rsidRPr="00B00D90">
        <w:t xml:space="preserve"> Cistercian houses did not reject architectural beauty outright; </w:t>
      </w:r>
      <w:r w:rsidRPr="00E10DD7">
        <w:t>however</w:t>
      </w:r>
      <w:r w:rsidRPr="00B00D90">
        <w:t xml:space="preserve">, </w:t>
      </w:r>
      <w:r w:rsidRPr="00E10DD7">
        <w:t>“Within the monastic buildings, the first impression is of peace, plainness and practical good sense.”</w:t>
      </w:r>
      <w:r>
        <w:rPr>
          <w:rStyle w:val="FootnoteReference"/>
        </w:rPr>
        <w:footnoteReference w:id="24"/>
      </w:r>
    </w:p>
    <w:p w14:paraId="2497B0D2" w14:textId="35A9643B" w:rsidR="00A445F3" w:rsidRPr="00B00D90" w:rsidRDefault="004A5C20" w:rsidP="00A445F3">
      <w:r>
        <w:t>M</w:t>
      </w:r>
      <w:r w:rsidR="00A445F3" w:rsidRPr="00B00D90">
        <w:t xml:space="preserve">odifications in the fourteenth and fifteenth centuries show Tintern adapting to shifting monastic and social conditions. The plan records extensions to the lay brothers’ quarters, improvements to kitchens and guest halls, and the insertion of a fourteenth-century </w:t>
      </w:r>
      <w:proofErr w:type="spellStart"/>
      <w:r w:rsidR="00A445F3" w:rsidRPr="00B00D90">
        <w:t>pulpitum</w:t>
      </w:r>
      <w:proofErr w:type="spellEnd"/>
      <w:r w:rsidR="00A445F3" w:rsidRPr="00B00D90">
        <w:t xml:space="preserve"> screen separating </w:t>
      </w:r>
      <w:r w:rsidR="00A445F3" w:rsidRPr="00E10DD7">
        <w:t xml:space="preserve">the </w:t>
      </w:r>
      <w:r w:rsidR="00A445F3" w:rsidRPr="00B00D90">
        <w:t>choir from</w:t>
      </w:r>
      <w:r w:rsidR="00A445F3" w:rsidRPr="00E10DD7">
        <w:t xml:space="preserve"> the</w:t>
      </w:r>
      <w:r w:rsidR="00A445F3" w:rsidRPr="00B00D90">
        <w:t xml:space="preserve"> nave.</w:t>
      </w:r>
      <w:r w:rsidR="00A445F3">
        <w:rPr>
          <w:rStyle w:val="FootnoteReference"/>
        </w:rPr>
        <w:footnoteReference w:id="25"/>
      </w:r>
      <w:r w:rsidR="00A445F3" w:rsidRPr="00B00D90">
        <w:t xml:space="preserve"> Political and demographic upheavals, such as the </w:t>
      </w:r>
      <w:proofErr w:type="spellStart"/>
      <w:r w:rsidR="00A445F3" w:rsidRPr="00B00D90">
        <w:t>Glyndŵr</w:t>
      </w:r>
      <w:proofErr w:type="spellEnd"/>
      <w:r w:rsidR="00A445F3" w:rsidRPr="00B00D90">
        <w:t xml:space="preserve"> rebellion and Black Death, curtailed further major building.</w:t>
      </w:r>
      <w:r w:rsidR="00A445F3">
        <w:rPr>
          <w:rStyle w:val="FootnoteReference"/>
        </w:rPr>
        <w:footnoteReference w:id="26"/>
      </w:r>
      <w:r w:rsidR="00A445F3" w:rsidRPr="00B00D90">
        <w:t xml:space="preserve"> </w:t>
      </w:r>
      <w:r w:rsidR="00A445F3" w:rsidRPr="00E10DD7">
        <w:t>The Cistercians had a strong affinity with their surroundings</w:t>
      </w:r>
      <w:r w:rsidR="00B76678">
        <w:t>;</w:t>
      </w:r>
      <w:r w:rsidR="00A445F3" w:rsidRPr="00E10DD7">
        <w:t xml:space="preserve"> </w:t>
      </w:r>
      <w:r w:rsidR="00B76678">
        <w:t>t</w:t>
      </w:r>
      <w:r w:rsidR="00A445F3" w:rsidRPr="00E10DD7">
        <w:t xml:space="preserve">he physical environment was ‘a window onto the divine’ and the </w:t>
      </w:r>
      <w:r w:rsidR="00B76678">
        <w:t>landscape’s taming</w:t>
      </w:r>
      <w:r w:rsidR="00A445F3" w:rsidRPr="00E10DD7">
        <w:t xml:space="preserve"> </w:t>
      </w:r>
      <w:r w:rsidR="00A445F3" w:rsidRPr="00E10DD7">
        <w:lastRenderedPageBreak/>
        <w:t>was symbolic of the soul’s return to god.</w:t>
      </w:r>
      <w:r w:rsidR="00A445F3">
        <w:rPr>
          <w:rStyle w:val="FootnoteReference"/>
        </w:rPr>
        <w:footnoteReference w:id="27"/>
      </w:r>
      <w:r w:rsidR="00A445F3" w:rsidRPr="00B00D90">
        <w:t xml:space="preserve"> Tintern’s later additions, though modest, exemplify this resilience. The dissolution of the abbey in 1536 marked its final transformation from living monastery to enduring ruin.</w:t>
      </w:r>
      <w:r w:rsidR="00A445F3">
        <w:rPr>
          <w:rStyle w:val="FootnoteReference"/>
        </w:rPr>
        <w:footnoteReference w:id="28"/>
      </w:r>
    </w:p>
    <w:p w14:paraId="6A673277" w14:textId="073A940B" w:rsidR="00A445F3" w:rsidRPr="00B00D90" w:rsidRDefault="00A445F3" w:rsidP="00A445F3">
      <w:r w:rsidRPr="00B00D90">
        <w:t>Tintern</w:t>
      </w:r>
      <w:r w:rsidRPr="00E10DD7">
        <w:t xml:space="preserve"> Abbey, </w:t>
      </w:r>
      <w:r w:rsidRPr="00B00D90">
        <w:t xml:space="preserve">within Wye Valley, occupied a fertile yet secluded landscape </w:t>
      </w:r>
      <w:r w:rsidRPr="00E10DD7">
        <w:t xml:space="preserve">which </w:t>
      </w:r>
      <w:r w:rsidRPr="00B00D90">
        <w:t xml:space="preserve">captures the Cistercian balance between isolation and practicality. The river supplied water and power, while surrounding pastures provided sustenance and economic opportunity. </w:t>
      </w:r>
      <w:r w:rsidRPr="00E10DD7">
        <w:t>Brooke</w:t>
      </w:r>
      <w:r w:rsidRPr="00B00D90">
        <w:t xml:space="preserve"> describes the Cistercian preference for </w:t>
      </w:r>
      <w:r w:rsidRPr="00E10DD7">
        <w:t>“self-supporting, to be separate islands cut off from the world</w:t>
      </w:r>
      <w:r w:rsidRPr="00B00D90">
        <w:t>”</w:t>
      </w:r>
      <w:r w:rsidRPr="00E10DD7">
        <w:t>,</w:t>
      </w:r>
      <w:r w:rsidRPr="00B00D90">
        <w:t xml:space="preserve"> places withdrawn from worldly distraction yet </w:t>
      </w:r>
      <w:r w:rsidR="004A5C20">
        <w:t xml:space="preserve">able </w:t>
      </w:r>
      <w:r w:rsidRPr="00B00D90">
        <w:t>to sustain community life.</w:t>
      </w:r>
      <w:r>
        <w:rPr>
          <w:rStyle w:val="FootnoteReference"/>
        </w:rPr>
        <w:footnoteReference w:id="29"/>
      </w:r>
    </w:p>
    <w:p w14:paraId="1407F8B1" w14:textId="37DAAA48" w:rsidR="00A445F3" w:rsidRPr="00B00D90" w:rsidRDefault="00A445F3" w:rsidP="00A445F3">
      <w:r w:rsidRPr="00B00D90">
        <w:t xml:space="preserve">The abbey’s </w:t>
      </w:r>
      <w:r w:rsidRPr="00E10DD7">
        <w:t>layout was dictated by the landscape, meaning some elements deviate</w:t>
      </w:r>
      <w:r w:rsidR="00B76678">
        <w:t>d</w:t>
      </w:r>
      <w:r w:rsidRPr="00E10DD7">
        <w:t xml:space="preserve"> from the standard Cistercian model.</w:t>
      </w:r>
      <w:r>
        <w:rPr>
          <w:rStyle w:val="FootnoteReference"/>
        </w:rPr>
        <w:footnoteReference w:id="30"/>
      </w:r>
      <w:r w:rsidRPr="00E10DD7">
        <w:t xml:space="preserve"> The church occupied the southern edge of the precinct, aligned on the traditional east–west axis with its west front overlooking the </w:t>
      </w:r>
      <w:r w:rsidR="004A5C20">
        <w:t>v</w:t>
      </w:r>
      <w:r w:rsidRPr="00E10DD7">
        <w:t>alley. Immediately to the north lay the cloister, the physical and spiritual heart of the community, enclosed by the chapter house and monks’ dormitory to the east, the refectory to the north, and the lay brothers’ range completing the western side. Beyond this, the abbey expanded into zones of increasing practicality: the infirmary and abbot’s lodging stood to the north-east, while the outer court to the west contained the guest hall, stables, and service buildings where the enclosed monastic world engaged, in measured fashion, with the secular one.</w:t>
      </w:r>
      <w:r>
        <w:rPr>
          <w:rStyle w:val="FootnoteReference"/>
        </w:rPr>
        <w:footnoteReference w:id="31"/>
      </w:r>
    </w:p>
    <w:p w14:paraId="10DC62A3" w14:textId="5AC35450" w:rsidR="00A445F3" w:rsidRPr="00B00D90" w:rsidRDefault="00A445F3" w:rsidP="00A445F3">
      <w:r w:rsidRPr="00B00D90">
        <w:t>This zoning created a disciplined spatial hierarchy. The monks’ cloister and church formed the spiritual centre, separated from the outer precincts devoted to hospitality and labour. The arrangement ensured enclosure while maintaining functionality. The plan translated theological order into architectural logic.</w:t>
      </w:r>
    </w:p>
    <w:p w14:paraId="71C0D3DD" w14:textId="128657D5" w:rsidR="00A445F3" w:rsidRPr="00B00D90" w:rsidRDefault="00A445F3" w:rsidP="00A445F3">
      <w:r w:rsidRPr="00B00D90">
        <w:t xml:space="preserve">Tintern Abbey’s design embodies the Cistercian </w:t>
      </w:r>
      <w:r w:rsidRPr="00E10DD7">
        <w:t xml:space="preserve">belief </w:t>
      </w:r>
      <w:r w:rsidRPr="00B00D90">
        <w:rPr>
          <w:i/>
          <w:iCs/>
        </w:rPr>
        <w:t xml:space="preserve">ora et </w:t>
      </w:r>
      <w:proofErr w:type="spellStart"/>
      <w:r w:rsidRPr="00B00D90">
        <w:rPr>
          <w:i/>
          <w:iCs/>
        </w:rPr>
        <w:t>labora</w:t>
      </w:r>
      <w:proofErr w:type="spellEnd"/>
      <w:r w:rsidRPr="00E10DD7">
        <w:t xml:space="preserve"> (</w:t>
      </w:r>
      <w:r w:rsidRPr="00B00D90">
        <w:t>prayer</w:t>
      </w:r>
      <w:r w:rsidRPr="00E10DD7">
        <w:t xml:space="preserve"> and</w:t>
      </w:r>
      <w:r w:rsidRPr="00B00D90">
        <w:t xml:space="preserve"> work</w:t>
      </w:r>
      <w:r w:rsidRPr="00E10DD7">
        <w:t>).</w:t>
      </w:r>
      <w:r>
        <w:rPr>
          <w:rStyle w:val="FootnoteReference"/>
        </w:rPr>
        <w:footnoteReference w:id="32"/>
      </w:r>
      <w:r w:rsidRPr="00B00D90">
        <w:t xml:space="preserve"> The church, with its cruciform plan of aisled nave, transepts, and square-ended presbytery, provided for the daily round of liturgy. The cloister, connecting dormitory, chapter house, and refectory, structured the monks’ day around prayer, reading, and manual labour. The west range housed the lay brothers, whose refectory and dormitory allowed them to participate in the monastic rhythm without disturbing the choir monks’ contemplative routine.</w:t>
      </w:r>
    </w:p>
    <w:p w14:paraId="0D8CBE86" w14:textId="5D002435" w:rsidR="00A445F3" w:rsidRPr="00B00D90" w:rsidRDefault="00A445F3" w:rsidP="00A445F3">
      <w:r w:rsidRPr="00B00D90">
        <w:t xml:space="preserve">The plan demonstrates the order’s principle of self-sufficiency. The abbey’s system of drains, water conduits, and mills, with its surrounding granges, reflects an economy </w:t>
      </w:r>
      <w:r w:rsidRPr="00B00D90">
        <w:lastRenderedPageBreak/>
        <w:t>based on autonomy and labour rather than external wealth.</w:t>
      </w:r>
      <w:r>
        <w:rPr>
          <w:rStyle w:val="FootnoteReference"/>
        </w:rPr>
        <w:footnoteReference w:id="33"/>
      </w:r>
      <w:r w:rsidRPr="00B00D90">
        <w:t xml:space="preserve"> </w:t>
      </w:r>
      <w:r w:rsidR="00B76678">
        <w:t>T</w:t>
      </w:r>
      <w:r w:rsidRPr="00B00D90">
        <w:t xml:space="preserve">he </w:t>
      </w:r>
      <w:r w:rsidRPr="00E10DD7">
        <w:t>monk’s</w:t>
      </w:r>
      <w:r w:rsidRPr="00B00D90">
        <w:t xml:space="preserve"> ideal of poverty was </w:t>
      </w:r>
      <w:r w:rsidRPr="00E10DD7">
        <w:t>less about</w:t>
      </w:r>
      <w:r w:rsidRPr="00B00D90">
        <w:t xml:space="preserve"> destitution </w:t>
      </w:r>
      <w:r w:rsidRPr="00E10DD7">
        <w:t>and more financial discipline</w:t>
      </w:r>
      <w:r w:rsidRPr="00B00D90">
        <w:t xml:space="preserve"> </w:t>
      </w:r>
      <w:r w:rsidRPr="00E10DD7">
        <w:t>that facilitated their spiritual life</w:t>
      </w:r>
      <w:r w:rsidRPr="00B00D90">
        <w:t>.</w:t>
      </w:r>
      <w:r>
        <w:rPr>
          <w:rStyle w:val="FootnoteReference"/>
        </w:rPr>
        <w:footnoteReference w:id="34"/>
      </w:r>
    </w:p>
    <w:p w14:paraId="6B75CA42" w14:textId="67DC53D3" w:rsidR="00A445F3" w:rsidRPr="00B00D90" w:rsidRDefault="00A445F3" w:rsidP="00A445F3">
      <w:r w:rsidRPr="00B00D90">
        <w:t>Tintern embodies the tension between simplicity and splendour. The late Gothic church, with its soaring windows and delicate tracery, betrays the influence of aristocratic patronage and prosperity of the order.</w:t>
      </w:r>
      <w:r>
        <w:rPr>
          <w:rStyle w:val="FootnoteReference"/>
        </w:rPr>
        <w:footnoteReference w:id="35"/>
      </w:r>
      <w:r w:rsidRPr="00B00D90">
        <w:t xml:space="preserve"> </w:t>
      </w:r>
      <w:r w:rsidRPr="00E10DD7">
        <w:t>T</w:t>
      </w:r>
      <w:r w:rsidRPr="00B00D90">
        <w:t>he west front, rebuilt c</w:t>
      </w:r>
      <w:r w:rsidRPr="00E10DD7">
        <w:t>irca</w:t>
      </w:r>
      <w:r w:rsidRPr="00B00D90">
        <w:t xml:space="preserve"> 1300, achieved refinement that rivalled great ecclesiastical architecture elsewhere in Britain.</w:t>
      </w:r>
      <w:r>
        <w:rPr>
          <w:rStyle w:val="FootnoteReference"/>
        </w:rPr>
        <w:footnoteReference w:id="36"/>
      </w:r>
      <w:r w:rsidRPr="00B00D90">
        <w:t xml:space="preserve"> The Cistercian ethos of moderation could coexist with a taste for architectural grandeur when such beauty was seen to glorify God.</w:t>
      </w:r>
    </w:p>
    <w:p w14:paraId="6011701D" w14:textId="445F0C72" w:rsidR="00A445F3" w:rsidRPr="00B00D90" w:rsidRDefault="00A445F3" w:rsidP="00B76678">
      <w:r w:rsidRPr="00B00D90">
        <w:t xml:space="preserve">Cistercian communities </w:t>
      </w:r>
      <w:r w:rsidRPr="00E10DD7">
        <w:t>became entangled with</w:t>
      </w:r>
      <w:r w:rsidRPr="00B00D90">
        <w:t xml:space="preserve"> </w:t>
      </w:r>
      <w:r w:rsidRPr="00E10DD7">
        <w:t>lay people and the outside</w:t>
      </w:r>
      <w:r w:rsidRPr="00B00D90">
        <w:t xml:space="preserve"> world by their labour</w:t>
      </w:r>
      <w:r w:rsidRPr="00E10DD7">
        <w:t>.</w:t>
      </w:r>
      <w:r>
        <w:rPr>
          <w:rStyle w:val="FootnoteReference"/>
        </w:rPr>
        <w:footnoteReference w:id="37"/>
      </w:r>
      <w:r w:rsidRPr="00E10DD7">
        <w:t xml:space="preserve"> </w:t>
      </w:r>
      <w:r w:rsidRPr="00B00D90">
        <w:t>Tintern’s plan manifests this principle: isolation and interaction balanced through architecture. The boundaries between sacred and secular were clear but permeable</w:t>
      </w:r>
      <w:r w:rsidRPr="00E10DD7">
        <w:t xml:space="preserve">, </w:t>
      </w:r>
      <w:r w:rsidRPr="00B00D90">
        <w:t xml:space="preserve">enabling the abbey to </w:t>
      </w:r>
      <w:r w:rsidR="00B91345" w:rsidRPr="00B00D90">
        <w:t>function as</w:t>
      </w:r>
      <w:r w:rsidRPr="00B00D90">
        <w:t xml:space="preserve"> both contemplative retreat and economic enterprise. </w:t>
      </w:r>
      <w:r w:rsidR="00B76678" w:rsidRPr="00B00D90">
        <w:t>The outer court and guest house provided controlled hospitality to travellers and patrons. The abbot’s lodging</w:t>
      </w:r>
      <w:r w:rsidR="00B76678" w:rsidRPr="00E10DD7">
        <w:t xml:space="preserve"> </w:t>
      </w:r>
      <w:r w:rsidR="00B76678" w:rsidRPr="00B00D90">
        <w:t>was designed for receiving secular visitors while maintaining the monks’ enclosure.</w:t>
      </w:r>
      <w:r w:rsidR="00B76678">
        <w:t xml:space="preserve"> F</w:t>
      </w:r>
      <w:r w:rsidRPr="00B00D90">
        <w:t>ourteenth-century expansions to the guest and service ranges show the community adapted to the demands of hospitality and governance.</w:t>
      </w:r>
      <w:r>
        <w:rPr>
          <w:rStyle w:val="FootnoteReference"/>
        </w:rPr>
        <w:footnoteReference w:id="38"/>
      </w:r>
      <w:r w:rsidRPr="00E10DD7">
        <w:t xml:space="preserve"> </w:t>
      </w:r>
    </w:p>
    <w:p w14:paraId="1806F795" w14:textId="4B23ED62" w:rsidR="00A445F3" w:rsidRPr="00E10DD7" w:rsidRDefault="00A445F3" w:rsidP="00A445F3">
      <w:r w:rsidRPr="00B00D90">
        <w:t xml:space="preserve">The architectural development and spatial design of Tintern Abbey chart a dialogue between ideal and circumstance. From humble wooden beginnings to Gothic church, the site reveals how the Cistercians expressed their spiritual identity through ordered architecture. Its </w:t>
      </w:r>
      <w:r w:rsidR="004A5C20">
        <w:t>layout</w:t>
      </w:r>
      <w:r w:rsidRPr="00B00D90">
        <w:t xml:space="preserve">, responsive to the valley landscape, illustrates isolation, labour, and worship were woven into one coherent pattern. Yet the grandeur of its thirteenth-century rebuilding reminds us monastic life, even in pursuit of simplicity, was never detached from social and economic realities. </w:t>
      </w:r>
      <w:r w:rsidR="00B76678">
        <w:t>T</w:t>
      </w:r>
      <w:r w:rsidRPr="00B00D90">
        <w:t xml:space="preserve">he Cistercians’ </w:t>
      </w:r>
      <w:r w:rsidRPr="00E10DD7">
        <w:t>success was owed by the lay people, by</w:t>
      </w:r>
      <w:r w:rsidRPr="00B00D90">
        <w:t xml:space="preserve"> creating houses that were places of contemplation and centres of productivity.</w:t>
      </w:r>
      <w:r>
        <w:rPr>
          <w:rStyle w:val="FootnoteReference"/>
        </w:rPr>
        <w:footnoteReference w:id="39"/>
      </w:r>
      <w:r w:rsidRPr="00B00D90">
        <w:t xml:space="preserve"> Tintern Abbey remains, even in ruin, a visible testament to that union.</w:t>
      </w:r>
    </w:p>
    <w:p w14:paraId="4401B2C4" w14:textId="4B4BC4CB" w:rsidR="00A445F3" w:rsidRPr="00A445F3" w:rsidRDefault="00A445F3" w:rsidP="00A445F3">
      <w:pPr>
        <w:ind w:left="720" w:hanging="720"/>
        <w:rPr>
          <w:b/>
          <w:bCs/>
        </w:rPr>
      </w:pPr>
      <w:r w:rsidRPr="00A445F3">
        <w:rPr>
          <w:b/>
          <w:bCs/>
        </w:rPr>
        <w:t>Bibliography</w:t>
      </w:r>
    </w:p>
    <w:p w14:paraId="4FD7F862" w14:textId="3C487D75" w:rsidR="00A445F3" w:rsidRDefault="00A445F3" w:rsidP="00A445F3">
      <w:pPr>
        <w:ind w:left="720" w:hanging="720"/>
      </w:pPr>
      <w:r>
        <w:t>Benedict of Nursia</w:t>
      </w:r>
      <w:r w:rsidRPr="00A445F3">
        <w:t xml:space="preserve">, </w:t>
      </w:r>
      <w:r>
        <w:rPr>
          <w:i/>
          <w:iCs/>
        </w:rPr>
        <w:t>The Rule of Saint Benedict</w:t>
      </w:r>
      <w:r w:rsidRPr="00A445F3">
        <w:t xml:space="preserve">, ed. </w:t>
      </w:r>
      <w:r>
        <w:t>and</w:t>
      </w:r>
      <w:r w:rsidRPr="00A445F3">
        <w:t xml:space="preserve"> trans. by </w:t>
      </w:r>
      <w:r>
        <w:t>Justin McCann</w:t>
      </w:r>
      <w:r w:rsidRPr="00A445F3">
        <w:t xml:space="preserve"> (</w:t>
      </w:r>
      <w:r>
        <w:t>London</w:t>
      </w:r>
      <w:r w:rsidRPr="00A445F3">
        <w:t xml:space="preserve">: </w:t>
      </w:r>
      <w:r>
        <w:t>Burns Oats</w:t>
      </w:r>
      <w:r w:rsidRPr="00A445F3">
        <w:t xml:space="preserve">, </w:t>
      </w:r>
      <w:r>
        <w:t>1952</w:t>
      </w:r>
      <w:r w:rsidRPr="00A445F3">
        <w:t>)</w:t>
      </w:r>
    </w:p>
    <w:p w14:paraId="75E214FF" w14:textId="77777777" w:rsidR="00A445F3" w:rsidRDefault="00A445F3" w:rsidP="00A445F3">
      <w:pPr>
        <w:ind w:left="720" w:hanging="720"/>
      </w:pPr>
      <w:r w:rsidRPr="0080133F">
        <w:lastRenderedPageBreak/>
        <w:t>Brooke</w:t>
      </w:r>
      <w:r>
        <w:t>,</w:t>
      </w:r>
      <w:r w:rsidRPr="0080133F">
        <w:t xml:space="preserve"> Christopher, </w:t>
      </w:r>
      <w:r w:rsidRPr="0080133F">
        <w:rPr>
          <w:i/>
          <w:iCs/>
        </w:rPr>
        <w:t>The Monastic World 1000–1300</w:t>
      </w:r>
      <w:r w:rsidRPr="0080133F">
        <w:t xml:space="preserve"> (London: Thames and Hudson, 1974) </w:t>
      </w:r>
    </w:p>
    <w:p w14:paraId="6F7D67A2" w14:textId="77777777" w:rsidR="00A445F3" w:rsidRDefault="00A445F3" w:rsidP="00A445F3">
      <w:pPr>
        <w:ind w:left="720" w:hanging="720"/>
      </w:pPr>
      <w:bookmarkStart w:id="1" w:name="_Int_HkEI3II2"/>
      <w:r>
        <w:t>Burton, Janet</w:t>
      </w:r>
      <w:r w:rsidRPr="00A445F3">
        <w:t xml:space="preserve"> and </w:t>
      </w:r>
      <w:r>
        <w:t>Julie</w:t>
      </w:r>
      <w:r w:rsidRPr="00A445F3">
        <w:t xml:space="preserve"> </w:t>
      </w:r>
      <w:r>
        <w:t>Kerr</w:t>
      </w:r>
      <w:r w:rsidRPr="00A445F3">
        <w:t xml:space="preserve">, </w:t>
      </w:r>
      <w:r>
        <w:rPr>
          <w:i/>
          <w:iCs/>
        </w:rPr>
        <w:t>The Cistercians in the Middle Ages</w:t>
      </w:r>
      <w:r w:rsidRPr="00A445F3">
        <w:t>, (</w:t>
      </w:r>
      <w:r>
        <w:t>Woodbridge</w:t>
      </w:r>
      <w:r w:rsidRPr="00A445F3">
        <w:t xml:space="preserve">: </w:t>
      </w:r>
      <w:r>
        <w:t>The Boydell Press</w:t>
      </w:r>
      <w:r w:rsidRPr="00A445F3">
        <w:t xml:space="preserve">, </w:t>
      </w:r>
      <w:r>
        <w:t>2011)</w:t>
      </w:r>
      <w:bookmarkEnd w:id="1"/>
      <w:r w:rsidRPr="00A445F3">
        <w:t xml:space="preserve"> </w:t>
      </w:r>
    </w:p>
    <w:p w14:paraId="124B2633" w14:textId="6681F8F3" w:rsidR="00A445F3" w:rsidRPr="00B00D90" w:rsidRDefault="00A445F3" w:rsidP="00A445F3">
      <w:pPr>
        <w:ind w:left="720" w:hanging="720"/>
        <w:rPr>
          <w:b/>
          <w:bCs/>
        </w:rPr>
      </w:pPr>
      <w:r>
        <w:t>Cadw</w:t>
      </w:r>
      <w:r w:rsidRPr="00A445F3">
        <w:t xml:space="preserve">, </w:t>
      </w:r>
      <w:r>
        <w:rPr>
          <w:i/>
          <w:iCs/>
        </w:rPr>
        <w:t>Tintern Abbey</w:t>
      </w:r>
      <w:r w:rsidRPr="00A445F3">
        <w:t xml:space="preserve"> (</w:t>
      </w:r>
      <w:r>
        <w:t>2019</w:t>
      </w:r>
      <w:r w:rsidRPr="00A445F3">
        <w:t xml:space="preserve">) &lt;https://cadw.gov.wales/sites/default/files/2019-05/Tinternnotesforteachers_EN.pdf&gt; [accessed </w:t>
      </w:r>
      <w:r>
        <w:t>07</w:t>
      </w:r>
      <w:r w:rsidRPr="00A445F3">
        <w:t xml:space="preserve"> </w:t>
      </w:r>
      <w:r>
        <w:t>November</w:t>
      </w:r>
      <w:r w:rsidRPr="00A445F3">
        <w:t xml:space="preserve"> </w:t>
      </w:r>
      <w:r>
        <w:t>2025</w:t>
      </w:r>
      <w:r w:rsidRPr="00A445F3">
        <w:t>]</w:t>
      </w:r>
      <w:r>
        <w:t xml:space="preserve"> </w:t>
      </w:r>
    </w:p>
    <w:p w14:paraId="70F9F17C" w14:textId="77777777" w:rsidR="00A445F3" w:rsidRDefault="00A445F3" w:rsidP="00A445F3">
      <w:pPr>
        <w:ind w:left="720" w:hanging="720"/>
      </w:pPr>
      <w:r w:rsidRPr="00A445F3">
        <w:t>Knowles</w:t>
      </w:r>
      <w:r>
        <w:t>,</w:t>
      </w:r>
      <w:r w:rsidRPr="00A445F3">
        <w:t xml:space="preserve"> David, </w:t>
      </w:r>
      <w:r w:rsidRPr="00A445F3">
        <w:rPr>
          <w:i/>
          <w:iCs/>
        </w:rPr>
        <w:t>Christian Monasticism</w:t>
      </w:r>
      <w:r w:rsidRPr="00A445F3">
        <w:t xml:space="preserve"> (New York: McGraw-Hill, 1969</w:t>
      </w:r>
      <w:r>
        <w:t>)</w:t>
      </w:r>
    </w:p>
    <w:p w14:paraId="7D4C8088" w14:textId="77777777" w:rsidR="00A445F3" w:rsidRDefault="00A445F3" w:rsidP="00A445F3">
      <w:pPr>
        <w:ind w:left="720" w:hanging="720"/>
      </w:pPr>
      <w:r w:rsidRPr="0080133F">
        <w:t>Lawrence</w:t>
      </w:r>
      <w:r>
        <w:t>,</w:t>
      </w:r>
      <w:r w:rsidRPr="0080133F">
        <w:t xml:space="preserve"> C. H., </w:t>
      </w:r>
      <w:r w:rsidRPr="0080133F">
        <w:rPr>
          <w:i/>
          <w:iCs/>
        </w:rPr>
        <w:t>Medieval Monasticism: Forms of Religious Life in Western Europe in the Middle Ages</w:t>
      </w:r>
      <w:r w:rsidRPr="0080133F">
        <w:t>, 2nd edn</w:t>
      </w:r>
      <w:r>
        <w:t>.</w:t>
      </w:r>
      <w:r w:rsidRPr="0080133F">
        <w:t xml:space="preserve"> (London: Longman, 1989) </w:t>
      </w:r>
    </w:p>
    <w:p w14:paraId="08E6A33D" w14:textId="32CE2432" w:rsidR="00A445F3" w:rsidRDefault="00A445F3" w:rsidP="00A445F3">
      <w:pPr>
        <w:ind w:left="720" w:hanging="720"/>
      </w:pPr>
      <w:r>
        <w:t>Medieval Heritage</w:t>
      </w:r>
      <w:r w:rsidRPr="00A445F3">
        <w:t xml:space="preserve">, </w:t>
      </w:r>
      <w:r>
        <w:rPr>
          <w:i/>
          <w:iCs/>
        </w:rPr>
        <w:t>Tintern – Cistercian Abbey</w:t>
      </w:r>
      <w:r w:rsidRPr="00A445F3">
        <w:t xml:space="preserve"> (</w:t>
      </w:r>
      <w:r>
        <w:t>2017-2023</w:t>
      </w:r>
      <w:r w:rsidRPr="00A445F3">
        <w:t xml:space="preserve">) &lt;https://medievalheritage.eu/en/main-page/heritage/wales/tintern-abbey/&gt; [accessed </w:t>
      </w:r>
      <w:r>
        <w:t>07</w:t>
      </w:r>
      <w:r w:rsidRPr="00A445F3">
        <w:t xml:space="preserve"> </w:t>
      </w:r>
      <w:r>
        <w:t>November</w:t>
      </w:r>
      <w:r w:rsidRPr="00A445F3">
        <w:t xml:space="preserve"> </w:t>
      </w:r>
      <w:r>
        <w:t>2025</w:t>
      </w:r>
      <w:r w:rsidRPr="00A445F3">
        <w:t>]</w:t>
      </w:r>
    </w:p>
    <w:p w14:paraId="6DB05C22" w14:textId="34C98A5F" w:rsidR="00A445F3" w:rsidRDefault="00A445F3" w:rsidP="00A445F3">
      <w:pPr>
        <w:ind w:left="720" w:hanging="720"/>
      </w:pPr>
      <w:r>
        <w:t>Morris, Richard K, Nicola Coldstream and Rick Turner</w:t>
      </w:r>
      <w:r w:rsidRPr="00A445F3">
        <w:t>, ‘</w:t>
      </w:r>
      <w:r>
        <w:t>The West Front of Tintern Abbey Church, Monmouthshire</w:t>
      </w:r>
      <w:r w:rsidRPr="00A445F3">
        <w:t xml:space="preserve">, </w:t>
      </w:r>
      <w:r>
        <w:rPr>
          <w:i/>
          <w:iCs/>
        </w:rPr>
        <w:t>The Antiquaries Journal</w:t>
      </w:r>
      <w:r w:rsidRPr="00A445F3">
        <w:t xml:space="preserve">, </w:t>
      </w:r>
      <w:r>
        <w:t>95</w:t>
      </w:r>
      <w:r w:rsidRPr="00A445F3">
        <w:t xml:space="preserve"> (</w:t>
      </w:r>
      <w:r>
        <w:t>2015</w:t>
      </w:r>
      <w:r w:rsidRPr="00A445F3">
        <w:t xml:space="preserve">), </w:t>
      </w:r>
      <w:r>
        <w:t xml:space="preserve">119-150 </w:t>
      </w:r>
      <w:r w:rsidRPr="00A445F3">
        <w:t>&lt;http://dx.doi.org/10.1017/S0003581515000153&gt;</w:t>
      </w:r>
    </w:p>
    <w:p w14:paraId="16DFD663" w14:textId="77777777" w:rsidR="00A445F3" w:rsidRDefault="00A445F3" w:rsidP="00A445F3"/>
    <w:p w14:paraId="6F283E11" w14:textId="77777777" w:rsidR="00A445F3" w:rsidRDefault="00A445F3" w:rsidP="00A445F3">
      <w:pPr>
        <w:ind w:left="360"/>
      </w:pPr>
    </w:p>
    <w:p w14:paraId="2215E2D4" w14:textId="77777777" w:rsidR="00A445F3" w:rsidRDefault="00A445F3" w:rsidP="00A445F3"/>
    <w:p w14:paraId="3CAB94E4" w14:textId="77777777" w:rsidR="00A445F3" w:rsidRPr="00B00D90" w:rsidRDefault="00A445F3" w:rsidP="00A445F3"/>
    <w:p w14:paraId="1D7BB94F" w14:textId="77777777" w:rsidR="00A445F3" w:rsidRPr="00B00D90" w:rsidRDefault="00A445F3" w:rsidP="00A445F3"/>
    <w:p w14:paraId="579F9618" w14:textId="77777777" w:rsidR="00E126F7" w:rsidRPr="0080133F" w:rsidRDefault="00E126F7" w:rsidP="0080133F"/>
    <w:sectPr w:rsidR="00E126F7" w:rsidRPr="0080133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CFEA" w14:textId="77777777" w:rsidR="00D17471" w:rsidRDefault="00D17471" w:rsidP="0079051B">
      <w:pPr>
        <w:spacing w:after="0" w:line="240" w:lineRule="auto"/>
      </w:pPr>
      <w:r>
        <w:separator/>
      </w:r>
    </w:p>
  </w:endnote>
  <w:endnote w:type="continuationSeparator" w:id="0">
    <w:p w14:paraId="427D7C20" w14:textId="77777777" w:rsidR="00D17471" w:rsidRDefault="00D17471" w:rsidP="0079051B">
      <w:pPr>
        <w:spacing w:after="0" w:line="240" w:lineRule="auto"/>
      </w:pPr>
      <w:r>
        <w:continuationSeparator/>
      </w:r>
    </w:p>
  </w:endnote>
  <w:endnote w:id="1">
    <w:p w14:paraId="73E44750" w14:textId="222E4965" w:rsidR="00A445F3" w:rsidRDefault="00A445F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D803" w14:textId="77777777" w:rsidR="009A1E2E" w:rsidRDefault="009A1E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D0C45" w14:textId="77777777" w:rsidR="009A1E2E" w:rsidRDefault="009A1E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B85D8" w14:textId="77777777" w:rsidR="009A1E2E" w:rsidRDefault="009A1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89499" w14:textId="77777777" w:rsidR="00D17471" w:rsidRDefault="00D17471" w:rsidP="0079051B">
      <w:pPr>
        <w:spacing w:after="0" w:line="240" w:lineRule="auto"/>
      </w:pPr>
      <w:r>
        <w:separator/>
      </w:r>
    </w:p>
  </w:footnote>
  <w:footnote w:type="continuationSeparator" w:id="0">
    <w:p w14:paraId="75C18302" w14:textId="77777777" w:rsidR="00D17471" w:rsidRDefault="00D17471" w:rsidP="0079051B">
      <w:pPr>
        <w:spacing w:after="0" w:line="240" w:lineRule="auto"/>
      </w:pPr>
      <w:r>
        <w:continuationSeparator/>
      </w:r>
    </w:p>
  </w:footnote>
  <w:footnote w:id="1">
    <w:p w14:paraId="2A2C8B7D" w14:textId="4970714E" w:rsidR="00A445F3" w:rsidRDefault="00A445F3">
      <w:pPr>
        <w:pStyle w:val="FootnoteText"/>
      </w:pPr>
      <w:r>
        <w:rPr>
          <w:rStyle w:val="FootnoteReference"/>
        </w:rPr>
        <w:footnoteRef/>
      </w:r>
      <w:r>
        <w:t xml:space="preserve"> David Knowles</w:t>
      </w:r>
      <w:r w:rsidRPr="00A445F3">
        <w:t xml:space="preserve">, </w:t>
      </w:r>
      <w:r>
        <w:rPr>
          <w:i/>
          <w:iCs/>
        </w:rPr>
        <w:t>Christian Monasticism</w:t>
      </w:r>
      <w:r w:rsidRPr="00A445F3">
        <w:t xml:space="preserve"> (</w:t>
      </w:r>
      <w:r>
        <w:t>New York</w:t>
      </w:r>
      <w:r w:rsidRPr="00A445F3">
        <w:t xml:space="preserve">: </w:t>
      </w:r>
      <w:r>
        <w:t>McGraw-Hill</w:t>
      </w:r>
      <w:r w:rsidRPr="00A445F3">
        <w:t xml:space="preserve">, </w:t>
      </w:r>
      <w:r>
        <w:t>1969</w:t>
      </w:r>
      <w:r w:rsidRPr="00A445F3">
        <w:t xml:space="preserve">), pp. </w:t>
      </w:r>
      <w:r>
        <w:t>9-15</w:t>
      </w:r>
      <w:r w:rsidRPr="00A445F3">
        <w:t>.</w:t>
      </w:r>
    </w:p>
  </w:footnote>
  <w:footnote w:id="2">
    <w:p w14:paraId="330A5963" w14:textId="48701F68" w:rsidR="00A445F3" w:rsidRDefault="00A445F3">
      <w:pPr>
        <w:pStyle w:val="FootnoteText"/>
      </w:pPr>
      <w:r>
        <w:rPr>
          <w:rStyle w:val="FootnoteReference"/>
        </w:rPr>
        <w:footnoteRef/>
      </w:r>
      <w:r>
        <w:t xml:space="preserve"> Benedict of Nursia</w:t>
      </w:r>
      <w:r w:rsidRPr="00A445F3">
        <w:t xml:space="preserve">, </w:t>
      </w:r>
      <w:r>
        <w:rPr>
          <w:i/>
          <w:iCs/>
        </w:rPr>
        <w:t>The Rule of Saint Benedict</w:t>
      </w:r>
      <w:r w:rsidRPr="00A445F3">
        <w:t xml:space="preserve">, ed. </w:t>
      </w:r>
      <w:r>
        <w:t>and</w:t>
      </w:r>
      <w:r w:rsidRPr="00A445F3">
        <w:t xml:space="preserve"> trans. by </w:t>
      </w:r>
      <w:r>
        <w:t>Justin McCann</w:t>
      </w:r>
      <w:r w:rsidRPr="00A445F3">
        <w:t xml:space="preserve"> (</w:t>
      </w:r>
      <w:r>
        <w:t>London</w:t>
      </w:r>
      <w:r w:rsidRPr="00A445F3">
        <w:t xml:space="preserve">: </w:t>
      </w:r>
      <w:r>
        <w:t>Burns Oats</w:t>
      </w:r>
      <w:r w:rsidRPr="00A445F3">
        <w:t xml:space="preserve">, </w:t>
      </w:r>
      <w:r>
        <w:t>1952</w:t>
      </w:r>
      <w:r w:rsidRPr="00A445F3">
        <w:t xml:space="preserve">), p. </w:t>
      </w:r>
      <w:r>
        <w:t>10</w:t>
      </w:r>
      <w:r w:rsidRPr="00A445F3">
        <w:t>.</w:t>
      </w:r>
    </w:p>
  </w:footnote>
  <w:footnote w:id="3">
    <w:p w14:paraId="1118F502" w14:textId="2CF74468" w:rsidR="00A445F3" w:rsidRPr="00A445F3" w:rsidRDefault="00A445F3">
      <w:pPr>
        <w:pStyle w:val="FootnoteText"/>
      </w:pPr>
      <w:r>
        <w:rPr>
          <w:rStyle w:val="FootnoteReference"/>
        </w:rPr>
        <w:footnoteRef/>
      </w:r>
      <w:r>
        <w:t xml:space="preserve"> David Knowles, </w:t>
      </w:r>
      <w:r>
        <w:rPr>
          <w:i/>
          <w:iCs/>
        </w:rPr>
        <w:t>Christian Monasticism</w:t>
      </w:r>
      <w:r>
        <w:t xml:space="preserve">, p. 33. </w:t>
      </w:r>
    </w:p>
  </w:footnote>
  <w:footnote w:id="4">
    <w:p w14:paraId="2C820E82" w14:textId="404C0A79" w:rsidR="00A445F3" w:rsidRDefault="00A445F3">
      <w:pPr>
        <w:pStyle w:val="FootnoteText"/>
      </w:pPr>
      <w:r>
        <w:rPr>
          <w:rStyle w:val="FootnoteReference"/>
        </w:rPr>
        <w:footnoteRef/>
      </w:r>
      <w:r>
        <w:t xml:space="preserve"> David Knowles, </w:t>
      </w:r>
      <w:r>
        <w:rPr>
          <w:i/>
          <w:iCs/>
        </w:rPr>
        <w:t>Christian Monasticism</w:t>
      </w:r>
      <w:r>
        <w:t>, p. 33.</w:t>
      </w:r>
    </w:p>
  </w:footnote>
  <w:footnote w:id="5">
    <w:p w14:paraId="0B5F7D6A" w14:textId="23385ED1" w:rsidR="00A445F3" w:rsidRDefault="00A445F3">
      <w:pPr>
        <w:pStyle w:val="FootnoteText"/>
      </w:pPr>
      <w:r>
        <w:rPr>
          <w:rStyle w:val="FootnoteReference"/>
        </w:rPr>
        <w:footnoteRef/>
      </w:r>
      <w:r>
        <w:t xml:space="preserve"> Ibid., p. 233.</w:t>
      </w:r>
    </w:p>
  </w:footnote>
  <w:footnote w:id="6">
    <w:p w14:paraId="4A39EB63" w14:textId="5BCCB697" w:rsidR="00A445F3" w:rsidRPr="00A445F3" w:rsidRDefault="00A445F3">
      <w:pPr>
        <w:pStyle w:val="FootnoteText"/>
      </w:pPr>
      <w:r>
        <w:rPr>
          <w:rStyle w:val="FootnoteReference"/>
        </w:rPr>
        <w:footnoteRef/>
      </w:r>
      <w:r>
        <w:t xml:space="preserve"> Benedict of Nursia, </w:t>
      </w:r>
      <w:r>
        <w:rPr>
          <w:i/>
          <w:iCs/>
        </w:rPr>
        <w:t>The Rule of Saint Benedict</w:t>
      </w:r>
      <w:r>
        <w:t xml:space="preserve">, pp. 17-23. </w:t>
      </w:r>
    </w:p>
  </w:footnote>
  <w:footnote w:id="7">
    <w:p w14:paraId="5277C51C" w14:textId="770D43B7" w:rsidR="00A445F3" w:rsidRPr="00A445F3" w:rsidRDefault="00A445F3">
      <w:pPr>
        <w:pStyle w:val="FootnoteText"/>
      </w:pPr>
      <w:r>
        <w:rPr>
          <w:rStyle w:val="FootnoteReference"/>
        </w:rPr>
        <w:footnoteRef/>
      </w:r>
      <w:r>
        <w:t xml:space="preserve"> David Knowles, </w:t>
      </w:r>
      <w:r>
        <w:rPr>
          <w:i/>
          <w:iCs/>
        </w:rPr>
        <w:t>Christian Monasticism</w:t>
      </w:r>
      <w:r>
        <w:t xml:space="preserve">, p. 22. </w:t>
      </w:r>
    </w:p>
  </w:footnote>
  <w:footnote w:id="8">
    <w:p w14:paraId="1FD3E7F6" w14:textId="3353BCB4" w:rsidR="00A445F3" w:rsidRPr="00A445F3" w:rsidRDefault="00A445F3">
      <w:pPr>
        <w:pStyle w:val="FootnoteText"/>
      </w:pPr>
      <w:r>
        <w:rPr>
          <w:rStyle w:val="FootnoteReference"/>
        </w:rPr>
        <w:footnoteRef/>
      </w:r>
      <w:r>
        <w:t xml:space="preserve"> Benedict of Nursia, </w:t>
      </w:r>
      <w:r>
        <w:rPr>
          <w:i/>
          <w:iCs/>
        </w:rPr>
        <w:t>The Rule of Saint Benedict</w:t>
      </w:r>
      <w:r>
        <w:t>, p. 13.</w:t>
      </w:r>
    </w:p>
  </w:footnote>
  <w:footnote w:id="9">
    <w:p w14:paraId="6893E132" w14:textId="59B3BF7C" w:rsidR="00A445F3" w:rsidRPr="00A445F3" w:rsidRDefault="00A445F3">
      <w:pPr>
        <w:pStyle w:val="FootnoteText"/>
      </w:pPr>
      <w:r>
        <w:rPr>
          <w:rStyle w:val="FootnoteReference"/>
        </w:rPr>
        <w:footnoteRef/>
      </w:r>
      <w:r>
        <w:t xml:space="preserve"> David Knowles, </w:t>
      </w:r>
      <w:r>
        <w:rPr>
          <w:i/>
          <w:iCs/>
        </w:rPr>
        <w:t>Christian Monasticism</w:t>
      </w:r>
      <w:r>
        <w:t>, p. 37.</w:t>
      </w:r>
    </w:p>
  </w:footnote>
  <w:footnote w:id="10">
    <w:p w14:paraId="4AAC2B0E" w14:textId="52DEFF92" w:rsidR="00A445F3" w:rsidRPr="00A445F3" w:rsidRDefault="00A445F3">
      <w:pPr>
        <w:pStyle w:val="FootnoteText"/>
      </w:pPr>
      <w:r>
        <w:rPr>
          <w:rStyle w:val="FootnoteReference"/>
        </w:rPr>
        <w:footnoteRef/>
      </w:r>
      <w:r>
        <w:t xml:space="preserve"> Benedict of Nursia, </w:t>
      </w:r>
      <w:r>
        <w:rPr>
          <w:i/>
          <w:iCs/>
        </w:rPr>
        <w:t>The Rule of Saint Benedict</w:t>
      </w:r>
      <w:r>
        <w:t xml:space="preserve">, p. 15. </w:t>
      </w:r>
    </w:p>
  </w:footnote>
  <w:footnote w:id="11">
    <w:p w14:paraId="64D313B5" w14:textId="323FD5EF" w:rsidR="00A445F3" w:rsidRDefault="00A445F3">
      <w:pPr>
        <w:pStyle w:val="FootnoteText"/>
      </w:pPr>
      <w:r>
        <w:rPr>
          <w:rStyle w:val="FootnoteReference"/>
        </w:rPr>
        <w:footnoteRef/>
      </w:r>
      <w:r>
        <w:t xml:space="preserve"> Ibid., p. 15. </w:t>
      </w:r>
    </w:p>
  </w:footnote>
  <w:footnote w:id="12">
    <w:p w14:paraId="0C277E2F" w14:textId="7F9196CF" w:rsidR="00A445F3" w:rsidRDefault="00A445F3">
      <w:pPr>
        <w:pStyle w:val="FootnoteText"/>
      </w:pPr>
      <w:r>
        <w:rPr>
          <w:rStyle w:val="FootnoteReference"/>
        </w:rPr>
        <w:footnoteRef/>
      </w:r>
      <w:r>
        <w:t xml:space="preserve"> Benedict of Nursia, </w:t>
      </w:r>
      <w:r>
        <w:rPr>
          <w:i/>
          <w:iCs/>
        </w:rPr>
        <w:t>The Rule of Saint Benedict</w:t>
      </w:r>
      <w:r>
        <w:t>, p. 15.</w:t>
      </w:r>
    </w:p>
  </w:footnote>
  <w:footnote w:id="13">
    <w:p w14:paraId="3DBB84F4" w14:textId="059DA397" w:rsidR="00A445F3" w:rsidRDefault="00A445F3">
      <w:pPr>
        <w:pStyle w:val="FootnoteText"/>
      </w:pPr>
      <w:r>
        <w:rPr>
          <w:rStyle w:val="FootnoteReference"/>
        </w:rPr>
        <w:footnoteRef/>
      </w:r>
      <w:r>
        <w:t xml:space="preserve"> Ibid., p. 15. </w:t>
      </w:r>
    </w:p>
  </w:footnote>
  <w:footnote w:id="14">
    <w:p w14:paraId="07B4C6C1" w14:textId="3BCBA42E" w:rsidR="00A445F3" w:rsidRDefault="00A445F3">
      <w:pPr>
        <w:pStyle w:val="FootnoteText"/>
      </w:pPr>
      <w:r>
        <w:rPr>
          <w:rStyle w:val="FootnoteReference"/>
        </w:rPr>
        <w:footnoteRef/>
      </w:r>
      <w:r>
        <w:t xml:space="preserve"> Ibid., p. 15.</w:t>
      </w:r>
    </w:p>
  </w:footnote>
  <w:footnote w:id="15">
    <w:p w14:paraId="3DE6AF6C" w14:textId="624E8E4E" w:rsidR="00A445F3" w:rsidRDefault="00A445F3">
      <w:pPr>
        <w:pStyle w:val="FootnoteText"/>
      </w:pPr>
      <w:r>
        <w:rPr>
          <w:rStyle w:val="FootnoteReference"/>
        </w:rPr>
        <w:footnoteRef/>
      </w:r>
      <w:r>
        <w:t xml:space="preserve"> Janet</w:t>
      </w:r>
      <w:r w:rsidRPr="00A445F3">
        <w:t xml:space="preserve"> </w:t>
      </w:r>
      <w:r>
        <w:t xml:space="preserve">Burton </w:t>
      </w:r>
      <w:r w:rsidRPr="00A445F3">
        <w:t xml:space="preserve">and </w:t>
      </w:r>
      <w:r>
        <w:t>Julie</w:t>
      </w:r>
      <w:r w:rsidRPr="00A445F3">
        <w:t xml:space="preserve"> </w:t>
      </w:r>
      <w:r>
        <w:t>Kerr</w:t>
      </w:r>
      <w:r w:rsidRPr="00A445F3">
        <w:t xml:space="preserve">, </w:t>
      </w:r>
      <w:r>
        <w:rPr>
          <w:i/>
          <w:iCs/>
        </w:rPr>
        <w:t>The Cistercians in the Middle Ages</w:t>
      </w:r>
      <w:r w:rsidRPr="00A445F3">
        <w:t>, (</w:t>
      </w:r>
      <w:r>
        <w:t>Woodbridge</w:t>
      </w:r>
      <w:r w:rsidRPr="00A445F3">
        <w:t xml:space="preserve">: </w:t>
      </w:r>
      <w:r>
        <w:t>The Boydell Press</w:t>
      </w:r>
      <w:r w:rsidRPr="00A445F3">
        <w:t xml:space="preserve">, </w:t>
      </w:r>
      <w:r>
        <w:t>2011)</w:t>
      </w:r>
      <w:r w:rsidRPr="00A445F3">
        <w:t xml:space="preserve"> p. </w:t>
      </w:r>
      <w:r>
        <w:t>5</w:t>
      </w:r>
      <w:r w:rsidRPr="00A445F3">
        <w:t>.</w:t>
      </w:r>
    </w:p>
  </w:footnote>
  <w:footnote w:id="16">
    <w:p w14:paraId="5E172376" w14:textId="4EB31FD3" w:rsidR="00A445F3" w:rsidRDefault="00A445F3">
      <w:pPr>
        <w:pStyle w:val="FootnoteText"/>
      </w:pPr>
      <w:r>
        <w:rPr>
          <w:rStyle w:val="FootnoteReference"/>
        </w:rPr>
        <w:footnoteRef/>
      </w:r>
      <w:r>
        <w:t xml:space="preserve"> </w:t>
      </w:r>
      <w:r w:rsidRPr="00A445F3">
        <w:t xml:space="preserve">University of </w:t>
      </w:r>
      <w:r>
        <w:t>Wales – Trinity Saint David</w:t>
      </w:r>
      <w:r w:rsidRPr="00A445F3">
        <w:t xml:space="preserve"> (202</w:t>
      </w:r>
      <w:r>
        <w:t>5</w:t>
      </w:r>
      <w:r w:rsidRPr="00A445F3">
        <w:t xml:space="preserve">) </w:t>
      </w:r>
      <w:r w:rsidR="00475109">
        <w:t xml:space="preserve">Assessment Brief from </w:t>
      </w:r>
      <w:r w:rsidRPr="00A445F3">
        <w:rPr>
          <w:i/>
          <w:iCs/>
        </w:rPr>
        <w:t xml:space="preserve">Module </w:t>
      </w:r>
      <w:r w:rsidR="00475109">
        <w:rPr>
          <w:i/>
          <w:iCs/>
        </w:rPr>
        <w:t>Code: HPHI5911/6911 From Desert Myths to Sheep Tales: The Cistercians in the Middle Ages,</w:t>
      </w:r>
      <w:r w:rsidRPr="00A445F3">
        <w:rPr>
          <w:i/>
          <w:iCs/>
        </w:rPr>
        <w:t xml:space="preserve"> </w:t>
      </w:r>
      <w:r w:rsidRPr="00A445F3">
        <w:t xml:space="preserve"> [Course material]. University of </w:t>
      </w:r>
      <w:r w:rsidR="00475109">
        <w:t>Wales – Trinity Saint David</w:t>
      </w:r>
      <w:r w:rsidRPr="00A445F3">
        <w:t>, unpublished.</w:t>
      </w:r>
    </w:p>
  </w:footnote>
  <w:footnote w:id="17">
    <w:p w14:paraId="1396B08C" w14:textId="3ECF49AC" w:rsidR="00A445F3" w:rsidRDefault="00A445F3" w:rsidP="00A445F3">
      <w:pPr>
        <w:pStyle w:val="FootnoteText"/>
      </w:pPr>
      <w:r>
        <w:rPr>
          <w:rStyle w:val="FootnoteReference"/>
        </w:rPr>
        <w:footnoteRef/>
      </w:r>
      <w:r>
        <w:t xml:space="preserve"> David Knowles, </w:t>
      </w:r>
      <w:r>
        <w:rPr>
          <w:i/>
          <w:iCs/>
        </w:rPr>
        <w:t>Christian Monasticism</w:t>
      </w:r>
      <w:r>
        <w:t>, pp. 98-103.</w:t>
      </w:r>
    </w:p>
  </w:footnote>
  <w:footnote w:id="18">
    <w:p w14:paraId="16FF9499" w14:textId="7FC0795F" w:rsidR="00A445F3" w:rsidRDefault="00A445F3" w:rsidP="00A445F3">
      <w:pPr>
        <w:pStyle w:val="FootnoteText"/>
      </w:pPr>
      <w:r>
        <w:rPr>
          <w:rStyle w:val="FootnoteReference"/>
        </w:rPr>
        <w:footnoteRef/>
      </w:r>
      <w:r>
        <w:t xml:space="preserve"> Medieval Heritage</w:t>
      </w:r>
      <w:r w:rsidRPr="00A445F3">
        <w:t xml:space="preserve">, </w:t>
      </w:r>
      <w:r>
        <w:rPr>
          <w:i/>
          <w:iCs/>
        </w:rPr>
        <w:t>Tintern – Cistercian Abbey</w:t>
      </w:r>
      <w:r w:rsidRPr="00A445F3">
        <w:t xml:space="preserve"> (</w:t>
      </w:r>
      <w:r>
        <w:t>2017-2023</w:t>
      </w:r>
      <w:r w:rsidRPr="00A445F3">
        <w:t xml:space="preserve">) &lt;https://medievalheritage.eu/en/main-page/heritage/wales/tintern-abbey/&gt; [accessed </w:t>
      </w:r>
      <w:r>
        <w:t>07</w:t>
      </w:r>
      <w:r w:rsidRPr="00A445F3">
        <w:t xml:space="preserve"> </w:t>
      </w:r>
      <w:r>
        <w:t>November</w:t>
      </w:r>
      <w:r w:rsidRPr="00A445F3">
        <w:t xml:space="preserve"> </w:t>
      </w:r>
      <w:r>
        <w:t>2025</w:t>
      </w:r>
      <w:r w:rsidRPr="00A445F3">
        <w:t>].</w:t>
      </w:r>
    </w:p>
  </w:footnote>
  <w:footnote w:id="19">
    <w:p w14:paraId="65F46BB9" w14:textId="680AC345" w:rsidR="00A445F3" w:rsidRDefault="00A445F3" w:rsidP="00A445F3">
      <w:pPr>
        <w:pStyle w:val="FootnoteText"/>
      </w:pPr>
      <w:r>
        <w:rPr>
          <w:rStyle w:val="FootnoteReference"/>
        </w:rPr>
        <w:footnoteRef/>
      </w:r>
      <w:r>
        <w:t xml:space="preserve"> Cadw</w:t>
      </w:r>
      <w:r w:rsidRPr="00A445F3">
        <w:t xml:space="preserve">, </w:t>
      </w:r>
      <w:r>
        <w:rPr>
          <w:i/>
          <w:iCs/>
        </w:rPr>
        <w:t>Tintern Abbey</w:t>
      </w:r>
      <w:r w:rsidRPr="00A445F3">
        <w:t xml:space="preserve"> (</w:t>
      </w:r>
      <w:r>
        <w:t>2019</w:t>
      </w:r>
      <w:r w:rsidRPr="00A445F3">
        <w:t xml:space="preserve">) &lt;https://cadw.gov.wales/sites/default/files/2019-05/Tinternnotesforteachers_EN.pdf&gt; [accessed </w:t>
      </w:r>
      <w:r>
        <w:t>07</w:t>
      </w:r>
      <w:r w:rsidRPr="00A445F3">
        <w:t xml:space="preserve"> </w:t>
      </w:r>
      <w:r>
        <w:t>November</w:t>
      </w:r>
      <w:r w:rsidRPr="00A445F3">
        <w:t xml:space="preserve"> </w:t>
      </w:r>
      <w:r>
        <w:t>2025</w:t>
      </w:r>
      <w:r w:rsidRPr="00A445F3">
        <w:t>].</w:t>
      </w:r>
    </w:p>
  </w:footnote>
  <w:footnote w:id="20">
    <w:p w14:paraId="6CD5969C" w14:textId="3A1571B8" w:rsidR="00A445F3" w:rsidRDefault="00A445F3" w:rsidP="00A445F3">
      <w:pPr>
        <w:pStyle w:val="FootnoteText"/>
      </w:pPr>
      <w:r>
        <w:rPr>
          <w:rStyle w:val="FootnoteReference"/>
        </w:rPr>
        <w:footnoteRef/>
      </w:r>
      <w:r>
        <w:t xml:space="preserve"> David Knowles, </w:t>
      </w:r>
      <w:r>
        <w:rPr>
          <w:i/>
          <w:iCs/>
        </w:rPr>
        <w:t>Christian Monasticism</w:t>
      </w:r>
      <w:r>
        <w:t>, p. 98.</w:t>
      </w:r>
    </w:p>
  </w:footnote>
  <w:footnote w:id="21">
    <w:p w14:paraId="58FFC8EB" w14:textId="0ADD2A37" w:rsidR="00A445F3" w:rsidRPr="00A445F3" w:rsidRDefault="00A445F3" w:rsidP="00A445F3">
      <w:pPr>
        <w:pStyle w:val="FootnoteText"/>
      </w:pPr>
      <w:r>
        <w:rPr>
          <w:rStyle w:val="FootnoteReference"/>
        </w:rPr>
        <w:footnoteRef/>
      </w:r>
      <w:r>
        <w:t xml:space="preserve"> Medieval Heritage, </w:t>
      </w:r>
      <w:r>
        <w:rPr>
          <w:i/>
          <w:iCs/>
        </w:rPr>
        <w:t>Tintern – Cistercian Abbey</w:t>
      </w:r>
      <w:r>
        <w:t xml:space="preserve"> </w:t>
      </w:r>
      <w:r w:rsidRPr="00A445F3">
        <w:t xml:space="preserve">[accessed </w:t>
      </w:r>
      <w:r>
        <w:t>07</w:t>
      </w:r>
      <w:r w:rsidRPr="00A445F3">
        <w:t xml:space="preserve"> </w:t>
      </w:r>
      <w:r>
        <w:t>November</w:t>
      </w:r>
      <w:r w:rsidRPr="00A445F3">
        <w:t xml:space="preserve"> </w:t>
      </w:r>
      <w:r>
        <w:t>2025</w:t>
      </w:r>
      <w:r w:rsidRPr="00A445F3">
        <w:t>].</w:t>
      </w:r>
    </w:p>
  </w:footnote>
  <w:footnote w:id="22">
    <w:p w14:paraId="67CBCF16" w14:textId="05A6D579" w:rsidR="00A445F3" w:rsidRDefault="00A445F3" w:rsidP="00A445F3">
      <w:pPr>
        <w:pStyle w:val="FootnoteText"/>
      </w:pPr>
      <w:r>
        <w:rPr>
          <w:rStyle w:val="FootnoteReference"/>
        </w:rPr>
        <w:footnoteRef/>
      </w:r>
      <w:r>
        <w:t xml:space="preserve"> Ibid. </w:t>
      </w:r>
    </w:p>
  </w:footnote>
  <w:footnote w:id="23">
    <w:p w14:paraId="10D47887" w14:textId="7A9DC989" w:rsidR="00A445F3" w:rsidRDefault="00A445F3" w:rsidP="00A445F3">
      <w:pPr>
        <w:pStyle w:val="FootnoteText"/>
      </w:pPr>
      <w:r>
        <w:rPr>
          <w:rStyle w:val="FootnoteReference"/>
        </w:rPr>
        <w:footnoteRef/>
      </w:r>
      <w:r>
        <w:t xml:space="preserve"> Ibid.</w:t>
      </w:r>
    </w:p>
  </w:footnote>
  <w:footnote w:id="24">
    <w:p w14:paraId="42209E59" w14:textId="07D05374" w:rsidR="00A445F3" w:rsidRDefault="00A445F3" w:rsidP="00A445F3">
      <w:pPr>
        <w:pStyle w:val="FootnoteText"/>
      </w:pPr>
      <w:r>
        <w:rPr>
          <w:rStyle w:val="FootnoteReference"/>
        </w:rPr>
        <w:footnoteRef/>
      </w:r>
      <w:r>
        <w:t xml:space="preserve"> </w:t>
      </w:r>
      <w:r w:rsidRPr="0080133F">
        <w:t xml:space="preserve">Christopher Brooke, </w:t>
      </w:r>
      <w:r w:rsidRPr="0080133F">
        <w:rPr>
          <w:i/>
          <w:iCs/>
        </w:rPr>
        <w:t>The Monastic World 1000–1300</w:t>
      </w:r>
      <w:r w:rsidRPr="0080133F">
        <w:t xml:space="preserve"> (London: Thames and Hudson, 1974)</w:t>
      </w:r>
      <w:r>
        <w:t xml:space="preserve"> pp. 154-156.</w:t>
      </w:r>
    </w:p>
  </w:footnote>
  <w:footnote w:id="25">
    <w:p w14:paraId="786784DC" w14:textId="174E727E" w:rsidR="00A445F3" w:rsidRDefault="00A445F3" w:rsidP="00A445F3">
      <w:pPr>
        <w:pStyle w:val="FootnoteText"/>
      </w:pPr>
      <w:r>
        <w:rPr>
          <w:rStyle w:val="FootnoteReference"/>
        </w:rPr>
        <w:footnoteRef/>
      </w:r>
      <w:r>
        <w:t xml:space="preserve"> Medieval Heritage, </w:t>
      </w:r>
      <w:r>
        <w:rPr>
          <w:i/>
          <w:iCs/>
        </w:rPr>
        <w:t>Tintern – Cistercian Abbey</w:t>
      </w:r>
      <w:r>
        <w:t xml:space="preserve"> </w:t>
      </w:r>
      <w:r w:rsidRPr="00A445F3">
        <w:t xml:space="preserve">[accessed </w:t>
      </w:r>
      <w:r>
        <w:t>07</w:t>
      </w:r>
      <w:r w:rsidRPr="00A445F3">
        <w:t xml:space="preserve"> </w:t>
      </w:r>
      <w:r>
        <w:t>November</w:t>
      </w:r>
      <w:r w:rsidRPr="00A445F3">
        <w:t xml:space="preserve"> </w:t>
      </w:r>
      <w:r>
        <w:t>2025</w:t>
      </w:r>
      <w:r w:rsidRPr="00A445F3">
        <w:t>].</w:t>
      </w:r>
    </w:p>
  </w:footnote>
  <w:footnote w:id="26">
    <w:p w14:paraId="3660E588" w14:textId="30645BCD" w:rsidR="00A445F3" w:rsidRDefault="00A445F3" w:rsidP="00A445F3">
      <w:pPr>
        <w:pStyle w:val="FootnoteText"/>
      </w:pPr>
      <w:r>
        <w:rPr>
          <w:rStyle w:val="FootnoteReference"/>
        </w:rPr>
        <w:footnoteRef/>
      </w:r>
      <w:r>
        <w:t xml:space="preserve"> Ibid.</w:t>
      </w:r>
    </w:p>
  </w:footnote>
  <w:footnote w:id="27">
    <w:p w14:paraId="3E5264C1" w14:textId="22C9DE49" w:rsidR="00A445F3" w:rsidRDefault="00A445F3" w:rsidP="00A445F3">
      <w:pPr>
        <w:pStyle w:val="FootnoteText"/>
      </w:pPr>
      <w:r>
        <w:rPr>
          <w:rStyle w:val="FootnoteReference"/>
        </w:rPr>
        <w:footnoteRef/>
      </w:r>
      <w:r>
        <w:t xml:space="preserve"> Janet</w:t>
      </w:r>
      <w:r w:rsidRPr="00A445F3">
        <w:t xml:space="preserve"> </w:t>
      </w:r>
      <w:r>
        <w:t xml:space="preserve">Burton </w:t>
      </w:r>
      <w:r w:rsidRPr="00A445F3">
        <w:t xml:space="preserve">and </w:t>
      </w:r>
      <w:r>
        <w:t>Julie</w:t>
      </w:r>
      <w:r w:rsidRPr="00A445F3">
        <w:t xml:space="preserve"> </w:t>
      </w:r>
      <w:r>
        <w:t>Kerr</w:t>
      </w:r>
      <w:r w:rsidRPr="00A445F3">
        <w:t xml:space="preserve">, </w:t>
      </w:r>
      <w:r>
        <w:rPr>
          <w:i/>
          <w:iCs/>
        </w:rPr>
        <w:t>The Cistercians in the Middle Ages</w:t>
      </w:r>
      <w:r>
        <w:t>,</w:t>
      </w:r>
      <w:r>
        <w:rPr>
          <w:i/>
          <w:iCs/>
        </w:rPr>
        <w:t xml:space="preserve"> </w:t>
      </w:r>
      <w:r w:rsidRPr="00A445F3">
        <w:t xml:space="preserve">p. </w:t>
      </w:r>
      <w:r>
        <w:t>56</w:t>
      </w:r>
      <w:r w:rsidRPr="00A445F3">
        <w:t>.</w:t>
      </w:r>
    </w:p>
  </w:footnote>
  <w:footnote w:id="28">
    <w:p w14:paraId="79F00B7D" w14:textId="7C95B8BA" w:rsidR="00A445F3" w:rsidRDefault="00A445F3" w:rsidP="00A445F3">
      <w:pPr>
        <w:pStyle w:val="FootnoteText"/>
      </w:pPr>
      <w:r>
        <w:rPr>
          <w:rStyle w:val="FootnoteReference"/>
        </w:rPr>
        <w:footnoteRef/>
      </w:r>
      <w:r>
        <w:t xml:space="preserve"> Cadw</w:t>
      </w:r>
      <w:r w:rsidRPr="00A445F3">
        <w:t xml:space="preserve">, </w:t>
      </w:r>
      <w:r>
        <w:rPr>
          <w:i/>
          <w:iCs/>
        </w:rPr>
        <w:t>Tintern Abbey</w:t>
      </w:r>
      <w:r w:rsidRPr="00A445F3">
        <w:t xml:space="preserve"> (</w:t>
      </w:r>
      <w:r>
        <w:t>2019</w:t>
      </w:r>
      <w:r w:rsidRPr="00A445F3">
        <w:t>)</w:t>
      </w:r>
      <w:r>
        <w:t xml:space="preserve"> </w:t>
      </w:r>
      <w:r w:rsidRPr="00A445F3">
        <w:t xml:space="preserve">[accessed </w:t>
      </w:r>
      <w:r>
        <w:t>07</w:t>
      </w:r>
      <w:r w:rsidRPr="00A445F3">
        <w:t xml:space="preserve"> </w:t>
      </w:r>
      <w:r>
        <w:t>November</w:t>
      </w:r>
      <w:r w:rsidRPr="00A445F3">
        <w:t xml:space="preserve"> </w:t>
      </w:r>
      <w:r>
        <w:t>2025</w:t>
      </w:r>
      <w:r w:rsidRPr="00A445F3">
        <w:t>].</w:t>
      </w:r>
    </w:p>
  </w:footnote>
  <w:footnote w:id="29">
    <w:p w14:paraId="08F5B047" w14:textId="6A5815E8" w:rsidR="00A445F3" w:rsidRDefault="00A445F3" w:rsidP="00A445F3">
      <w:pPr>
        <w:pStyle w:val="FootnoteText"/>
      </w:pPr>
      <w:r>
        <w:rPr>
          <w:rStyle w:val="FootnoteReference"/>
        </w:rPr>
        <w:footnoteRef/>
      </w:r>
      <w:r>
        <w:t xml:space="preserve"> </w:t>
      </w:r>
      <w:r w:rsidRPr="0080133F">
        <w:t xml:space="preserve">Christopher Brooke, </w:t>
      </w:r>
      <w:r w:rsidRPr="0080133F">
        <w:rPr>
          <w:i/>
          <w:iCs/>
        </w:rPr>
        <w:t>The Monastic World 1000–1300</w:t>
      </w:r>
      <w:r>
        <w:t>, p. 138.</w:t>
      </w:r>
    </w:p>
  </w:footnote>
  <w:footnote w:id="30">
    <w:p w14:paraId="54783CA1" w14:textId="018C7661" w:rsidR="00A445F3" w:rsidRDefault="00A445F3" w:rsidP="00A445F3">
      <w:pPr>
        <w:pStyle w:val="FootnoteText"/>
      </w:pPr>
      <w:r>
        <w:rPr>
          <w:rStyle w:val="FootnoteReference"/>
        </w:rPr>
        <w:footnoteRef/>
      </w:r>
      <w:r>
        <w:t xml:space="preserve"> David Knowles, </w:t>
      </w:r>
      <w:r>
        <w:rPr>
          <w:i/>
          <w:iCs/>
        </w:rPr>
        <w:t>Christian Monasticism</w:t>
      </w:r>
      <w:r>
        <w:t>, pp. 98-105.</w:t>
      </w:r>
    </w:p>
  </w:footnote>
  <w:footnote w:id="31">
    <w:p w14:paraId="23BAC61B" w14:textId="45E9D2AC" w:rsidR="00A445F3" w:rsidRDefault="00A445F3" w:rsidP="00A445F3">
      <w:pPr>
        <w:pStyle w:val="FootnoteText"/>
      </w:pPr>
      <w:r>
        <w:rPr>
          <w:rStyle w:val="FootnoteReference"/>
        </w:rPr>
        <w:footnoteRef/>
      </w:r>
      <w:r>
        <w:t xml:space="preserve"> Janet</w:t>
      </w:r>
      <w:r w:rsidRPr="00A445F3">
        <w:t xml:space="preserve"> </w:t>
      </w:r>
      <w:r>
        <w:t xml:space="preserve">Burton </w:t>
      </w:r>
      <w:r w:rsidRPr="00A445F3">
        <w:t xml:space="preserve">and </w:t>
      </w:r>
      <w:r>
        <w:t>Julie</w:t>
      </w:r>
      <w:r w:rsidRPr="00A445F3">
        <w:t xml:space="preserve"> </w:t>
      </w:r>
      <w:r>
        <w:t>Kerr</w:t>
      </w:r>
      <w:r w:rsidRPr="00A445F3">
        <w:t xml:space="preserve">, </w:t>
      </w:r>
      <w:r>
        <w:rPr>
          <w:i/>
          <w:iCs/>
        </w:rPr>
        <w:t>The Cistercians in the Middle Ages</w:t>
      </w:r>
      <w:r>
        <w:t>,</w:t>
      </w:r>
      <w:r>
        <w:rPr>
          <w:i/>
          <w:iCs/>
        </w:rPr>
        <w:t xml:space="preserve"> </w:t>
      </w:r>
      <w:r w:rsidRPr="00A445F3">
        <w:t>p</w:t>
      </w:r>
      <w:r>
        <w:t>p</w:t>
      </w:r>
      <w:r w:rsidRPr="00A445F3">
        <w:t xml:space="preserve">. </w:t>
      </w:r>
      <w:r>
        <w:t>56-57</w:t>
      </w:r>
      <w:r w:rsidRPr="00A445F3">
        <w:t>.</w:t>
      </w:r>
    </w:p>
  </w:footnote>
  <w:footnote w:id="32">
    <w:p w14:paraId="4F4EB693" w14:textId="315CE1D9" w:rsidR="00A445F3" w:rsidRDefault="00A445F3" w:rsidP="00A445F3">
      <w:pPr>
        <w:pStyle w:val="FootnoteText"/>
      </w:pPr>
      <w:r>
        <w:rPr>
          <w:rStyle w:val="FootnoteReference"/>
        </w:rPr>
        <w:footnoteRef/>
      </w:r>
      <w:r>
        <w:t xml:space="preserve"> Ibid., pp. 103-107.</w:t>
      </w:r>
    </w:p>
  </w:footnote>
  <w:footnote w:id="33">
    <w:p w14:paraId="19BF0B28" w14:textId="1280BA7F" w:rsidR="00A445F3" w:rsidRDefault="00A445F3" w:rsidP="00A445F3">
      <w:pPr>
        <w:pStyle w:val="FootnoteText"/>
      </w:pPr>
      <w:r>
        <w:rPr>
          <w:rStyle w:val="FootnoteReference"/>
        </w:rPr>
        <w:footnoteRef/>
      </w:r>
      <w:r>
        <w:t xml:space="preserve"> Janet</w:t>
      </w:r>
      <w:r w:rsidRPr="00A445F3">
        <w:t xml:space="preserve"> </w:t>
      </w:r>
      <w:r>
        <w:t xml:space="preserve">Burton </w:t>
      </w:r>
      <w:r w:rsidRPr="00A445F3">
        <w:t xml:space="preserve">and </w:t>
      </w:r>
      <w:r>
        <w:t>Julie</w:t>
      </w:r>
      <w:r w:rsidRPr="00A445F3">
        <w:t xml:space="preserve"> </w:t>
      </w:r>
      <w:r>
        <w:t>Kerr</w:t>
      </w:r>
      <w:r w:rsidRPr="00A445F3">
        <w:t xml:space="preserve">, </w:t>
      </w:r>
      <w:r>
        <w:rPr>
          <w:i/>
          <w:iCs/>
        </w:rPr>
        <w:t>The Cistercians in the Middle Ages</w:t>
      </w:r>
      <w:r>
        <w:t>,</w:t>
      </w:r>
      <w:r>
        <w:rPr>
          <w:i/>
          <w:iCs/>
        </w:rPr>
        <w:t xml:space="preserve"> </w:t>
      </w:r>
      <w:r w:rsidRPr="00A445F3">
        <w:t>p</w:t>
      </w:r>
      <w:r>
        <w:t>p</w:t>
      </w:r>
      <w:r w:rsidRPr="00A445F3">
        <w:t xml:space="preserve">. </w:t>
      </w:r>
      <w:r>
        <w:t>149-150</w:t>
      </w:r>
      <w:r w:rsidRPr="00A445F3">
        <w:t>.</w:t>
      </w:r>
    </w:p>
  </w:footnote>
  <w:footnote w:id="34">
    <w:p w14:paraId="511BCAA2" w14:textId="3BC06BD4" w:rsidR="00A445F3" w:rsidRDefault="00A445F3" w:rsidP="00A445F3">
      <w:pPr>
        <w:pStyle w:val="FootnoteText"/>
      </w:pPr>
      <w:r>
        <w:rPr>
          <w:rStyle w:val="FootnoteReference"/>
        </w:rPr>
        <w:footnoteRef/>
      </w:r>
      <w:r>
        <w:t xml:space="preserve"> David Knowles, </w:t>
      </w:r>
      <w:r>
        <w:rPr>
          <w:i/>
          <w:iCs/>
        </w:rPr>
        <w:t>Christian Monasticism</w:t>
      </w:r>
      <w:r>
        <w:t>, p. 119.</w:t>
      </w:r>
    </w:p>
  </w:footnote>
  <w:footnote w:id="35">
    <w:p w14:paraId="32397F2C" w14:textId="7551C37F" w:rsidR="00A445F3" w:rsidRDefault="00A445F3" w:rsidP="00A445F3">
      <w:pPr>
        <w:pStyle w:val="FootnoteText"/>
      </w:pPr>
      <w:r>
        <w:rPr>
          <w:rStyle w:val="FootnoteReference"/>
        </w:rPr>
        <w:footnoteRef/>
      </w:r>
      <w:r>
        <w:t xml:space="preserve"> Medieval Heritage, </w:t>
      </w:r>
      <w:r>
        <w:rPr>
          <w:i/>
          <w:iCs/>
        </w:rPr>
        <w:t>Tintern – Cistercian Abbey</w:t>
      </w:r>
      <w:r>
        <w:t xml:space="preserve"> </w:t>
      </w:r>
      <w:r w:rsidRPr="00A445F3">
        <w:t xml:space="preserve">[accessed </w:t>
      </w:r>
      <w:r>
        <w:t>07</w:t>
      </w:r>
      <w:r w:rsidRPr="00A445F3">
        <w:t xml:space="preserve"> </w:t>
      </w:r>
      <w:r>
        <w:t>November</w:t>
      </w:r>
      <w:r w:rsidRPr="00A445F3">
        <w:t xml:space="preserve"> </w:t>
      </w:r>
      <w:r>
        <w:t>2025</w:t>
      </w:r>
      <w:r w:rsidRPr="00A445F3">
        <w:t>].</w:t>
      </w:r>
    </w:p>
  </w:footnote>
  <w:footnote w:id="36">
    <w:p w14:paraId="62D0780D" w14:textId="43E017F8" w:rsidR="00A445F3" w:rsidRDefault="00A445F3" w:rsidP="00A445F3">
      <w:pPr>
        <w:pStyle w:val="FootnoteText"/>
      </w:pPr>
      <w:r>
        <w:rPr>
          <w:rStyle w:val="FootnoteReference"/>
        </w:rPr>
        <w:footnoteRef/>
      </w:r>
      <w:r>
        <w:t xml:space="preserve"> Richard K</w:t>
      </w:r>
      <w:r w:rsidRPr="00A445F3">
        <w:t xml:space="preserve"> </w:t>
      </w:r>
      <w:r>
        <w:t>Morris, Nicola Coldstream and Rick Turner</w:t>
      </w:r>
      <w:r w:rsidRPr="00A445F3">
        <w:t>, ‘</w:t>
      </w:r>
      <w:r>
        <w:t>The West Front of Tintern Abbey Church, Monmouthshire</w:t>
      </w:r>
      <w:r w:rsidRPr="00A445F3">
        <w:t xml:space="preserve">, </w:t>
      </w:r>
      <w:r>
        <w:rPr>
          <w:i/>
          <w:iCs/>
        </w:rPr>
        <w:t>The Antiquaries Journal</w:t>
      </w:r>
      <w:r w:rsidRPr="00A445F3">
        <w:t xml:space="preserve">, </w:t>
      </w:r>
      <w:r>
        <w:t>95</w:t>
      </w:r>
      <w:r w:rsidRPr="00A445F3">
        <w:t xml:space="preserve"> (</w:t>
      </w:r>
      <w:r>
        <w:t>2015</w:t>
      </w:r>
      <w:r w:rsidRPr="00A445F3">
        <w:t xml:space="preserve">), </w:t>
      </w:r>
      <w:r>
        <w:t xml:space="preserve">119-150 </w:t>
      </w:r>
      <w:r w:rsidRPr="00A445F3">
        <w:t>&lt;http://dx.doi.org/10.1017/S0003581515000153&gt;.</w:t>
      </w:r>
    </w:p>
  </w:footnote>
  <w:footnote w:id="37">
    <w:p w14:paraId="729A65FC" w14:textId="1CCCB29A" w:rsidR="00A445F3" w:rsidRDefault="00A445F3" w:rsidP="00A445F3">
      <w:pPr>
        <w:pStyle w:val="FootnoteText"/>
      </w:pPr>
      <w:r>
        <w:rPr>
          <w:rStyle w:val="FootnoteReference"/>
        </w:rPr>
        <w:footnoteRef/>
      </w:r>
      <w:r>
        <w:t xml:space="preserve"> David Knowles, </w:t>
      </w:r>
      <w:r>
        <w:rPr>
          <w:i/>
          <w:iCs/>
        </w:rPr>
        <w:t>Christian Monasticism</w:t>
      </w:r>
      <w:r>
        <w:t>, p. 74.</w:t>
      </w:r>
    </w:p>
  </w:footnote>
  <w:footnote w:id="38">
    <w:p w14:paraId="28475787" w14:textId="17813185" w:rsidR="00A445F3" w:rsidRDefault="00A445F3" w:rsidP="00A445F3">
      <w:pPr>
        <w:pStyle w:val="FootnoteText"/>
      </w:pPr>
      <w:r>
        <w:rPr>
          <w:rStyle w:val="FootnoteReference"/>
        </w:rPr>
        <w:footnoteRef/>
      </w:r>
      <w:r>
        <w:t xml:space="preserve"> Medieval Heritage, </w:t>
      </w:r>
      <w:r>
        <w:rPr>
          <w:i/>
          <w:iCs/>
        </w:rPr>
        <w:t>Tintern – Cistercian Abbey</w:t>
      </w:r>
      <w:r>
        <w:t xml:space="preserve"> </w:t>
      </w:r>
      <w:r w:rsidRPr="00A445F3">
        <w:t xml:space="preserve">[accessed </w:t>
      </w:r>
      <w:r>
        <w:t>07</w:t>
      </w:r>
      <w:r w:rsidRPr="00A445F3">
        <w:t xml:space="preserve"> </w:t>
      </w:r>
      <w:r>
        <w:t>November</w:t>
      </w:r>
      <w:r w:rsidRPr="00A445F3">
        <w:t xml:space="preserve"> </w:t>
      </w:r>
      <w:r>
        <w:t>2025</w:t>
      </w:r>
      <w:r w:rsidRPr="00A445F3">
        <w:t>].</w:t>
      </w:r>
    </w:p>
  </w:footnote>
  <w:footnote w:id="39">
    <w:p w14:paraId="53F5ADEF" w14:textId="48CCFF7C" w:rsidR="00A445F3" w:rsidRDefault="00A445F3" w:rsidP="00A445F3">
      <w:pPr>
        <w:pStyle w:val="FootnoteText"/>
      </w:pPr>
      <w:r>
        <w:rPr>
          <w:rStyle w:val="FootnoteReference"/>
        </w:rPr>
        <w:footnoteRef/>
      </w:r>
      <w:r>
        <w:t xml:space="preserve"> </w:t>
      </w:r>
      <w:r w:rsidRPr="0080133F">
        <w:t xml:space="preserve">Christopher Brooke, </w:t>
      </w:r>
      <w:r w:rsidRPr="0080133F">
        <w:rPr>
          <w:i/>
          <w:iCs/>
        </w:rPr>
        <w:t>The Monastic World 1000–1300</w:t>
      </w:r>
      <w:r>
        <w:t>, p. 139.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9C7E9" w14:textId="77777777" w:rsidR="009A1E2E" w:rsidRDefault="009A1E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B7A5E" w14:textId="3E256846" w:rsidR="009A1E2E" w:rsidRDefault="009A1E2E" w:rsidP="009A1E2E">
    <w:pPr>
      <w:pStyle w:val="Header"/>
      <w:jc w:val="both"/>
    </w:pPr>
    <w:r w:rsidRPr="009A1E2E">
      <w:rPr>
        <w:b/>
        <w:bCs/>
      </w:rPr>
      <w:t>Chris Guy</w:t>
    </w:r>
    <w:r w:rsidRPr="009A1E2E">
      <w:rPr>
        <w:b/>
        <w:bCs/>
      </w:rPr>
      <w:tab/>
      <w:t xml:space="preserve">    </w:t>
    </w:r>
    <w:r w:rsidRPr="009A1E2E">
      <w:rPr>
        <w:b/>
        <w:bCs/>
      </w:rPr>
      <w:t xml:space="preserve">From Desert Myths to Sheep Tales: The Cistercians in the Middle Ages </w:t>
    </w:r>
    <w:r w:rsidRPr="009A1E2E">
      <w:rPr>
        <w:sz w:val="22"/>
        <w:szCs w:val="22"/>
      </w:rPr>
      <w:t>(HPHI5911, HPHI6911)</w:t>
    </w:r>
    <w:r w:rsidRPr="009A1E2E">
      <w:rPr>
        <w:sz w:val="22"/>
        <w:szCs w:val="22"/>
      </w:rPr>
      <w:tab/>
    </w:r>
    <w:r w:rsidRPr="009A1E2E">
      <w:rPr>
        <w:sz w:val="22"/>
        <w:szCs w:val="22"/>
      </w:rPr>
      <w:tab/>
      <w:t>08/11/2025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D55F6" w14:textId="77777777" w:rsidR="009A1E2E" w:rsidRDefault="009A1E2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gDmYuhh" int2:invalidationBookmarkName="" int2:hashCode="8vEjF9Nlytteej" int2:id="8WtKM8OF">
      <int2:state int2:value="Rejected" int2:type="similarity"/>
    </int2:bookmark>
    <int2:bookmark int2:bookmarkName="_Int_HkEI3II2" int2:invalidationBookmarkName="" int2:hashCode="mGVnD44ZLfMN0B" int2:id="8DEguwfV">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B494B"/>
    <w:multiLevelType w:val="multilevel"/>
    <w:tmpl w:val="EAE60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2136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6F7"/>
    <w:rsid w:val="000B0D51"/>
    <w:rsid w:val="000B62C5"/>
    <w:rsid w:val="000E1E68"/>
    <w:rsid w:val="000E4402"/>
    <w:rsid w:val="00130529"/>
    <w:rsid w:val="0032702B"/>
    <w:rsid w:val="003A191A"/>
    <w:rsid w:val="003A3ECB"/>
    <w:rsid w:val="003C1468"/>
    <w:rsid w:val="00410996"/>
    <w:rsid w:val="00475109"/>
    <w:rsid w:val="004765A8"/>
    <w:rsid w:val="004A5C20"/>
    <w:rsid w:val="005277ED"/>
    <w:rsid w:val="005619A5"/>
    <w:rsid w:val="00566368"/>
    <w:rsid w:val="006446CC"/>
    <w:rsid w:val="00760E58"/>
    <w:rsid w:val="007630E1"/>
    <w:rsid w:val="007670CE"/>
    <w:rsid w:val="0079051B"/>
    <w:rsid w:val="007F504E"/>
    <w:rsid w:val="0080133F"/>
    <w:rsid w:val="00886A6B"/>
    <w:rsid w:val="00972F4F"/>
    <w:rsid w:val="009A1E2E"/>
    <w:rsid w:val="009C762A"/>
    <w:rsid w:val="00A445F3"/>
    <w:rsid w:val="00A53956"/>
    <w:rsid w:val="00A66DBA"/>
    <w:rsid w:val="00B248C1"/>
    <w:rsid w:val="00B6018C"/>
    <w:rsid w:val="00B76678"/>
    <w:rsid w:val="00B91345"/>
    <w:rsid w:val="00CA03BB"/>
    <w:rsid w:val="00CB6EF9"/>
    <w:rsid w:val="00D06E5F"/>
    <w:rsid w:val="00D1255C"/>
    <w:rsid w:val="00D17471"/>
    <w:rsid w:val="00DD5D91"/>
    <w:rsid w:val="00E126F7"/>
    <w:rsid w:val="00F04888"/>
    <w:rsid w:val="00F40982"/>
    <w:rsid w:val="00F71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CA253"/>
  <w15:chartTrackingRefBased/>
  <w15:docId w15:val="{11B68B68-1251-4552-B495-855942CA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6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6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6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6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6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6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6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6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6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6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6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6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6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6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6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6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6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6F7"/>
    <w:rPr>
      <w:rFonts w:eastAsiaTheme="majorEastAsia" w:cstheme="majorBidi"/>
      <w:color w:val="272727" w:themeColor="text1" w:themeTint="D8"/>
    </w:rPr>
  </w:style>
  <w:style w:type="paragraph" w:styleId="Title">
    <w:name w:val="Title"/>
    <w:basedOn w:val="Normal"/>
    <w:next w:val="Normal"/>
    <w:link w:val="TitleChar"/>
    <w:uiPriority w:val="10"/>
    <w:qFormat/>
    <w:rsid w:val="00E12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6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6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6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6F7"/>
    <w:pPr>
      <w:spacing w:before="160"/>
      <w:jc w:val="center"/>
    </w:pPr>
    <w:rPr>
      <w:i/>
      <w:iCs/>
      <w:color w:val="404040" w:themeColor="text1" w:themeTint="BF"/>
    </w:rPr>
  </w:style>
  <w:style w:type="character" w:customStyle="1" w:styleId="QuoteChar">
    <w:name w:val="Quote Char"/>
    <w:basedOn w:val="DefaultParagraphFont"/>
    <w:link w:val="Quote"/>
    <w:uiPriority w:val="29"/>
    <w:rsid w:val="00E126F7"/>
    <w:rPr>
      <w:i/>
      <w:iCs/>
      <w:color w:val="404040" w:themeColor="text1" w:themeTint="BF"/>
    </w:rPr>
  </w:style>
  <w:style w:type="paragraph" w:styleId="ListParagraph">
    <w:name w:val="List Paragraph"/>
    <w:basedOn w:val="Normal"/>
    <w:uiPriority w:val="34"/>
    <w:qFormat/>
    <w:rsid w:val="00E126F7"/>
    <w:pPr>
      <w:ind w:left="720"/>
      <w:contextualSpacing/>
    </w:pPr>
  </w:style>
  <w:style w:type="character" w:styleId="IntenseEmphasis">
    <w:name w:val="Intense Emphasis"/>
    <w:basedOn w:val="DefaultParagraphFont"/>
    <w:uiPriority w:val="21"/>
    <w:qFormat/>
    <w:rsid w:val="00E126F7"/>
    <w:rPr>
      <w:i/>
      <w:iCs/>
      <w:color w:val="0F4761" w:themeColor="accent1" w:themeShade="BF"/>
    </w:rPr>
  </w:style>
  <w:style w:type="paragraph" w:styleId="IntenseQuote">
    <w:name w:val="Intense Quote"/>
    <w:basedOn w:val="Normal"/>
    <w:next w:val="Normal"/>
    <w:link w:val="IntenseQuoteChar"/>
    <w:uiPriority w:val="30"/>
    <w:qFormat/>
    <w:rsid w:val="00E126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6F7"/>
    <w:rPr>
      <w:i/>
      <w:iCs/>
      <w:color w:val="0F4761" w:themeColor="accent1" w:themeShade="BF"/>
    </w:rPr>
  </w:style>
  <w:style w:type="character" w:styleId="IntenseReference">
    <w:name w:val="Intense Reference"/>
    <w:basedOn w:val="DefaultParagraphFont"/>
    <w:uiPriority w:val="32"/>
    <w:qFormat/>
    <w:rsid w:val="00E126F7"/>
    <w:rPr>
      <w:b/>
      <w:bCs/>
      <w:smallCaps/>
      <w:color w:val="0F4761" w:themeColor="accent1" w:themeShade="BF"/>
      <w:spacing w:val="5"/>
    </w:rPr>
  </w:style>
  <w:style w:type="paragraph" w:styleId="FootnoteText">
    <w:name w:val="footnote text"/>
    <w:basedOn w:val="Normal"/>
    <w:link w:val="FootnoteTextChar"/>
    <w:uiPriority w:val="99"/>
    <w:semiHidden/>
    <w:unhideWhenUsed/>
    <w:rsid w:val="007905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051B"/>
    <w:rPr>
      <w:sz w:val="20"/>
      <w:szCs w:val="20"/>
    </w:rPr>
  </w:style>
  <w:style w:type="character" w:styleId="FootnoteReference">
    <w:name w:val="footnote reference"/>
    <w:basedOn w:val="DefaultParagraphFont"/>
    <w:uiPriority w:val="99"/>
    <w:semiHidden/>
    <w:unhideWhenUsed/>
    <w:rsid w:val="0079051B"/>
    <w:rPr>
      <w:vertAlign w:val="superscript"/>
    </w:rPr>
  </w:style>
  <w:style w:type="character" w:styleId="CommentReference">
    <w:name w:val="annotation reference"/>
    <w:basedOn w:val="DefaultParagraphFont"/>
    <w:uiPriority w:val="99"/>
    <w:semiHidden/>
    <w:unhideWhenUsed/>
    <w:rsid w:val="0079051B"/>
    <w:rPr>
      <w:sz w:val="16"/>
      <w:szCs w:val="16"/>
    </w:rPr>
  </w:style>
  <w:style w:type="paragraph" w:styleId="CommentText">
    <w:name w:val="annotation text"/>
    <w:basedOn w:val="Normal"/>
    <w:link w:val="CommentTextChar"/>
    <w:uiPriority w:val="99"/>
    <w:unhideWhenUsed/>
    <w:rsid w:val="0079051B"/>
    <w:pPr>
      <w:spacing w:line="240" w:lineRule="auto"/>
    </w:pPr>
    <w:rPr>
      <w:sz w:val="20"/>
      <w:szCs w:val="20"/>
    </w:rPr>
  </w:style>
  <w:style w:type="character" w:customStyle="1" w:styleId="CommentTextChar">
    <w:name w:val="Comment Text Char"/>
    <w:basedOn w:val="DefaultParagraphFont"/>
    <w:link w:val="CommentText"/>
    <w:uiPriority w:val="99"/>
    <w:rsid w:val="0079051B"/>
    <w:rPr>
      <w:sz w:val="20"/>
      <w:szCs w:val="20"/>
    </w:rPr>
  </w:style>
  <w:style w:type="paragraph" w:styleId="CommentSubject">
    <w:name w:val="annotation subject"/>
    <w:basedOn w:val="CommentText"/>
    <w:next w:val="CommentText"/>
    <w:link w:val="CommentSubjectChar"/>
    <w:uiPriority w:val="99"/>
    <w:semiHidden/>
    <w:unhideWhenUsed/>
    <w:rsid w:val="0079051B"/>
    <w:rPr>
      <w:b/>
      <w:bCs/>
    </w:rPr>
  </w:style>
  <w:style w:type="character" w:customStyle="1" w:styleId="CommentSubjectChar">
    <w:name w:val="Comment Subject Char"/>
    <w:basedOn w:val="CommentTextChar"/>
    <w:link w:val="CommentSubject"/>
    <w:uiPriority w:val="99"/>
    <w:semiHidden/>
    <w:rsid w:val="0079051B"/>
    <w:rPr>
      <w:b/>
      <w:bCs/>
      <w:sz w:val="20"/>
      <w:szCs w:val="20"/>
    </w:rPr>
  </w:style>
  <w:style w:type="character" w:styleId="Hyperlink">
    <w:name w:val="Hyperlink"/>
    <w:basedOn w:val="DefaultParagraphFont"/>
    <w:uiPriority w:val="99"/>
    <w:unhideWhenUsed/>
    <w:rsid w:val="0079051B"/>
    <w:rPr>
      <w:color w:val="467886" w:themeColor="hyperlink"/>
      <w:u w:val="single"/>
    </w:rPr>
  </w:style>
  <w:style w:type="character" w:styleId="UnresolvedMention">
    <w:name w:val="Unresolved Mention"/>
    <w:basedOn w:val="DefaultParagraphFont"/>
    <w:uiPriority w:val="99"/>
    <w:semiHidden/>
    <w:unhideWhenUsed/>
    <w:rsid w:val="0079051B"/>
    <w:rPr>
      <w:color w:val="605E5C"/>
      <w:shd w:val="clear" w:color="auto" w:fill="E1DFDD"/>
    </w:rPr>
  </w:style>
  <w:style w:type="paragraph" w:styleId="Revision">
    <w:name w:val="Revision"/>
    <w:hidden/>
    <w:uiPriority w:val="99"/>
    <w:semiHidden/>
    <w:rsid w:val="00760E58"/>
    <w:pPr>
      <w:spacing w:after="0" w:line="240" w:lineRule="auto"/>
    </w:pPr>
  </w:style>
  <w:style w:type="paragraph" w:styleId="Caption">
    <w:name w:val="caption"/>
    <w:basedOn w:val="Normal"/>
    <w:next w:val="Normal"/>
    <w:uiPriority w:val="35"/>
    <w:unhideWhenUsed/>
    <w:qFormat/>
    <w:rsid w:val="00A445F3"/>
    <w:pPr>
      <w:spacing w:after="200" w:line="240" w:lineRule="auto"/>
    </w:pPr>
    <w:rPr>
      <w:i/>
      <w:iCs/>
      <w:color w:val="0E2841" w:themeColor="text2"/>
      <w:sz w:val="18"/>
      <w:szCs w:val="18"/>
    </w:rPr>
  </w:style>
  <w:style w:type="paragraph" w:styleId="EndnoteText">
    <w:name w:val="endnote text"/>
    <w:basedOn w:val="Normal"/>
    <w:link w:val="EndnoteTextChar"/>
    <w:uiPriority w:val="99"/>
    <w:semiHidden/>
    <w:unhideWhenUsed/>
    <w:rsid w:val="00A445F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445F3"/>
    <w:rPr>
      <w:sz w:val="20"/>
      <w:szCs w:val="20"/>
    </w:rPr>
  </w:style>
  <w:style w:type="character" w:styleId="EndnoteReference">
    <w:name w:val="endnote reference"/>
    <w:basedOn w:val="DefaultParagraphFont"/>
    <w:uiPriority w:val="99"/>
    <w:semiHidden/>
    <w:unhideWhenUsed/>
    <w:rsid w:val="00A445F3"/>
    <w:rPr>
      <w:vertAlign w:val="superscript"/>
    </w:rPr>
  </w:style>
  <w:style w:type="paragraph" w:styleId="Header">
    <w:name w:val="header"/>
    <w:basedOn w:val="Normal"/>
    <w:link w:val="HeaderChar"/>
    <w:uiPriority w:val="99"/>
    <w:unhideWhenUsed/>
    <w:rsid w:val="009A1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E2E"/>
  </w:style>
  <w:style w:type="paragraph" w:styleId="Footer">
    <w:name w:val="footer"/>
    <w:basedOn w:val="Normal"/>
    <w:link w:val="FooterChar"/>
    <w:uiPriority w:val="99"/>
    <w:unhideWhenUsed/>
    <w:rsid w:val="009A1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1AA56-F4D1-4B1D-9A0C-173E412EA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2482</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2</cp:revision>
  <dcterms:created xsi:type="dcterms:W3CDTF">2025-11-08T16:16:00Z</dcterms:created>
  <dcterms:modified xsi:type="dcterms:W3CDTF">2025-11-08T16:16:00Z</dcterms:modified>
</cp:coreProperties>
</file>