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E2B1B" w14:textId="42247721" w:rsidR="00753612" w:rsidRPr="00F34AFE" w:rsidRDefault="00363660">
      <w:pPr>
        <w:rPr>
          <w:rFonts w:cstheme="minorHAnsi"/>
        </w:rPr>
      </w:pPr>
      <w:r w:rsidRPr="00F34AFE">
        <w:rPr>
          <w:rFonts w:cstheme="minorHAnsi"/>
        </w:rPr>
        <w:t>TRDL6017 Assignment 2: What might be meant by ‘public theology’ and how (if at all) should it be done?</w:t>
      </w:r>
    </w:p>
    <w:p w14:paraId="40137190" w14:textId="668D81DC" w:rsidR="00363660" w:rsidRPr="00F34AFE" w:rsidRDefault="00363660" w:rsidP="00363660">
      <w:pPr>
        <w:rPr>
          <w:rFonts w:cstheme="minorHAnsi"/>
          <w:b/>
          <w:bCs/>
        </w:rPr>
      </w:pPr>
    </w:p>
    <w:p w14:paraId="10E6C3A5" w14:textId="208FCADB" w:rsidR="00F31464" w:rsidRPr="00F34AFE" w:rsidRDefault="00363660" w:rsidP="00CC0993">
      <w:pPr>
        <w:spacing w:line="480" w:lineRule="auto"/>
        <w:rPr>
          <w:rFonts w:cstheme="minorHAnsi"/>
          <w:b/>
          <w:bCs/>
        </w:rPr>
      </w:pPr>
      <w:r w:rsidRPr="00F34AFE">
        <w:rPr>
          <w:rFonts w:cstheme="minorHAnsi"/>
          <w:b/>
          <w:bCs/>
        </w:rPr>
        <w:t>Introduction</w:t>
      </w:r>
    </w:p>
    <w:p w14:paraId="65C9FAF9" w14:textId="59309936" w:rsidR="00E87F82" w:rsidRPr="00F34AFE" w:rsidRDefault="0080466F" w:rsidP="00CC0993">
      <w:pPr>
        <w:spacing w:line="480" w:lineRule="auto"/>
        <w:rPr>
          <w:rFonts w:cstheme="minorHAnsi"/>
        </w:rPr>
      </w:pPr>
      <w:r w:rsidRPr="00F34AFE">
        <w:rPr>
          <w:rFonts w:cstheme="minorHAnsi"/>
        </w:rPr>
        <w:t xml:space="preserve">This </w:t>
      </w:r>
      <w:r w:rsidR="00E8200C">
        <w:rPr>
          <w:rFonts w:cstheme="minorHAnsi"/>
        </w:rPr>
        <w:t xml:space="preserve">annotated </w:t>
      </w:r>
      <w:r w:rsidRPr="00F34AFE">
        <w:rPr>
          <w:rFonts w:cstheme="minorHAnsi"/>
        </w:rPr>
        <w:t xml:space="preserve">bibliography </w:t>
      </w:r>
      <w:r w:rsidR="00E8200C">
        <w:rPr>
          <w:rFonts w:cstheme="minorHAnsi"/>
        </w:rPr>
        <w:t>identifies</w:t>
      </w:r>
      <w:r w:rsidRPr="00F34AFE">
        <w:rPr>
          <w:rFonts w:cstheme="minorHAnsi"/>
        </w:rPr>
        <w:t xml:space="preserve"> some </w:t>
      </w:r>
      <w:r w:rsidR="00E8200C">
        <w:rPr>
          <w:rFonts w:cstheme="minorHAnsi"/>
        </w:rPr>
        <w:t>seminal</w:t>
      </w:r>
      <w:r w:rsidRPr="00F34AFE">
        <w:rPr>
          <w:rFonts w:cstheme="minorHAnsi"/>
        </w:rPr>
        <w:t xml:space="preserve"> resources </w:t>
      </w:r>
      <w:r w:rsidR="009212ED">
        <w:rPr>
          <w:rFonts w:cstheme="minorHAnsi"/>
        </w:rPr>
        <w:t xml:space="preserve">in different cultural contexts </w:t>
      </w:r>
      <w:r w:rsidRPr="00F34AFE">
        <w:rPr>
          <w:rFonts w:cstheme="minorHAnsi"/>
        </w:rPr>
        <w:t>exploring</w:t>
      </w:r>
      <w:r>
        <w:rPr>
          <w:rFonts w:cstheme="minorHAnsi"/>
        </w:rPr>
        <w:t xml:space="preserve"> what public theology is as a discrete theology and</w:t>
      </w:r>
      <w:r w:rsidR="009212ED">
        <w:rPr>
          <w:rFonts w:cstheme="minorHAnsi"/>
        </w:rPr>
        <w:t>/or</w:t>
      </w:r>
      <w:r>
        <w:rPr>
          <w:rFonts w:cstheme="minorHAnsi"/>
        </w:rPr>
        <w:t xml:space="preserve"> </w:t>
      </w:r>
      <w:r w:rsidR="00E8200C">
        <w:rPr>
          <w:rFonts w:cstheme="minorHAnsi"/>
        </w:rPr>
        <w:t>public theology</w:t>
      </w:r>
      <w:r>
        <w:rPr>
          <w:rFonts w:cstheme="minorHAnsi"/>
        </w:rPr>
        <w:t xml:space="preserve"> as</w:t>
      </w:r>
      <w:r w:rsidR="009212ED">
        <w:rPr>
          <w:rFonts w:cstheme="minorHAnsi"/>
        </w:rPr>
        <w:t xml:space="preserve"> </w:t>
      </w:r>
      <w:r>
        <w:rPr>
          <w:rFonts w:cstheme="minorHAnsi"/>
        </w:rPr>
        <w:t>a faith-based response to crisis</w:t>
      </w:r>
      <w:r w:rsidR="00124527">
        <w:rPr>
          <w:rFonts w:cstheme="minorHAnsi"/>
        </w:rPr>
        <w:t xml:space="preserve">, then </w:t>
      </w:r>
      <w:r w:rsidR="00960D0E">
        <w:rPr>
          <w:rFonts w:cstheme="minorHAnsi"/>
        </w:rPr>
        <w:t>two</w:t>
      </w:r>
      <w:r w:rsidR="009212ED">
        <w:rPr>
          <w:rFonts w:cstheme="minorHAnsi"/>
        </w:rPr>
        <w:t xml:space="preserve"> area</w:t>
      </w:r>
      <w:r w:rsidR="00960D0E">
        <w:rPr>
          <w:rFonts w:cstheme="minorHAnsi"/>
        </w:rPr>
        <w:t>s</w:t>
      </w:r>
      <w:r w:rsidR="009212ED">
        <w:rPr>
          <w:rFonts w:cstheme="minorHAnsi"/>
        </w:rPr>
        <w:t xml:space="preserve"> of </w:t>
      </w:r>
      <w:r>
        <w:rPr>
          <w:rFonts w:cstheme="minorHAnsi"/>
        </w:rPr>
        <w:t xml:space="preserve">perceived injustice. </w:t>
      </w:r>
      <w:r w:rsidR="009212ED">
        <w:rPr>
          <w:rFonts w:cstheme="minorHAnsi"/>
        </w:rPr>
        <w:t xml:space="preserve">How does the public </w:t>
      </w:r>
      <w:r w:rsidR="00124527">
        <w:rPr>
          <w:rFonts w:cstheme="minorHAnsi"/>
        </w:rPr>
        <w:t>challenge injustice</w:t>
      </w:r>
      <w:r w:rsidR="00124527">
        <w:rPr>
          <w:rFonts w:cstheme="minorHAnsi"/>
        </w:rPr>
        <w:t xml:space="preserve"> or </w:t>
      </w:r>
      <w:r w:rsidR="009212ED">
        <w:rPr>
          <w:rFonts w:cstheme="minorHAnsi"/>
        </w:rPr>
        <w:t xml:space="preserve">speak truth to power </w:t>
      </w:r>
      <w:r w:rsidR="00960D0E">
        <w:rPr>
          <w:rFonts w:cstheme="minorHAnsi"/>
        </w:rPr>
        <w:t>in the face of crisis</w:t>
      </w:r>
      <w:r w:rsidR="009212ED">
        <w:rPr>
          <w:rFonts w:cstheme="minorHAnsi"/>
        </w:rPr>
        <w:t>? So-called public theology</w:t>
      </w:r>
      <w:r w:rsidR="009212ED" w:rsidRPr="00F34AFE">
        <w:rPr>
          <w:rFonts w:cstheme="minorHAnsi"/>
        </w:rPr>
        <w:t xml:space="preserve"> </w:t>
      </w:r>
      <w:r w:rsidR="009212ED">
        <w:rPr>
          <w:rFonts w:cstheme="minorHAnsi"/>
        </w:rPr>
        <w:t>should be able to articulate a measured faith-based response into the public arena.</w:t>
      </w:r>
      <w:r w:rsidR="00CC0993">
        <w:rPr>
          <w:rFonts w:cstheme="minorHAnsi"/>
        </w:rPr>
        <w:t xml:space="preserve"> In reality, a confused picture emerges with inconclusive outcomes that require further debate.</w:t>
      </w:r>
    </w:p>
    <w:p w14:paraId="7484D2E8" w14:textId="17747FE5" w:rsidR="00AF44CD" w:rsidRPr="00CC0993" w:rsidRDefault="00363660" w:rsidP="00CC0993">
      <w:pPr>
        <w:spacing w:line="480" w:lineRule="auto"/>
        <w:rPr>
          <w:rFonts w:cstheme="minorHAnsi"/>
          <w:b/>
          <w:bCs/>
        </w:rPr>
      </w:pPr>
      <w:r w:rsidRPr="00F34AFE">
        <w:rPr>
          <w:rFonts w:cstheme="minorHAnsi"/>
          <w:b/>
          <w:bCs/>
        </w:rPr>
        <w:t>Bibliography</w:t>
      </w:r>
    </w:p>
    <w:p w14:paraId="56D77109" w14:textId="58F215EF" w:rsidR="00F7655A" w:rsidRDefault="00F7655A" w:rsidP="00CC0993">
      <w:pPr>
        <w:outlineLvl w:val="0"/>
        <w:rPr>
          <w:b/>
          <w:bCs/>
        </w:rPr>
      </w:pPr>
      <w:r w:rsidRPr="00B90B93">
        <w:rPr>
          <w:b/>
          <w:bCs/>
        </w:rPr>
        <w:fldChar w:fldCharType="begin"/>
      </w:r>
      <w:r w:rsidR="002E50D7">
        <w:rPr>
          <w:b/>
          <w:bCs/>
        </w:rPr>
        <w:instrText xml:space="preserve"> ADDIN ZOTERO_ITEM CSL_CITATION {"citationID":"94QAGSls","properties":{"formattedCitation":"Sebastian C. H. Kim, {\\i{}Theology in the Public Sphere: Public Theology as a Catalyst for Open Debate} (London: SCM Press, 2011).","plainCitation":"Sebastian C. H. Kim, Theology in the Public Sphere: Public Theology as a Catalyst for Open Debate (London: SCM Press, 2011).","noteIndex":0},"citationItems":[{"id":722,"uris":["http://zotero.org/users/7540819/items/3A5MNUYY"],"uri":["http://zotero.org/users/7540819/items/3A5MNUYY"],"itemData":{"id":722,"type":"book","event-place":"London","ISBN":"978-0-334-04377-5","language":"eng","number-of-pages":"260","publisher":"SCM Press","publisher-place":"London","source":"K10plus ISBN","title":"Theology in the public sphere: public theology as a catalyst for open debate","title-short":"Theology in the public sphere","author":[{"family":"Kim","given":"Sebastian C. H."}],"issued":{"date-parts":[["2011"]]}}}],"schema":"https://github.com/citation-style-language/schema/raw/master/csl-citation.json"} </w:instrText>
      </w:r>
      <w:r w:rsidRPr="00B90B93">
        <w:rPr>
          <w:b/>
          <w:bCs/>
        </w:rPr>
        <w:fldChar w:fldCharType="separate"/>
      </w:r>
      <w:r w:rsidRPr="00B90B93">
        <w:rPr>
          <w:rFonts w:ascii="Calibri" w:cs="Calibri"/>
          <w:b/>
          <w:bCs/>
        </w:rPr>
        <w:t xml:space="preserve">Sebastian C. H. Kim, </w:t>
      </w:r>
      <w:r w:rsidRPr="00B90B93">
        <w:rPr>
          <w:rFonts w:ascii="Calibri" w:cs="Calibri"/>
          <w:b/>
          <w:bCs/>
          <w:i/>
          <w:iCs/>
        </w:rPr>
        <w:t>Theology in the Public Sphere: Public Theology as a Catalyst for Open Debate</w:t>
      </w:r>
      <w:r w:rsidRPr="00B90B93">
        <w:rPr>
          <w:rFonts w:ascii="Calibri" w:cs="Calibri"/>
          <w:b/>
          <w:bCs/>
        </w:rPr>
        <w:t xml:space="preserve"> (London: SCM Press, 2011).</w:t>
      </w:r>
      <w:r w:rsidRPr="00B90B93">
        <w:rPr>
          <w:b/>
          <w:bCs/>
        </w:rPr>
        <w:fldChar w:fldCharType="end"/>
      </w:r>
    </w:p>
    <w:p w14:paraId="5A406357" w14:textId="77777777" w:rsidR="00CC0993" w:rsidRPr="00B90B93" w:rsidRDefault="00CC0993" w:rsidP="00CC0993">
      <w:pPr>
        <w:outlineLvl w:val="0"/>
        <w:rPr>
          <w:rFonts w:eastAsia="Times New Roman" w:cstheme="minorHAnsi"/>
          <w:b/>
          <w:bCs/>
          <w:color w:val="264653"/>
          <w:kern w:val="36"/>
          <w:lang w:eastAsia="en-GB"/>
        </w:rPr>
      </w:pPr>
    </w:p>
    <w:p w14:paraId="221857A3" w14:textId="4B78379D" w:rsidR="00F7655A" w:rsidRDefault="00F7655A" w:rsidP="00CC0993">
      <w:pPr>
        <w:spacing w:line="480" w:lineRule="auto"/>
        <w:rPr>
          <w:rFonts w:eastAsia="Times New Roman" w:cstheme="minorHAnsi"/>
          <w:lang w:eastAsia="en-GB"/>
        </w:rPr>
      </w:pPr>
      <w:r>
        <w:rPr>
          <w:rFonts w:eastAsia="Times New Roman" w:cstheme="minorHAnsi"/>
          <w:lang w:eastAsia="en-GB"/>
        </w:rPr>
        <w:t xml:space="preserve">This outstanding and </w:t>
      </w:r>
      <w:r w:rsidR="00E8200C">
        <w:rPr>
          <w:rFonts w:eastAsia="Times New Roman" w:cstheme="minorHAnsi"/>
          <w:lang w:eastAsia="en-GB"/>
        </w:rPr>
        <w:t>extensive</w:t>
      </w:r>
      <w:r>
        <w:rPr>
          <w:rFonts w:eastAsia="Times New Roman" w:cstheme="minorHAnsi"/>
          <w:lang w:eastAsia="en-GB"/>
        </w:rPr>
        <w:t xml:space="preserve"> enquiry into the nature and methodology of </w:t>
      </w:r>
      <w:r w:rsidR="00E8200C">
        <w:rPr>
          <w:rFonts w:cstheme="minorHAnsi"/>
        </w:rPr>
        <w:t xml:space="preserve">public theology </w:t>
      </w:r>
      <w:r>
        <w:rPr>
          <w:rFonts w:eastAsia="Times New Roman" w:cstheme="minorHAnsi"/>
          <w:lang w:eastAsia="en-GB"/>
        </w:rPr>
        <w:t xml:space="preserve">provides a valuable introduction to the whole area. </w:t>
      </w:r>
      <w:r w:rsidR="003B191F">
        <w:rPr>
          <w:rFonts w:eastAsia="Times New Roman" w:cstheme="minorHAnsi"/>
          <w:lang w:eastAsia="en-GB"/>
        </w:rPr>
        <w:t>Sebastian Kim sees it as</w:t>
      </w:r>
      <w:r>
        <w:rPr>
          <w:rFonts w:eastAsia="Times New Roman" w:cstheme="minorHAnsi"/>
          <w:lang w:eastAsia="en-GB"/>
        </w:rPr>
        <w:t xml:space="preserve"> a catalyst for public discussion, not a preserve of academia. </w:t>
      </w:r>
      <w:r w:rsidR="00960D0E">
        <w:rPr>
          <w:rFonts w:eastAsia="Times New Roman" w:cstheme="minorHAnsi"/>
          <w:lang w:eastAsia="en-GB"/>
        </w:rPr>
        <w:t>Kim</w:t>
      </w:r>
      <w:r>
        <w:rPr>
          <w:rFonts w:eastAsia="Times New Roman" w:cstheme="minorHAnsi"/>
          <w:lang w:eastAsia="en-GB"/>
        </w:rPr>
        <w:t xml:space="preserve"> scans the interface of Bible, faith and societal issues in a global context. The book divides into three parts: a thorough analysis of current scholarly discourse on </w:t>
      </w:r>
      <w:r w:rsidR="00E8200C">
        <w:rPr>
          <w:rFonts w:cstheme="minorHAnsi"/>
        </w:rPr>
        <w:t>public theology</w:t>
      </w:r>
      <w:r>
        <w:rPr>
          <w:rFonts w:eastAsia="Times New Roman" w:cstheme="minorHAnsi"/>
          <w:lang w:eastAsia="en-GB"/>
        </w:rPr>
        <w:t xml:space="preserve">, then shifts into examples of global and European practical theological engagements with real issues. It touches on issues of exclusion, injustice, racial and religious prejudice and inequality, war and peace, feminism, sensitivity of relationships with Islam, and pluralism in a multicultural society. Written within a British context, there are inevitably </w:t>
      </w:r>
      <w:r w:rsidR="00E8200C">
        <w:rPr>
          <w:rFonts w:eastAsia="Times New Roman" w:cstheme="minorHAnsi"/>
          <w:lang w:eastAsia="en-GB"/>
        </w:rPr>
        <w:t xml:space="preserve">important </w:t>
      </w:r>
      <w:r>
        <w:rPr>
          <w:rFonts w:eastAsia="Times New Roman" w:cstheme="minorHAnsi"/>
          <w:lang w:eastAsia="en-GB"/>
        </w:rPr>
        <w:t xml:space="preserve">areas missing, such as </w:t>
      </w:r>
      <w:r w:rsidR="00E8200C">
        <w:rPr>
          <w:rFonts w:eastAsia="Times New Roman" w:cstheme="minorHAnsi"/>
          <w:lang w:eastAsia="en-GB"/>
        </w:rPr>
        <w:t xml:space="preserve">the particular </w:t>
      </w:r>
      <w:r>
        <w:rPr>
          <w:rFonts w:eastAsia="Times New Roman" w:cstheme="minorHAnsi"/>
          <w:lang w:eastAsia="en-GB"/>
        </w:rPr>
        <w:t>UK</w:t>
      </w:r>
      <w:r w:rsidR="00E8200C">
        <w:rPr>
          <w:rFonts w:eastAsia="Times New Roman" w:cstheme="minorHAnsi"/>
          <w:lang w:eastAsia="en-GB"/>
        </w:rPr>
        <w:t xml:space="preserve"> situation</w:t>
      </w:r>
      <w:r>
        <w:rPr>
          <w:rFonts w:eastAsia="Times New Roman" w:cstheme="minorHAnsi"/>
          <w:lang w:eastAsia="en-GB"/>
        </w:rPr>
        <w:t xml:space="preserve"> of asylum-seekers, homelessness, foodbanks, among others. A well-written book which shows there is no single </w:t>
      </w:r>
      <w:r w:rsidR="00960D0E">
        <w:rPr>
          <w:rFonts w:eastAsia="Times New Roman" w:cstheme="minorHAnsi"/>
          <w:lang w:eastAsia="en-GB"/>
        </w:rPr>
        <w:t xml:space="preserve">theological </w:t>
      </w:r>
      <w:r>
        <w:rPr>
          <w:rFonts w:eastAsia="Times New Roman" w:cstheme="minorHAnsi"/>
          <w:lang w:eastAsia="en-GB"/>
        </w:rPr>
        <w:t xml:space="preserve">template, but ones which fit individual issues in </w:t>
      </w:r>
      <w:r w:rsidR="003B191F">
        <w:rPr>
          <w:rFonts w:eastAsia="Times New Roman" w:cstheme="minorHAnsi"/>
          <w:lang w:eastAsia="en-GB"/>
        </w:rPr>
        <w:t>their differing</w:t>
      </w:r>
      <w:r>
        <w:rPr>
          <w:rFonts w:eastAsia="Times New Roman" w:cstheme="minorHAnsi"/>
          <w:lang w:eastAsia="en-GB"/>
        </w:rPr>
        <w:t xml:space="preserve"> contexts.</w:t>
      </w:r>
    </w:p>
    <w:p w14:paraId="50A7F7BA" w14:textId="77777777" w:rsidR="00F7655A" w:rsidRDefault="00F7655A" w:rsidP="00CC0993">
      <w:pPr>
        <w:pStyle w:val="ListParagraph"/>
        <w:spacing w:line="480" w:lineRule="auto"/>
        <w:rPr>
          <w:rFonts w:cstheme="minorHAnsi"/>
          <w:b/>
          <w:bCs/>
        </w:rPr>
      </w:pPr>
    </w:p>
    <w:p w14:paraId="0AC80134" w14:textId="067FD9B8" w:rsidR="003719C3" w:rsidRDefault="00000C2B" w:rsidP="00CC0993">
      <w:pPr>
        <w:rPr>
          <w:rFonts w:eastAsia="Times New Roman" w:cstheme="minorHAnsi"/>
          <w:b/>
          <w:bCs/>
          <w:lang w:eastAsia="en-GB"/>
        </w:rPr>
      </w:pPr>
      <w:r w:rsidRPr="00B90B93">
        <w:rPr>
          <w:rFonts w:cstheme="minorHAnsi"/>
          <w:b/>
          <w:bCs/>
        </w:rPr>
        <w:lastRenderedPageBreak/>
        <w:fldChar w:fldCharType="begin"/>
      </w:r>
      <w:r w:rsidR="002E50D7">
        <w:rPr>
          <w:rFonts w:cstheme="minorHAnsi"/>
          <w:b/>
          <w:bCs/>
        </w:rPr>
        <w:instrText xml:space="preserve"> ADDIN ZOTERO_ITEM CSL_CITATION {"citationID":"FeIRLhXn","properties":{"formattedCitation":"E. Harold Breitenberg, \\uc0\\u8216{}To Tell the Truth: Will the Real Public Theology Please Stand Up?\\uc0\\u8217{}, {\\i{}Journal of the Society of Christian Ethics} 23, no. 2 (2003): 55\\uc0\\u8211{}96.","plainCitation":"E. Harold Breitenberg, ‘To Tell the Truth: Will the Real Public Theology Please Stand Up?’, Journal of the Society of Christian Ethics 23, no. 2 (2003): 55–96.","noteIndex":0},"citationItems":[{"id":643,"uris":["http://zotero.org/users/7540819/items/4PWST34A"],"uri":["http://zotero.org/users/7540819/items/4PWST34A"],"itemData":{"id":643,"type":"article-journal","abstract":"[Public theology has been praised for being in keeping with the best of the Christian theological tradition and denounced as a distortion of the church's true calling. However, it is not clear that public theology's advocates and critics always refer to the same thing. In this paper I seek to clarify and refine the conversation by comparing and contrasting descriptions of public theology with other related terms, describing three main types of public theology literature and two main areas of concern they address, proposing a definition of public theology based on a consensus within the field, outlining four basic critiques, and suggesting some implications for the continuing discussion of public theology.]","archive":"JSTOR","container-title":"Journal of the Society of Christian Ethics","ISSN":"15407942, 23262176","issue":"2","note":"publisher: [Georgetown University Press, Society of Christian Ethics]","page":"55-96","title":"To Tell the Truth: Will the Real Public Theology Please Stand Up?","volume":"23","author":[{"family":"Breitenberg","given":"E. Harold"}],"issued":{"date-parts":[["2003"]]}}}],"schema":"https://github.com/citation-style-language/schema/raw/master/csl-citation.json"} </w:instrText>
      </w:r>
      <w:r w:rsidRPr="00B90B93">
        <w:rPr>
          <w:rFonts w:cstheme="minorHAnsi"/>
          <w:b/>
          <w:bCs/>
        </w:rPr>
        <w:fldChar w:fldCharType="separate"/>
      </w:r>
      <w:r w:rsidRPr="00B90B93">
        <w:rPr>
          <w:rFonts w:cstheme="minorHAnsi"/>
          <w:b/>
          <w:bCs/>
        </w:rPr>
        <w:t xml:space="preserve">E. Harold Breitenberg, ‘To Tell the Truth: Will the Real Public Theology Please Stand Up?’, </w:t>
      </w:r>
      <w:r w:rsidRPr="00B90B93">
        <w:rPr>
          <w:rFonts w:cstheme="minorHAnsi"/>
          <w:b/>
          <w:bCs/>
          <w:i/>
          <w:iCs/>
        </w:rPr>
        <w:t>Journal of the Society of Christian Ethics</w:t>
      </w:r>
      <w:r w:rsidRPr="00B90B93">
        <w:rPr>
          <w:rFonts w:cstheme="minorHAnsi"/>
          <w:b/>
          <w:bCs/>
        </w:rPr>
        <w:t xml:space="preserve"> 23, no. 2 (2003): 55–96.</w:t>
      </w:r>
      <w:r w:rsidRPr="00B90B93">
        <w:rPr>
          <w:rFonts w:cstheme="minorHAnsi"/>
          <w:b/>
          <w:bCs/>
        </w:rPr>
        <w:fldChar w:fldCharType="end"/>
      </w:r>
      <w:r w:rsidRPr="00B90B93">
        <w:rPr>
          <w:rFonts w:eastAsia="Times New Roman" w:cstheme="minorHAnsi"/>
          <w:b/>
          <w:bCs/>
          <w:lang w:eastAsia="en-GB"/>
        </w:rPr>
        <w:t xml:space="preserve"> </w:t>
      </w:r>
    </w:p>
    <w:p w14:paraId="71D00CDB" w14:textId="77777777" w:rsidR="00CC0993" w:rsidRPr="00B90B93" w:rsidRDefault="00CC0993" w:rsidP="00CC0993">
      <w:pPr>
        <w:rPr>
          <w:rFonts w:cstheme="minorHAnsi"/>
          <w:b/>
          <w:bCs/>
        </w:rPr>
      </w:pPr>
    </w:p>
    <w:p w14:paraId="592914CB" w14:textId="5CB29AE6" w:rsidR="003719C3" w:rsidRPr="00F34AFE" w:rsidRDefault="005E345D" w:rsidP="00CC0993">
      <w:pPr>
        <w:spacing w:line="480" w:lineRule="auto"/>
        <w:rPr>
          <w:rFonts w:cstheme="minorHAnsi"/>
        </w:rPr>
      </w:pPr>
      <w:r w:rsidRPr="00F34AFE">
        <w:rPr>
          <w:rFonts w:cstheme="minorHAnsi"/>
        </w:rPr>
        <w:t xml:space="preserve">Harold </w:t>
      </w:r>
      <w:proofErr w:type="spellStart"/>
      <w:r w:rsidRPr="00F34AFE">
        <w:rPr>
          <w:rFonts w:cstheme="minorHAnsi"/>
        </w:rPr>
        <w:t>Breitenberg’s</w:t>
      </w:r>
      <w:proofErr w:type="spellEnd"/>
      <w:r w:rsidRPr="00F34AFE">
        <w:rPr>
          <w:rFonts w:cstheme="minorHAnsi"/>
        </w:rPr>
        <w:t xml:space="preserve"> </w:t>
      </w:r>
      <w:r w:rsidR="00192CAF" w:rsidRPr="00F34AFE">
        <w:rPr>
          <w:rFonts w:cstheme="minorHAnsi"/>
        </w:rPr>
        <w:t>journal article</w:t>
      </w:r>
      <w:r w:rsidR="00A2376D" w:rsidRPr="00F34AFE">
        <w:rPr>
          <w:rFonts w:cstheme="minorHAnsi"/>
        </w:rPr>
        <w:t xml:space="preserve"> </w:t>
      </w:r>
      <w:r w:rsidR="00497FCD" w:rsidRPr="00F34AFE">
        <w:rPr>
          <w:rFonts w:cstheme="minorHAnsi"/>
        </w:rPr>
        <w:t xml:space="preserve">addresses </w:t>
      </w:r>
      <w:r w:rsidR="003027A4" w:rsidRPr="00F34AFE">
        <w:rPr>
          <w:rFonts w:cstheme="minorHAnsi"/>
        </w:rPr>
        <w:t>confusion perceive</w:t>
      </w:r>
      <w:r w:rsidR="00737711" w:rsidRPr="00F34AFE">
        <w:rPr>
          <w:rFonts w:cstheme="minorHAnsi"/>
        </w:rPr>
        <w:t>d</w:t>
      </w:r>
      <w:r w:rsidR="003027A4" w:rsidRPr="00F34AFE">
        <w:rPr>
          <w:rFonts w:cstheme="minorHAnsi"/>
        </w:rPr>
        <w:t xml:space="preserve"> amongst scholars concerning the nature and calling of public theology. </w:t>
      </w:r>
      <w:r w:rsidR="00F7655A">
        <w:rPr>
          <w:rFonts w:cstheme="minorHAnsi"/>
        </w:rPr>
        <w:t>In common with other theologians, h</w:t>
      </w:r>
      <w:r w:rsidRPr="00F34AFE">
        <w:rPr>
          <w:rFonts w:cstheme="minorHAnsi"/>
        </w:rPr>
        <w:t xml:space="preserve">e </w:t>
      </w:r>
      <w:r w:rsidR="00314C7F" w:rsidRPr="00F34AFE">
        <w:rPr>
          <w:rFonts w:cstheme="minorHAnsi"/>
        </w:rPr>
        <w:t xml:space="preserve">summarises the fundamental priorities of </w:t>
      </w:r>
      <w:r w:rsidR="00E8200C">
        <w:rPr>
          <w:rFonts w:cstheme="minorHAnsi"/>
        </w:rPr>
        <w:t xml:space="preserve">public theology </w:t>
      </w:r>
      <w:r w:rsidR="00314C7F" w:rsidRPr="00F34AFE">
        <w:rPr>
          <w:rFonts w:cstheme="minorHAnsi"/>
        </w:rPr>
        <w:t>as providing Christian theological and ethical resources for</w:t>
      </w:r>
      <w:r w:rsidR="00A40733" w:rsidRPr="00F34AFE">
        <w:rPr>
          <w:rFonts w:cstheme="minorHAnsi"/>
        </w:rPr>
        <w:t xml:space="preserve"> fruitful “relationships between churches, institutions, and individuals and the larger societies in which they live, work, and worship</w:t>
      </w:r>
      <w:r w:rsidR="00092EC0">
        <w:rPr>
          <w:rFonts w:cstheme="minorHAnsi"/>
        </w:rPr>
        <w:t>”</w:t>
      </w:r>
      <w:r w:rsidR="00A40733" w:rsidRPr="006A0493">
        <w:rPr>
          <w:rStyle w:val="FootnoteReference"/>
        </w:rPr>
        <w:footnoteReference w:id="1"/>
      </w:r>
      <w:r w:rsidR="003027A4" w:rsidRPr="00F34AFE">
        <w:rPr>
          <w:rFonts w:cstheme="minorHAnsi"/>
        </w:rPr>
        <w:t xml:space="preserve">. Carefully structured argument critiques </w:t>
      </w:r>
      <w:r w:rsidR="00A40733" w:rsidRPr="00F34AFE">
        <w:rPr>
          <w:rFonts w:cstheme="minorHAnsi"/>
        </w:rPr>
        <w:t xml:space="preserve">three main types of </w:t>
      </w:r>
      <w:r w:rsidR="00E8200C">
        <w:rPr>
          <w:rFonts w:cstheme="minorHAnsi"/>
        </w:rPr>
        <w:t>public theology</w:t>
      </w:r>
      <w:r w:rsidRPr="00F34AFE">
        <w:rPr>
          <w:rFonts w:cstheme="minorHAnsi"/>
        </w:rPr>
        <w:t xml:space="preserve"> and </w:t>
      </w:r>
      <w:r w:rsidR="00A40733" w:rsidRPr="00F34AFE">
        <w:rPr>
          <w:rFonts w:cstheme="minorHAnsi"/>
        </w:rPr>
        <w:t>two main areas of concern for proponents and objectors alike</w:t>
      </w:r>
      <w:r w:rsidRPr="00F34AFE">
        <w:rPr>
          <w:rFonts w:cstheme="minorHAnsi"/>
        </w:rPr>
        <w:t xml:space="preserve">. </w:t>
      </w:r>
      <w:r w:rsidR="00497FCD" w:rsidRPr="00F34AFE">
        <w:rPr>
          <w:rFonts w:cstheme="minorHAnsi"/>
        </w:rPr>
        <w:t>A</w:t>
      </w:r>
      <w:r w:rsidR="004D7D19" w:rsidRPr="00F34AFE">
        <w:rPr>
          <w:rFonts w:cstheme="minorHAnsi"/>
        </w:rPr>
        <w:t>n insightful</w:t>
      </w:r>
      <w:r w:rsidR="00092EC0">
        <w:rPr>
          <w:rFonts w:cstheme="minorHAnsi"/>
        </w:rPr>
        <w:t>, though not uncontested,</w:t>
      </w:r>
      <w:r w:rsidR="004D7D19" w:rsidRPr="00F34AFE">
        <w:rPr>
          <w:rFonts w:cstheme="minorHAnsi"/>
        </w:rPr>
        <w:t xml:space="preserve"> proposed definition of </w:t>
      </w:r>
      <w:r w:rsidR="00E8200C">
        <w:rPr>
          <w:rFonts w:cstheme="minorHAnsi"/>
        </w:rPr>
        <w:t xml:space="preserve">public theology </w:t>
      </w:r>
      <w:r w:rsidR="00497FCD" w:rsidRPr="00F34AFE">
        <w:rPr>
          <w:rFonts w:cstheme="minorHAnsi"/>
        </w:rPr>
        <w:t>concludes the paper</w:t>
      </w:r>
      <w:r w:rsidR="004D7D19" w:rsidRPr="00F34AFE">
        <w:rPr>
          <w:rFonts w:cstheme="minorHAnsi"/>
        </w:rPr>
        <w:t xml:space="preserve">. </w:t>
      </w:r>
      <w:r w:rsidR="00497FCD" w:rsidRPr="00F34AFE">
        <w:rPr>
          <w:rFonts w:cstheme="minorHAnsi"/>
        </w:rPr>
        <w:t>It</w:t>
      </w:r>
      <w:r w:rsidR="004D7D19" w:rsidRPr="00F34AFE">
        <w:rPr>
          <w:rFonts w:cstheme="minorHAnsi"/>
        </w:rPr>
        <w:t xml:space="preserve"> is </w:t>
      </w:r>
      <w:r w:rsidR="003B191F">
        <w:rPr>
          <w:rFonts w:cstheme="minorHAnsi"/>
        </w:rPr>
        <w:t xml:space="preserve">a </w:t>
      </w:r>
      <w:r w:rsidR="004D7D19" w:rsidRPr="00F34AFE">
        <w:rPr>
          <w:rFonts w:cstheme="minorHAnsi"/>
        </w:rPr>
        <w:t xml:space="preserve">well-crafted </w:t>
      </w:r>
      <w:r w:rsidR="00092EC0">
        <w:rPr>
          <w:rFonts w:cstheme="minorHAnsi"/>
        </w:rPr>
        <w:t>introduction to the field</w:t>
      </w:r>
      <w:r w:rsidR="003B191F">
        <w:rPr>
          <w:rFonts w:cstheme="minorHAnsi"/>
        </w:rPr>
        <w:t>, which goes further than Kim with its definition and intent</w:t>
      </w:r>
      <w:r w:rsidR="00092EC0">
        <w:rPr>
          <w:rFonts w:cstheme="minorHAnsi"/>
        </w:rPr>
        <w:t xml:space="preserve">. </w:t>
      </w:r>
      <w:r w:rsidR="00F7655A">
        <w:rPr>
          <w:rFonts w:cstheme="minorHAnsi"/>
        </w:rPr>
        <w:t>F</w:t>
      </w:r>
      <w:r w:rsidR="004D7D19" w:rsidRPr="00F34AFE">
        <w:rPr>
          <w:rFonts w:cstheme="minorHAnsi"/>
        </w:rPr>
        <w:t>ootnoted insights</w:t>
      </w:r>
      <w:r w:rsidR="00497FCD" w:rsidRPr="00F34AFE">
        <w:rPr>
          <w:rFonts w:cstheme="minorHAnsi"/>
        </w:rPr>
        <w:t>, whilst not</w:t>
      </w:r>
      <w:r w:rsidR="004D7D19" w:rsidRPr="00F34AFE">
        <w:rPr>
          <w:rFonts w:cstheme="minorHAnsi"/>
        </w:rPr>
        <w:t xml:space="preserve"> specifically </w:t>
      </w:r>
      <w:r w:rsidR="00960D0E">
        <w:rPr>
          <w:rFonts w:cstheme="minorHAnsi"/>
        </w:rPr>
        <w:t xml:space="preserve">relevant to the article, suggest that </w:t>
      </w:r>
      <w:r w:rsidR="00E8200C">
        <w:rPr>
          <w:rFonts w:cstheme="minorHAnsi"/>
        </w:rPr>
        <w:t xml:space="preserve">public theology </w:t>
      </w:r>
      <w:r w:rsidR="004D7D19" w:rsidRPr="00F34AFE">
        <w:rPr>
          <w:rFonts w:cstheme="minorHAnsi"/>
        </w:rPr>
        <w:t xml:space="preserve">is not </w:t>
      </w:r>
      <w:r w:rsidR="00497FCD" w:rsidRPr="00F34AFE">
        <w:rPr>
          <w:rFonts w:cstheme="minorHAnsi"/>
        </w:rPr>
        <w:t xml:space="preserve">the </w:t>
      </w:r>
      <w:r w:rsidR="004D7D19" w:rsidRPr="00F34AFE">
        <w:rPr>
          <w:rFonts w:cstheme="minorHAnsi"/>
        </w:rPr>
        <w:t xml:space="preserve">exclusive remit of Christianity, but </w:t>
      </w:r>
      <w:r w:rsidR="00960D0E">
        <w:rPr>
          <w:rFonts w:cstheme="minorHAnsi"/>
        </w:rPr>
        <w:t xml:space="preserve">that </w:t>
      </w:r>
      <w:r w:rsidR="004D7D19" w:rsidRPr="00F34AFE">
        <w:rPr>
          <w:rFonts w:cstheme="minorHAnsi"/>
        </w:rPr>
        <w:t xml:space="preserve">other faiths </w:t>
      </w:r>
      <w:r w:rsidRPr="00F34AFE">
        <w:rPr>
          <w:rFonts w:cstheme="minorHAnsi"/>
        </w:rPr>
        <w:t xml:space="preserve">and, increasingly, secular society </w:t>
      </w:r>
      <w:r w:rsidR="004D7D19" w:rsidRPr="00F34AFE">
        <w:rPr>
          <w:rFonts w:cstheme="minorHAnsi"/>
        </w:rPr>
        <w:t xml:space="preserve">have </w:t>
      </w:r>
      <w:r w:rsidR="00497FCD" w:rsidRPr="00F34AFE">
        <w:rPr>
          <w:rFonts w:cstheme="minorHAnsi"/>
        </w:rPr>
        <w:t>positive</w:t>
      </w:r>
      <w:r w:rsidR="004D7D19" w:rsidRPr="00F34AFE">
        <w:rPr>
          <w:rFonts w:cstheme="minorHAnsi"/>
        </w:rPr>
        <w:t xml:space="preserve"> contribution</w:t>
      </w:r>
      <w:r w:rsidR="00497FCD" w:rsidRPr="00F34AFE">
        <w:rPr>
          <w:rFonts w:cstheme="minorHAnsi"/>
        </w:rPr>
        <w:t>s</w:t>
      </w:r>
      <w:r w:rsidR="004D7D19" w:rsidRPr="00F34AFE">
        <w:rPr>
          <w:rFonts w:cstheme="minorHAnsi"/>
        </w:rPr>
        <w:t xml:space="preserve"> to make</w:t>
      </w:r>
      <w:r w:rsidRPr="00F34AFE">
        <w:rPr>
          <w:rFonts w:cstheme="minorHAnsi"/>
        </w:rPr>
        <w:t>.</w:t>
      </w:r>
      <w:r w:rsidR="00F7655A">
        <w:rPr>
          <w:rFonts w:cstheme="minorHAnsi"/>
        </w:rPr>
        <w:t xml:space="preserve"> </w:t>
      </w:r>
      <w:r w:rsidR="00092EC0">
        <w:rPr>
          <w:rFonts w:cstheme="minorHAnsi"/>
        </w:rPr>
        <w:t xml:space="preserve">This </w:t>
      </w:r>
      <w:r w:rsidR="00EB7A8C">
        <w:rPr>
          <w:rFonts w:cstheme="minorHAnsi"/>
        </w:rPr>
        <w:t>avenue would benefit from further research and development.</w:t>
      </w:r>
    </w:p>
    <w:p w14:paraId="098EA26A" w14:textId="77777777" w:rsidR="00192CAF" w:rsidRPr="00F34AFE" w:rsidRDefault="00192CAF" w:rsidP="00CC0993">
      <w:pPr>
        <w:spacing w:line="480" w:lineRule="auto"/>
        <w:rPr>
          <w:rFonts w:cstheme="minorHAnsi"/>
          <w:b/>
          <w:bCs/>
        </w:rPr>
      </w:pPr>
    </w:p>
    <w:p w14:paraId="35D78084" w14:textId="6105572D" w:rsidR="003719C3" w:rsidRDefault="00000C2B" w:rsidP="00CC0993">
      <w:pPr>
        <w:rPr>
          <w:rFonts w:cstheme="minorHAnsi"/>
          <w:b/>
          <w:bCs/>
        </w:rPr>
      </w:pPr>
      <w:r w:rsidRPr="00B90B93">
        <w:rPr>
          <w:rFonts w:cstheme="minorHAnsi"/>
          <w:b/>
          <w:bCs/>
        </w:rPr>
        <w:fldChar w:fldCharType="begin"/>
      </w:r>
      <w:r w:rsidR="002E50D7">
        <w:rPr>
          <w:rFonts w:cstheme="minorHAnsi"/>
          <w:b/>
          <w:bCs/>
        </w:rPr>
        <w:instrText xml:space="preserve"> ADDIN ZOTERO_ITEM CSL_CITATION {"citationID":"7ayzGb5x","properties":{"formattedCitation":"Max L Stackhouse, \\uc0\\u8216{}Civil Religion, Political Theology and Public Theology: What\\uc0\\u8217{}s the Difference?\\uc0\\u8217{}, {\\i{}Political Theology} 5, no. 3 (July 2004): 275\\uc0\\u8211{}93.","plainCitation":"Max L Stackhouse, ‘Civil Religion, Political Theology and Public Theology: What’s the Difference?’, Political Theology 5, no. 3 (July 2004): 275–93.","noteIndex":0},"citationItems":[{"id":688,"uris":["http://zotero.org/users/7540819/items/A4GZXEDC"],"uri":["http://zotero.org/users/7540819/items/A4GZXEDC"],"itemData":{"id":688,"type":"article-journal","archive":"Atla Religion Database with AtlaSerials","container-title":"Political Theology","ISSN":"1462-317X","issue":"3","journalAbbreviation":"Political Theology","page":"275-293","source":"EBSCOhost","title":"Civil religion, political theology and public theology: what's the difference?","volume":"5","author":[{"family":"Stackhouse","given":"Max L"}],"issued":{"date-parts":[["2004",7]]}}}],"schema":"https://github.com/citation-style-language/schema/raw/master/csl-citation.json"} </w:instrText>
      </w:r>
      <w:r w:rsidRPr="00B90B93">
        <w:rPr>
          <w:rFonts w:cstheme="minorHAnsi"/>
          <w:b/>
          <w:bCs/>
        </w:rPr>
        <w:fldChar w:fldCharType="separate"/>
      </w:r>
      <w:r w:rsidRPr="000B0BD9">
        <w:rPr>
          <w:rFonts w:cstheme="minorHAnsi"/>
          <w:b/>
          <w:bCs/>
        </w:rPr>
        <w:t>Max L Stackhouse, ‘</w:t>
      </w:r>
      <w:r w:rsidRPr="00B90B93">
        <w:rPr>
          <w:rFonts w:cstheme="minorHAnsi"/>
          <w:b/>
          <w:bCs/>
        </w:rPr>
        <w:t xml:space="preserve">Civil Religion, Political Theology and Public Theology: What’s the Difference?’, </w:t>
      </w:r>
      <w:r w:rsidRPr="00B90B93">
        <w:rPr>
          <w:rFonts w:cstheme="minorHAnsi"/>
          <w:b/>
          <w:bCs/>
          <w:i/>
          <w:iCs/>
        </w:rPr>
        <w:t>Political Theology</w:t>
      </w:r>
      <w:r w:rsidRPr="00B90B93">
        <w:rPr>
          <w:rFonts w:cstheme="minorHAnsi"/>
          <w:b/>
          <w:bCs/>
        </w:rPr>
        <w:t xml:space="preserve"> 5, no. 3 (July 2004): 275–93.</w:t>
      </w:r>
      <w:r w:rsidRPr="00B90B93">
        <w:rPr>
          <w:rFonts w:cstheme="minorHAnsi"/>
          <w:b/>
          <w:bCs/>
        </w:rPr>
        <w:fldChar w:fldCharType="end"/>
      </w:r>
    </w:p>
    <w:p w14:paraId="24EE4CF7" w14:textId="77777777" w:rsidR="00CC0993" w:rsidRPr="00B90B93" w:rsidRDefault="00CC0993" w:rsidP="00CC0993">
      <w:pPr>
        <w:rPr>
          <w:rFonts w:cstheme="minorHAnsi"/>
          <w:b/>
          <w:bCs/>
        </w:rPr>
      </w:pPr>
    </w:p>
    <w:p w14:paraId="71BF7888" w14:textId="59CF17D0" w:rsidR="003719C3" w:rsidRPr="00F34AFE" w:rsidRDefault="003719C3" w:rsidP="00CC0993">
      <w:pPr>
        <w:pStyle w:val="ListParagraph"/>
        <w:spacing w:line="480" w:lineRule="auto"/>
        <w:ind w:left="0"/>
        <w:rPr>
          <w:rFonts w:cstheme="minorHAnsi"/>
        </w:rPr>
      </w:pPr>
      <w:r w:rsidRPr="00F34AFE">
        <w:rPr>
          <w:rFonts w:cstheme="minorHAnsi"/>
        </w:rPr>
        <w:t>Max Stackhouse</w:t>
      </w:r>
      <w:r w:rsidR="005854F0" w:rsidRPr="00F34AFE">
        <w:rPr>
          <w:rFonts w:cstheme="minorHAnsi"/>
        </w:rPr>
        <w:t xml:space="preserve">’s </w:t>
      </w:r>
      <w:r w:rsidR="00A2376D" w:rsidRPr="00F34AFE">
        <w:rPr>
          <w:rFonts w:cstheme="minorHAnsi"/>
        </w:rPr>
        <w:t xml:space="preserve">academic paper </w:t>
      </w:r>
      <w:r w:rsidR="00E128B6">
        <w:rPr>
          <w:rFonts w:cstheme="minorHAnsi"/>
        </w:rPr>
        <w:t xml:space="preserve">suggests </w:t>
      </w:r>
      <w:r w:rsidR="00192CAF" w:rsidRPr="00F34AFE">
        <w:rPr>
          <w:rFonts w:cstheme="minorHAnsi"/>
        </w:rPr>
        <w:t xml:space="preserve">that </w:t>
      </w:r>
      <w:r w:rsidR="005854F0" w:rsidRPr="00F34AFE">
        <w:rPr>
          <w:rFonts w:cstheme="minorHAnsi"/>
        </w:rPr>
        <w:t xml:space="preserve">faith-based models </w:t>
      </w:r>
      <w:r w:rsidR="00B71E86" w:rsidRPr="00F34AFE">
        <w:rPr>
          <w:rFonts w:cstheme="minorHAnsi"/>
        </w:rPr>
        <w:t xml:space="preserve">of American </w:t>
      </w:r>
      <w:r w:rsidR="005854F0" w:rsidRPr="00F34AFE">
        <w:rPr>
          <w:rFonts w:cstheme="minorHAnsi"/>
        </w:rPr>
        <w:t xml:space="preserve">civil religion, political theology and public theology all aim to provide an ecumenical and inclusive way for a flourishing society. </w:t>
      </w:r>
      <w:r w:rsidR="00EA166E" w:rsidRPr="00F34AFE">
        <w:rPr>
          <w:rFonts w:cstheme="minorHAnsi"/>
        </w:rPr>
        <w:t>Of these,</w:t>
      </w:r>
      <w:r w:rsidR="001704D0" w:rsidRPr="00F34AFE">
        <w:rPr>
          <w:rFonts w:cstheme="minorHAnsi"/>
        </w:rPr>
        <w:t xml:space="preserve"> </w:t>
      </w:r>
      <w:r w:rsidR="00E8200C">
        <w:rPr>
          <w:rFonts w:cstheme="minorHAnsi"/>
        </w:rPr>
        <w:t xml:space="preserve">public theology </w:t>
      </w:r>
      <w:r w:rsidR="00192CAF" w:rsidRPr="00F34AFE">
        <w:rPr>
          <w:rFonts w:cstheme="minorHAnsi"/>
        </w:rPr>
        <w:t xml:space="preserve">is </w:t>
      </w:r>
      <w:r w:rsidR="00EA166E" w:rsidRPr="00F34AFE">
        <w:rPr>
          <w:rFonts w:cstheme="minorHAnsi"/>
        </w:rPr>
        <w:t xml:space="preserve">more </w:t>
      </w:r>
      <w:r w:rsidR="00192CAF" w:rsidRPr="00F34AFE">
        <w:rPr>
          <w:rFonts w:cstheme="minorHAnsi"/>
        </w:rPr>
        <w:t>capable of forming, ethically ordering and morally guiding religious and civil societ</w:t>
      </w:r>
      <w:r w:rsidR="00EA166E" w:rsidRPr="00F34AFE">
        <w:rPr>
          <w:rFonts w:cstheme="minorHAnsi"/>
        </w:rPr>
        <w:t>y</w:t>
      </w:r>
      <w:r w:rsidR="00192CAF" w:rsidRPr="00F34AFE">
        <w:rPr>
          <w:rFonts w:cstheme="minorHAnsi"/>
        </w:rPr>
        <w:t>.</w:t>
      </w:r>
      <w:r w:rsidR="001704D0" w:rsidRPr="00F34AFE">
        <w:rPr>
          <w:rFonts w:cstheme="minorHAnsi"/>
        </w:rPr>
        <w:t xml:space="preserve"> He extrapolates arguments from history, revolutions and </w:t>
      </w:r>
      <w:r w:rsidR="00B71E86" w:rsidRPr="00F34AFE">
        <w:rPr>
          <w:rFonts w:cstheme="minorHAnsi"/>
        </w:rPr>
        <w:t>varied political and imperial structures</w:t>
      </w:r>
      <w:r w:rsidR="00E128B6">
        <w:rPr>
          <w:rFonts w:cstheme="minorHAnsi"/>
        </w:rPr>
        <w:t xml:space="preserve">, </w:t>
      </w:r>
      <w:r w:rsidR="001704D0" w:rsidRPr="00F34AFE">
        <w:rPr>
          <w:rFonts w:cstheme="minorHAnsi"/>
        </w:rPr>
        <w:t>cit</w:t>
      </w:r>
      <w:r w:rsidR="00E128B6">
        <w:rPr>
          <w:rFonts w:cstheme="minorHAnsi"/>
        </w:rPr>
        <w:t>ing</w:t>
      </w:r>
      <w:r w:rsidR="00B71E86" w:rsidRPr="00F34AFE">
        <w:rPr>
          <w:rFonts w:cstheme="minorHAnsi"/>
        </w:rPr>
        <w:t xml:space="preserve"> </w:t>
      </w:r>
      <w:r w:rsidR="001704D0" w:rsidRPr="00F34AFE">
        <w:rPr>
          <w:rFonts w:cstheme="minorHAnsi"/>
        </w:rPr>
        <w:t xml:space="preserve">renowned </w:t>
      </w:r>
      <w:r w:rsidR="001704D0" w:rsidRPr="00F34AFE">
        <w:rPr>
          <w:rFonts w:cstheme="minorHAnsi"/>
        </w:rPr>
        <w:lastRenderedPageBreak/>
        <w:t>philosoph</w:t>
      </w:r>
      <w:r w:rsidR="00E128B6">
        <w:rPr>
          <w:rFonts w:cstheme="minorHAnsi"/>
        </w:rPr>
        <w:t>ical/religious</w:t>
      </w:r>
      <w:r w:rsidR="00F34AFE" w:rsidRPr="00F34AFE">
        <w:rPr>
          <w:rFonts w:cstheme="minorHAnsi"/>
        </w:rPr>
        <w:t xml:space="preserve"> thinkers </w:t>
      </w:r>
      <w:r w:rsidR="00E128B6">
        <w:rPr>
          <w:rFonts w:cstheme="minorHAnsi"/>
        </w:rPr>
        <w:t>of</w:t>
      </w:r>
      <w:r w:rsidR="001704D0" w:rsidRPr="00F34AFE">
        <w:rPr>
          <w:rFonts w:cstheme="minorHAnsi"/>
        </w:rPr>
        <w:t xml:space="preserve"> </w:t>
      </w:r>
      <w:r w:rsidR="00E128B6">
        <w:rPr>
          <w:rFonts w:cstheme="minorHAnsi"/>
        </w:rPr>
        <w:t>historic</w:t>
      </w:r>
      <w:r w:rsidR="001704D0" w:rsidRPr="00F34AFE">
        <w:rPr>
          <w:rFonts w:cstheme="minorHAnsi"/>
        </w:rPr>
        <w:t xml:space="preserve"> and modern times. His </w:t>
      </w:r>
      <w:r w:rsidR="005854F0" w:rsidRPr="00F34AFE">
        <w:rPr>
          <w:rFonts w:cstheme="minorHAnsi"/>
        </w:rPr>
        <w:t>arguments are persuasive, though have particular concern to protect American democracy from “malicious imperialism – a danger to the USA and to the whole world”</w:t>
      </w:r>
      <w:r w:rsidR="005854F0" w:rsidRPr="006A0493">
        <w:rPr>
          <w:rStyle w:val="FootnoteReference"/>
        </w:rPr>
        <w:footnoteReference w:id="2"/>
      </w:r>
      <w:r w:rsidR="005854F0" w:rsidRPr="00F34AFE">
        <w:rPr>
          <w:rFonts w:cstheme="minorHAnsi"/>
        </w:rPr>
        <w:t>.</w:t>
      </w:r>
      <w:r w:rsidR="001704D0" w:rsidRPr="00F34AFE">
        <w:rPr>
          <w:rFonts w:cstheme="minorHAnsi"/>
        </w:rPr>
        <w:t xml:space="preserve"> </w:t>
      </w:r>
      <w:r w:rsidR="005854F0" w:rsidRPr="00F34AFE">
        <w:rPr>
          <w:rFonts w:cstheme="minorHAnsi"/>
        </w:rPr>
        <w:t>Stackhouse</w:t>
      </w:r>
      <w:r w:rsidR="00E128B6">
        <w:rPr>
          <w:rFonts w:cstheme="minorHAnsi"/>
        </w:rPr>
        <w:t xml:space="preserve"> promotes</w:t>
      </w:r>
      <w:r w:rsidR="005854F0" w:rsidRPr="00F34AFE">
        <w:rPr>
          <w:rFonts w:cstheme="minorHAnsi"/>
        </w:rPr>
        <w:t xml:space="preserve"> </w:t>
      </w:r>
      <w:r w:rsidR="00E8200C">
        <w:rPr>
          <w:rFonts w:cstheme="minorHAnsi"/>
        </w:rPr>
        <w:t xml:space="preserve">public theology </w:t>
      </w:r>
      <w:r w:rsidR="00E128B6">
        <w:rPr>
          <w:rFonts w:cstheme="minorHAnsi"/>
        </w:rPr>
        <w:t>which</w:t>
      </w:r>
      <w:r w:rsidR="005854F0" w:rsidRPr="00F34AFE">
        <w:rPr>
          <w:rFonts w:cstheme="minorHAnsi"/>
        </w:rPr>
        <w:t xml:space="preserve"> </w:t>
      </w:r>
      <w:r w:rsidR="00B71E86" w:rsidRPr="00F34AFE">
        <w:rPr>
          <w:rFonts w:cstheme="minorHAnsi"/>
        </w:rPr>
        <w:t>engag</w:t>
      </w:r>
      <w:r w:rsidR="00E128B6">
        <w:rPr>
          <w:rFonts w:cstheme="minorHAnsi"/>
        </w:rPr>
        <w:t>es</w:t>
      </w:r>
      <w:r w:rsidR="00B71E86" w:rsidRPr="00F34AFE">
        <w:rPr>
          <w:rFonts w:cstheme="minorHAnsi"/>
        </w:rPr>
        <w:t xml:space="preserve"> with</w:t>
      </w:r>
      <w:r w:rsidR="005854F0" w:rsidRPr="00F34AFE">
        <w:rPr>
          <w:rFonts w:cstheme="minorHAnsi"/>
        </w:rPr>
        <w:t xml:space="preserve"> a social</w:t>
      </w:r>
      <w:r w:rsidR="00B71E86" w:rsidRPr="00F34AFE">
        <w:rPr>
          <w:rFonts w:cstheme="minorHAnsi"/>
        </w:rPr>
        <w:t>, rather than political,</w:t>
      </w:r>
      <w:r w:rsidR="005854F0" w:rsidRPr="00F34AFE">
        <w:rPr>
          <w:rFonts w:cstheme="minorHAnsi"/>
        </w:rPr>
        <w:t xml:space="preserve"> view of society</w:t>
      </w:r>
      <w:r w:rsidR="00584D9A">
        <w:rPr>
          <w:rFonts w:cstheme="minorHAnsi"/>
        </w:rPr>
        <w:t>. He views</w:t>
      </w:r>
      <w:r w:rsidR="00B71E86" w:rsidRPr="00F34AFE">
        <w:rPr>
          <w:rFonts w:cstheme="minorHAnsi"/>
        </w:rPr>
        <w:t xml:space="preserve"> </w:t>
      </w:r>
      <w:r w:rsidR="00E8200C">
        <w:rPr>
          <w:rFonts w:cstheme="minorHAnsi"/>
        </w:rPr>
        <w:t xml:space="preserve">public theology </w:t>
      </w:r>
      <w:r w:rsidR="00B71E86" w:rsidRPr="00F34AFE">
        <w:rPr>
          <w:rFonts w:cstheme="minorHAnsi"/>
        </w:rPr>
        <w:t>as “a revelatory source that stands as the norm”</w:t>
      </w:r>
      <w:r w:rsidR="00B71E86" w:rsidRPr="006A0493">
        <w:rPr>
          <w:rStyle w:val="FootnoteReference"/>
        </w:rPr>
        <w:footnoteReference w:id="3"/>
      </w:r>
      <w:r w:rsidR="00EA166E" w:rsidRPr="00F34AFE">
        <w:rPr>
          <w:rFonts w:cstheme="minorHAnsi"/>
        </w:rPr>
        <w:t>, a prophetic voice building multicultural societies as flourishing institutions in the glory of God and for human flourishing. In all, a useful</w:t>
      </w:r>
      <w:r w:rsidR="00F34AFE" w:rsidRPr="00F34AFE">
        <w:rPr>
          <w:rFonts w:cstheme="minorHAnsi"/>
        </w:rPr>
        <w:t>, but rather idealistic,</w:t>
      </w:r>
      <w:r w:rsidR="00EA166E" w:rsidRPr="00F34AFE">
        <w:rPr>
          <w:rFonts w:cstheme="minorHAnsi"/>
        </w:rPr>
        <w:t xml:space="preserve"> article </w:t>
      </w:r>
      <w:r w:rsidR="00F34AFE" w:rsidRPr="00F34AFE">
        <w:rPr>
          <w:rFonts w:cstheme="minorHAnsi"/>
        </w:rPr>
        <w:t>which</w:t>
      </w:r>
      <w:r w:rsidR="00EA166E" w:rsidRPr="00F34AFE">
        <w:rPr>
          <w:rFonts w:cstheme="minorHAnsi"/>
        </w:rPr>
        <w:t xml:space="preserve"> focus</w:t>
      </w:r>
      <w:r w:rsidR="00F34AFE" w:rsidRPr="00F34AFE">
        <w:rPr>
          <w:rFonts w:cstheme="minorHAnsi"/>
        </w:rPr>
        <w:t>es</w:t>
      </w:r>
      <w:r w:rsidR="00EA166E" w:rsidRPr="00F34AFE">
        <w:rPr>
          <w:rFonts w:cstheme="minorHAnsi"/>
        </w:rPr>
        <w:t xml:space="preserve"> on clarifying a definition of </w:t>
      </w:r>
      <w:r w:rsidR="00E8200C">
        <w:rPr>
          <w:rFonts w:cstheme="minorHAnsi"/>
        </w:rPr>
        <w:t xml:space="preserve">public theology </w:t>
      </w:r>
      <w:r w:rsidR="00EA166E" w:rsidRPr="00F34AFE">
        <w:rPr>
          <w:rFonts w:cstheme="minorHAnsi"/>
        </w:rPr>
        <w:t xml:space="preserve">for academic purposes rather practical support for living in a pluralistic society. </w:t>
      </w:r>
    </w:p>
    <w:p w14:paraId="7545DBD6" w14:textId="77777777" w:rsidR="00000C2B" w:rsidRPr="00F34AFE" w:rsidRDefault="00000C2B" w:rsidP="00CC0993">
      <w:pPr>
        <w:spacing w:line="480" w:lineRule="auto"/>
        <w:rPr>
          <w:rFonts w:cstheme="minorHAnsi"/>
          <w:b/>
          <w:bCs/>
        </w:rPr>
      </w:pPr>
    </w:p>
    <w:p w14:paraId="45412570" w14:textId="044B2810" w:rsidR="000840C3" w:rsidRDefault="000840C3" w:rsidP="00CC0993">
      <w:pPr>
        <w:rPr>
          <w:rFonts w:cstheme="minorHAnsi"/>
          <w:b/>
          <w:bCs/>
        </w:rPr>
      </w:pPr>
      <w:r w:rsidRPr="00B90B93">
        <w:rPr>
          <w:rFonts w:cstheme="minorHAnsi"/>
          <w:b/>
          <w:bCs/>
        </w:rPr>
        <w:fldChar w:fldCharType="begin"/>
      </w:r>
      <w:r w:rsidR="002E50D7">
        <w:rPr>
          <w:rFonts w:cstheme="minorHAnsi"/>
          <w:b/>
          <w:bCs/>
        </w:rPr>
        <w:instrText xml:space="preserve"> ADDIN ZOTERO_ITEM CSL_CITATION {"citationID":"nAQPtvBR","properties":{"formattedCitation":"John W De Gruchy, \\uc0\\u8216{}Public Theology as Christian Witness: Exploring the Genre\\uc0\\u8217{}, {\\i{}International Journal of Public Theology} 1, no. 1 (2007): 26\\uc0\\u8211{}41, https://doi.org/10.1163/156973207X194466.","plainCitation":"John W De Gruchy, ‘Public Theology as Christian Witness: Exploring the Genre’, International Journal of Public Theology 1, no. 1 (2007): 26–41, https://doi.org/10.1163/156973207X194466.","dontUpdate":true,"noteIndex":0},"citationItems":[{"id":624,"uris":["http://zotero.org/users/7540819/items/Y62BPKKG"],"uri":["http://zotero.org/users/7540819/items/Y62BPKKG"],"itemData":{"id":624,"type":"article-journal","archive":"Atla Religion Database with AtlaSerials","container-title":"International Journal of Public Theology","DOI":"10.1163/156973207X194466","ISSN":"1872-5171","issue":"1","journalAbbreviation":"International Journal of Public Theology","page":"26-41","source":"EBSCOhost","title":"Public theology as Christian witness: exploring the genre","volume":"1","author":[{"family":"De Gruchy","given":"John W"}],"issued":{"date-parts":[["2007"]]}}}],"schema":"https://github.com/citation-style-language/schema/raw/master/csl-citation.json"} </w:instrText>
      </w:r>
      <w:r w:rsidRPr="00B90B93">
        <w:rPr>
          <w:rFonts w:cstheme="minorHAnsi"/>
          <w:b/>
          <w:bCs/>
        </w:rPr>
        <w:fldChar w:fldCharType="separate"/>
      </w:r>
      <w:r w:rsidRPr="00B90B93">
        <w:rPr>
          <w:rFonts w:cstheme="minorHAnsi"/>
          <w:b/>
          <w:bCs/>
        </w:rPr>
        <w:t xml:space="preserve">John W De Gruchy, ‘Public Theology as Christian Witness: Exploring the Genre’, </w:t>
      </w:r>
      <w:r w:rsidRPr="00B90B93">
        <w:rPr>
          <w:rFonts w:cstheme="minorHAnsi"/>
          <w:b/>
          <w:bCs/>
          <w:i/>
          <w:iCs/>
        </w:rPr>
        <w:t>International Journal of Public Theology</w:t>
      </w:r>
      <w:r w:rsidRPr="00B90B93">
        <w:rPr>
          <w:rFonts w:cstheme="minorHAnsi"/>
          <w:b/>
          <w:bCs/>
        </w:rPr>
        <w:t xml:space="preserve"> 1, no. 1 (2007): 26–41</w:t>
      </w:r>
      <w:r w:rsidR="00161020" w:rsidRPr="00B90B93">
        <w:rPr>
          <w:rFonts w:cstheme="minorHAnsi"/>
          <w:b/>
          <w:bCs/>
        </w:rPr>
        <w:t>.</w:t>
      </w:r>
      <w:r w:rsidRPr="00B90B93">
        <w:rPr>
          <w:rFonts w:cstheme="minorHAnsi"/>
          <w:b/>
          <w:bCs/>
        </w:rPr>
        <w:fldChar w:fldCharType="end"/>
      </w:r>
    </w:p>
    <w:p w14:paraId="524C93BA" w14:textId="77777777" w:rsidR="00CC0993" w:rsidRPr="00B90B93" w:rsidRDefault="00CC0993" w:rsidP="00CC0993">
      <w:pPr>
        <w:rPr>
          <w:rFonts w:cstheme="minorHAnsi"/>
          <w:b/>
          <w:bCs/>
        </w:rPr>
      </w:pPr>
    </w:p>
    <w:p w14:paraId="4D189AD2" w14:textId="3CA2D1F1" w:rsidR="00105ACF" w:rsidRPr="00F34AFE" w:rsidRDefault="00FB39D7" w:rsidP="00CC0993">
      <w:pPr>
        <w:spacing w:line="480" w:lineRule="auto"/>
        <w:rPr>
          <w:rFonts w:cstheme="minorHAnsi"/>
        </w:rPr>
      </w:pPr>
      <w:r w:rsidRPr="00F34AFE">
        <w:rPr>
          <w:rFonts w:cstheme="minorHAnsi"/>
        </w:rPr>
        <w:t>In this</w:t>
      </w:r>
      <w:r w:rsidR="0023475D" w:rsidRPr="00F34AFE">
        <w:rPr>
          <w:rFonts w:cstheme="minorHAnsi"/>
        </w:rPr>
        <w:t xml:space="preserve"> journal article, </w:t>
      </w:r>
      <w:r w:rsidR="00AF44CD" w:rsidRPr="00F34AFE">
        <w:rPr>
          <w:rFonts w:cstheme="minorHAnsi"/>
        </w:rPr>
        <w:t xml:space="preserve">John de </w:t>
      </w:r>
      <w:proofErr w:type="spellStart"/>
      <w:r w:rsidR="00AF44CD" w:rsidRPr="00F34AFE">
        <w:rPr>
          <w:rFonts w:cstheme="minorHAnsi"/>
        </w:rPr>
        <w:t>Gruchy</w:t>
      </w:r>
      <w:proofErr w:type="spellEnd"/>
      <w:r w:rsidR="00AF44CD" w:rsidRPr="00F34AFE">
        <w:rPr>
          <w:rFonts w:cstheme="minorHAnsi"/>
        </w:rPr>
        <w:t xml:space="preserve"> </w:t>
      </w:r>
      <w:r w:rsidRPr="00F34AFE">
        <w:rPr>
          <w:rFonts w:cstheme="minorHAnsi"/>
        </w:rPr>
        <w:t xml:space="preserve">discusses public theology </w:t>
      </w:r>
      <w:r w:rsidR="00AF44CD" w:rsidRPr="00F34AFE">
        <w:rPr>
          <w:rFonts w:cstheme="minorHAnsi"/>
        </w:rPr>
        <w:t xml:space="preserve">from </w:t>
      </w:r>
      <w:r w:rsidRPr="00F34AFE">
        <w:rPr>
          <w:rFonts w:cstheme="minorHAnsi"/>
        </w:rPr>
        <w:t>a</w:t>
      </w:r>
      <w:r w:rsidR="00AF44CD" w:rsidRPr="00F34AFE">
        <w:rPr>
          <w:rFonts w:cstheme="minorHAnsi"/>
        </w:rPr>
        <w:t xml:space="preserve"> South African </w:t>
      </w:r>
      <w:r w:rsidRPr="00F34AFE">
        <w:rPr>
          <w:rFonts w:cstheme="minorHAnsi"/>
        </w:rPr>
        <w:t>perspective</w:t>
      </w:r>
      <w:r w:rsidR="00EB7A8C">
        <w:rPr>
          <w:rFonts w:cstheme="minorHAnsi"/>
        </w:rPr>
        <w:t>. He</w:t>
      </w:r>
      <w:r w:rsidR="00AF44CD" w:rsidRPr="00F34AFE">
        <w:rPr>
          <w:rFonts w:cstheme="minorHAnsi"/>
        </w:rPr>
        <w:t xml:space="preserve"> </w:t>
      </w:r>
      <w:r w:rsidRPr="00F34AFE">
        <w:rPr>
          <w:rFonts w:cstheme="minorHAnsi"/>
        </w:rPr>
        <w:t>look</w:t>
      </w:r>
      <w:r w:rsidR="00EB7A8C">
        <w:rPr>
          <w:rFonts w:cstheme="minorHAnsi"/>
        </w:rPr>
        <w:t>s</w:t>
      </w:r>
      <w:r w:rsidRPr="00F34AFE">
        <w:rPr>
          <w:rFonts w:cstheme="minorHAnsi"/>
        </w:rPr>
        <w:t xml:space="preserve"> for areas of agreement with Duncan Forrester’s working model of three fundamental principles for faith </w:t>
      </w:r>
      <w:r w:rsidR="00742337" w:rsidRPr="00F34AFE">
        <w:rPr>
          <w:rFonts w:cstheme="minorHAnsi"/>
        </w:rPr>
        <w:t>engagement with the secular world</w:t>
      </w:r>
      <w:r w:rsidR="00497FCD" w:rsidRPr="00F34AFE">
        <w:rPr>
          <w:rFonts w:cstheme="minorHAnsi"/>
        </w:rPr>
        <w:t xml:space="preserve"> to enable </w:t>
      </w:r>
      <w:r w:rsidR="00742337" w:rsidRPr="00F34AFE">
        <w:rPr>
          <w:rFonts w:cstheme="minorHAnsi"/>
        </w:rPr>
        <w:t>human flourishing</w:t>
      </w:r>
      <w:r w:rsidR="00497FCD" w:rsidRPr="00F34AFE">
        <w:rPr>
          <w:rFonts w:cstheme="minorHAnsi"/>
        </w:rPr>
        <w:t>.</w:t>
      </w:r>
      <w:r w:rsidR="00A8043A" w:rsidRPr="00F34AFE">
        <w:rPr>
          <w:rFonts w:cstheme="minorHAnsi"/>
        </w:rPr>
        <w:t xml:space="preserve"> </w:t>
      </w:r>
      <w:r w:rsidRPr="00F34AFE">
        <w:rPr>
          <w:rFonts w:cstheme="minorHAnsi"/>
        </w:rPr>
        <w:t xml:space="preserve">De </w:t>
      </w:r>
      <w:proofErr w:type="spellStart"/>
      <w:r w:rsidRPr="00F34AFE">
        <w:rPr>
          <w:rFonts w:cstheme="minorHAnsi"/>
        </w:rPr>
        <w:t>Gruchy</w:t>
      </w:r>
      <w:proofErr w:type="spellEnd"/>
      <w:r w:rsidRPr="00F34AFE">
        <w:rPr>
          <w:rFonts w:cstheme="minorHAnsi"/>
        </w:rPr>
        <w:t xml:space="preserve"> </w:t>
      </w:r>
      <w:r w:rsidR="00A8043A" w:rsidRPr="00F34AFE">
        <w:rPr>
          <w:rFonts w:cstheme="minorHAnsi"/>
        </w:rPr>
        <w:t xml:space="preserve">exemplifies </w:t>
      </w:r>
      <w:r w:rsidR="00497FCD" w:rsidRPr="00F34AFE">
        <w:rPr>
          <w:rFonts w:cstheme="minorHAnsi"/>
        </w:rPr>
        <w:t>influential</w:t>
      </w:r>
      <w:r w:rsidR="00A8043A" w:rsidRPr="00F34AFE">
        <w:rPr>
          <w:rFonts w:cstheme="minorHAnsi"/>
        </w:rPr>
        <w:t xml:space="preserve"> practice in the anti-apartheid activities of Joseph Wing and Douglas </w:t>
      </w:r>
      <w:proofErr w:type="spellStart"/>
      <w:r w:rsidR="00A8043A" w:rsidRPr="00F34AFE">
        <w:rPr>
          <w:rFonts w:cstheme="minorHAnsi"/>
        </w:rPr>
        <w:t>Bax</w:t>
      </w:r>
      <w:proofErr w:type="spellEnd"/>
      <w:r w:rsidR="00A8043A" w:rsidRPr="00F34AFE">
        <w:rPr>
          <w:rFonts w:cstheme="minorHAnsi"/>
        </w:rPr>
        <w:t xml:space="preserve">, </w:t>
      </w:r>
      <w:r w:rsidR="00497FCD" w:rsidRPr="00F34AFE">
        <w:rPr>
          <w:rFonts w:cstheme="minorHAnsi"/>
        </w:rPr>
        <w:t>in</w:t>
      </w:r>
      <w:r w:rsidR="00A8043A" w:rsidRPr="00F34AFE">
        <w:rPr>
          <w:rFonts w:cstheme="minorHAnsi"/>
        </w:rPr>
        <w:t xml:space="preserve"> Denise Ackermann’s academic research and </w:t>
      </w:r>
      <w:r w:rsidR="00E23037" w:rsidRPr="00F34AFE">
        <w:rPr>
          <w:rFonts w:cstheme="minorHAnsi"/>
        </w:rPr>
        <w:t xml:space="preserve">the </w:t>
      </w:r>
      <w:r w:rsidR="00A8043A" w:rsidRPr="00F34AFE">
        <w:rPr>
          <w:rFonts w:cstheme="minorHAnsi"/>
        </w:rPr>
        <w:t xml:space="preserve">political work of Alex </w:t>
      </w:r>
      <w:proofErr w:type="spellStart"/>
      <w:r w:rsidR="00A8043A" w:rsidRPr="00F34AFE">
        <w:rPr>
          <w:rFonts w:cstheme="minorHAnsi"/>
        </w:rPr>
        <w:t>Boraine</w:t>
      </w:r>
      <w:proofErr w:type="spellEnd"/>
      <w:r w:rsidR="00A8043A" w:rsidRPr="00F34AFE">
        <w:rPr>
          <w:rFonts w:cstheme="minorHAnsi"/>
        </w:rPr>
        <w:t xml:space="preserve">. </w:t>
      </w:r>
      <w:r w:rsidR="00E23037" w:rsidRPr="00F34AFE">
        <w:rPr>
          <w:rFonts w:cstheme="minorHAnsi"/>
        </w:rPr>
        <w:t xml:space="preserve">Key to de </w:t>
      </w:r>
      <w:proofErr w:type="spellStart"/>
      <w:r w:rsidR="00E23037" w:rsidRPr="00F34AFE">
        <w:rPr>
          <w:rFonts w:cstheme="minorHAnsi"/>
        </w:rPr>
        <w:t>Gruchy’s</w:t>
      </w:r>
      <w:proofErr w:type="spellEnd"/>
      <w:r w:rsidR="00E23037" w:rsidRPr="00F34AFE">
        <w:rPr>
          <w:rFonts w:cstheme="minorHAnsi"/>
        </w:rPr>
        <w:t xml:space="preserve"> thesis are his </w:t>
      </w:r>
      <w:r w:rsidR="00A8043A" w:rsidRPr="00F34AFE">
        <w:rPr>
          <w:rFonts w:cstheme="minorHAnsi"/>
        </w:rPr>
        <w:t>s</w:t>
      </w:r>
      <w:r w:rsidR="00700B0A" w:rsidRPr="00F34AFE">
        <w:rPr>
          <w:rFonts w:cstheme="minorHAnsi"/>
        </w:rPr>
        <w:t>even Theses on Public Theological Praxis</w:t>
      </w:r>
      <w:r w:rsidR="00E23037" w:rsidRPr="00F34AFE">
        <w:rPr>
          <w:rFonts w:cstheme="minorHAnsi"/>
        </w:rPr>
        <w:t>.</w:t>
      </w:r>
      <w:r w:rsidR="00CC1B6E" w:rsidRPr="00F34AFE">
        <w:rPr>
          <w:rFonts w:cstheme="minorHAnsi"/>
        </w:rPr>
        <w:t xml:space="preserve"> </w:t>
      </w:r>
      <w:r w:rsidR="00E23037" w:rsidRPr="00F34AFE">
        <w:rPr>
          <w:rFonts w:cstheme="minorHAnsi"/>
        </w:rPr>
        <w:t>Here</w:t>
      </w:r>
      <w:r w:rsidR="00ED36D9">
        <w:rPr>
          <w:rFonts w:cstheme="minorHAnsi"/>
        </w:rPr>
        <w:t>in</w:t>
      </w:r>
      <w:r w:rsidR="00E23037" w:rsidRPr="00F34AFE">
        <w:rPr>
          <w:rFonts w:cstheme="minorHAnsi"/>
        </w:rPr>
        <w:t xml:space="preserve"> lies the strength of the article, particularly with reference to certain political streams around the world: public theology is for the common good, not for political or personal gain. This </w:t>
      </w:r>
      <w:r w:rsidR="00ED36D9">
        <w:rPr>
          <w:rFonts w:cstheme="minorHAnsi"/>
        </w:rPr>
        <w:t xml:space="preserve">article </w:t>
      </w:r>
      <w:r w:rsidR="00E23037" w:rsidRPr="00F34AFE">
        <w:rPr>
          <w:rFonts w:cstheme="minorHAnsi"/>
        </w:rPr>
        <w:t xml:space="preserve">provides a </w:t>
      </w:r>
      <w:r w:rsidR="003B191F">
        <w:rPr>
          <w:rFonts w:cstheme="minorHAnsi"/>
        </w:rPr>
        <w:t>different and</w:t>
      </w:r>
      <w:r w:rsidR="00222DA0" w:rsidRPr="00F34AFE">
        <w:rPr>
          <w:rFonts w:cstheme="minorHAnsi"/>
        </w:rPr>
        <w:t xml:space="preserve"> </w:t>
      </w:r>
      <w:r w:rsidR="00E23037" w:rsidRPr="00F34AFE">
        <w:rPr>
          <w:rFonts w:cstheme="minorHAnsi"/>
        </w:rPr>
        <w:t>strong embar</w:t>
      </w:r>
      <w:r w:rsidR="003B191F">
        <w:rPr>
          <w:rFonts w:cstheme="minorHAnsi"/>
        </w:rPr>
        <w:t>kation</w:t>
      </w:r>
      <w:r w:rsidR="00E23037" w:rsidRPr="00F34AFE">
        <w:rPr>
          <w:rFonts w:cstheme="minorHAnsi"/>
        </w:rPr>
        <w:t xml:space="preserve"> point for rooted theological research, self-reflection and Christian witness in a hurting world.</w:t>
      </w:r>
    </w:p>
    <w:p w14:paraId="523CA6A5" w14:textId="7BD1E79F" w:rsidR="00227B12" w:rsidRDefault="00227B12" w:rsidP="00CC0993">
      <w:pPr>
        <w:spacing w:line="480" w:lineRule="auto"/>
        <w:rPr>
          <w:rFonts w:cstheme="minorHAnsi"/>
          <w:b/>
          <w:bCs/>
        </w:rPr>
      </w:pPr>
    </w:p>
    <w:p w14:paraId="3EAFBD3E" w14:textId="0EBE5073" w:rsidR="00227B12" w:rsidRDefault="00227B12" w:rsidP="00CC0993">
      <w:pPr>
        <w:rPr>
          <w:b/>
          <w:bCs/>
        </w:rPr>
      </w:pPr>
      <w:r w:rsidRPr="00B90B93">
        <w:rPr>
          <w:b/>
          <w:bCs/>
        </w:rPr>
        <w:lastRenderedPageBreak/>
        <w:fldChar w:fldCharType="begin"/>
      </w:r>
      <w:r w:rsidR="002E50D7">
        <w:rPr>
          <w:b/>
          <w:bCs/>
        </w:rPr>
        <w:instrText xml:space="preserve"> ADDIN ZOTERO_ITEM CSL_CITATION {"citationID":"74fKe3LL","properties":{"formattedCitation":"Andries Van Aarde, \\uc0\\u8216{}What Is \\uc0\\u8220{}Theology\\uc0\\u8221{} in \\uc0\\u8220{}Public Theology\\uc0\\u8221{} and What Is \\uc0\\u8220{}Public\\uc0\\u8221{} about \\uc0\\u8220{}Public Theology\\uc0\\u8221{}?\\uc0\\u8217{}, {\\i{}HTS Teologiese Studies / Theological Studies} 64, no. 3 (23 January 2008): 1213\\uc0\\u8211{}34, https://doi.org/10.4102/hts.v64i3.81.","plainCitation":"Andries Van Aarde, ‘What Is “Theology” in “Public Theology” and What Is “Public” about “Public Theology”?’, HTS Teologiese Studies / Theological Studies 64, no. 3 (23 January 2008): 1213–34, https://doi.org/10.4102/hts.v64i3.81.","noteIndex":0},"citationItems":[{"id":685,"uris":["http://zotero.org/users/7540819/items/GPTEG8SQ"],"uri":["http://zotero.org/users/7540819/items/GPTEG8SQ"],"itemData":{"id":685,"type":"article-journal","abstract":"This article sets out to argue that institutional Christianity does not have the exclusive rights to “doing theology”. Since Plato theology has assumed systematization of ideas on the transcendent divine. The practice of theology is to be found in both the professional academy and in the public square. Spirituality is not to be reserved for people longing for God within the context of today’s mass consumerist populist culture. Spirituality and religion overlap and, therefore, today’s postmodern spirituality need not result in the end of religion. However, institutional religion is indeed dying and ”public theology” is not about theologians or pastors “doing theology” in the public square. Public theologicans are the film directors, artists, novelists, poets, and philosophers. The article argues that “public theology” could facilitate a dialogue between the theological discourse of academics and the public theological discourse. The article shows that “public theology” does to an extent overlap with ecclesial and contextual theology. In its core “public theology” is seen as the inarticulate longing of believers who do not want to belong.","container-title":"HTS Teologiese Studies / Theological Studies","DOI":"10.4102/hts.v64i3.81","ISSN":"2072-8050, 0259-9422","issue":"3","journalAbbreviation":"HTS Teologiese Studies / Theological Studies","language":"en","page":"1213-1234","source":"DOI.org (Crossref)","title":"What is \"theology\" in \"public theology\" and what is \"public\" about \"public theology\"?","volume":"64","author":[{"family":"Van Aarde","given":"Andries"}],"issued":{"date-parts":[["2008",1,23]]}}}],"schema":"https://github.com/citation-style-language/schema/raw/master/csl-citation.json"} </w:instrText>
      </w:r>
      <w:r w:rsidRPr="00B90B93">
        <w:rPr>
          <w:b/>
          <w:bCs/>
        </w:rPr>
        <w:fldChar w:fldCharType="separate"/>
      </w:r>
      <w:r w:rsidRPr="00B90B93">
        <w:rPr>
          <w:rFonts w:ascii="Calibri" w:cs="Calibri"/>
          <w:b/>
          <w:bCs/>
        </w:rPr>
        <w:t xml:space="preserve">Andries Van Aarde, ‘What Is “Theology” in “Public Theology” and What Is “Public” about “Public Theology”?’, </w:t>
      </w:r>
      <w:r w:rsidRPr="00B90B93">
        <w:rPr>
          <w:rFonts w:ascii="Calibri" w:cs="Calibri"/>
          <w:b/>
          <w:bCs/>
          <w:i/>
          <w:iCs/>
        </w:rPr>
        <w:t>HTS Teologiese Studies / Theological Studies</w:t>
      </w:r>
      <w:r w:rsidRPr="00B90B93">
        <w:rPr>
          <w:rFonts w:ascii="Calibri" w:cs="Calibri"/>
          <w:b/>
          <w:bCs/>
        </w:rPr>
        <w:t xml:space="preserve"> 64, no. 3 (23 January 2008): 1213–34, https://doi.org/10.4102/hts.v64i3.81.</w:t>
      </w:r>
      <w:r w:rsidRPr="00B90B93">
        <w:rPr>
          <w:b/>
          <w:bCs/>
        </w:rPr>
        <w:fldChar w:fldCharType="end"/>
      </w:r>
    </w:p>
    <w:p w14:paraId="36210C84" w14:textId="77777777" w:rsidR="00CC0993" w:rsidRPr="00B90B93" w:rsidRDefault="00CC0993" w:rsidP="00CC0993">
      <w:pPr>
        <w:rPr>
          <w:rFonts w:cstheme="minorHAnsi"/>
          <w:b/>
          <w:bCs/>
        </w:rPr>
      </w:pPr>
    </w:p>
    <w:p w14:paraId="4C79C497" w14:textId="3A464728" w:rsidR="00227B12" w:rsidRDefault="00227B12" w:rsidP="00CC0993">
      <w:pPr>
        <w:spacing w:line="480" w:lineRule="auto"/>
        <w:rPr>
          <w:rFonts w:cstheme="minorHAnsi"/>
        </w:rPr>
      </w:pPr>
      <w:proofErr w:type="spellStart"/>
      <w:r>
        <w:rPr>
          <w:rFonts w:cstheme="minorHAnsi"/>
        </w:rPr>
        <w:t>Andries</w:t>
      </w:r>
      <w:proofErr w:type="spellEnd"/>
      <w:r>
        <w:rPr>
          <w:rFonts w:cstheme="minorHAnsi"/>
        </w:rPr>
        <w:t xml:space="preserve"> van </w:t>
      </w:r>
      <w:proofErr w:type="spellStart"/>
      <w:r>
        <w:rPr>
          <w:rFonts w:cstheme="minorHAnsi"/>
        </w:rPr>
        <w:t>Aarde</w:t>
      </w:r>
      <w:proofErr w:type="spellEnd"/>
      <w:r>
        <w:rPr>
          <w:rFonts w:cstheme="minorHAnsi"/>
        </w:rPr>
        <w:t xml:space="preserve"> </w:t>
      </w:r>
      <w:r w:rsidR="00FF3B90">
        <w:rPr>
          <w:rFonts w:cstheme="minorHAnsi"/>
        </w:rPr>
        <w:t xml:space="preserve">sits within a </w:t>
      </w:r>
      <w:r w:rsidR="003B191F">
        <w:rPr>
          <w:rFonts w:cstheme="minorHAnsi"/>
        </w:rPr>
        <w:t>contemporary</w:t>
      </w:r>
      <w:r w:rsidR="00FF3B90">
        <w:rPr>
          <w:rFonts w:cstheme="minorHAnsi"/>
        </w:rPr>
        <w:t xml:space="preserve"> South African </w:t>
      </w:r>
      <w:r w:rsidR="00EB7A8C">
        <w:rPr>
          <w:rFonts w:cstheme="minorHAnsi"/>
        </w:rPr>
        <w:t xml:space="preserve">social/political </w:t>
      </w:r>
      <w:r w:rsidR="00FF3B90">
        <w:rPr>
          <w:rFonts w:cstheme="minorHAnsi"/>
        </w:rPr>
        <w:t xml:space="preserve">context. Here he </w:t>
      </w:r>
      <w:r w:rsidR="008D64F5">
        <w:rPr>
          <w:rFonts w:cstheme="minorHAnsi"/>
        </w:rPr>
        <w:t xml:space="preserve">critiques and challenges conclusions of William </w:t>
      </w:r>
      <w:proofErr w:type="spellStart"/>
      <w:r w:rsidR="008D64F5">
        <w:rPr>
          <w:rFonts w:cstheme="minorHAnsi"/>
        </w:rPr>
        <w:t>Storrar</w:t>
      </w:r>
      <w:r w:rsidR="003B191F">
        <w:rPr>
          <w:rFonts w:cstheme="minorHAnsi"/>
        </w:rPr>
        <w:t>’s</w:t>
      </w:r>
      <w:proofErr w:type="spellEnd"/>
      <w:r w:rsidR="003B191F">
        <w:rPr>
          <w:rFonts w:cstheme="minorHAnsi"/>
        </w:rPr>
        <w:t xml:space="preserve"> work</w:t>
      </w:r>
      <w:r w:rsidR="008D64F5">
        <w:rPr>
          <w:rFonts w:cstheme="minorHAnsi"/>
        </w:rPr>
        <w:t xml:space="preserve">. </w:t>
      </w:r>
      <w:r w:rsidR="00FF3B90">
        <w:rPr>
          <w:rFonts w:cstheme="minorHAnsi"/>
        </w:rPr>
        <w:t>S</w:t>
      </w:r>
      <w:r w:rsidR="008D64F5">
        <w:rPr>
          <w:rFonts w:cstheme="minorHAnsi"/>
        </w:rPr>
        <w:t xml:space="preserve">pecifically, he </w:t>
      </w:r>
      <w:r>
        <w:rPr>
          <w:rFonts w:cstheme="minorHAnsi"/>
        </w:rPr>
        <w:t xml:space="preserve">questions the assumption that Christianity has the exclusive right to public theology, although </w:t>
      </w:r>
      <w:r w:rsidR="008D64F5">
        <w:rPr>
          <w:rFonts w:cstheme="minorHAnsi"/>
        </w:rPr>
        <w:t xml:space="preserve">it </w:t>
      </w:r>
      <w:r>
        <w:rPr>
          <w:rFonts w:cstheme="minorHAnsi"/>
        </w:rPr>
        <w:t xml:space="preserve">does intersect with current </w:t>
      </w:r>
      <w:r w:rsidR="008D64F5">
        <w:rPr>
          <w:rFonts w:cstheme="minorHAnsi"/>
        </w:rPr>
        <w:t xml:space="preserve">discrete </w:t>
      </w:r>
      <w:r>
        <w:rPr>
          <w:rFonts w:cstheme="minorHAnsi"/>
        </w:rPr>
        <w:t xml:space="preserve">Christian </w:t>
      </w:r>
      <w:r w:rsidR="008D64F5">
        <w:rPr>
          <w:rFonts w:cstheme="minorHAnsi"/>
        </w:rPr>
        <w:t>areas of</w:t>
      </w:r>
      <w:r>
        <w:rPr>
          <w:rFonts w:cstheme="minorHAnsi"/>
        </w:rPr>
        <w:t xml:space="preserve"> theolog</w:t>
      </w:r>
      <w:r w:rsidR="008D64F5">
        <w:rPr>
          <w:rFonts w:cstheme="minorHAnsi"/>
        </w:rPr>
        <w:t xml:space="preserve">y. </w:t>
      </w:r>
      <w:r w:rsidR="00FF3B90">
        <w:rPr>
          <w:rFonts w:cstheme="minorHAnsi"/>
        </w:rPr>
        <w:t>He cogently a</w:t>
      </w:r>
      <w:r w:rsidR="003B191F">
        <w:rPr>
          <w:rFonts w:cstheme="minorHAnsi"/>
        </w:rPr>
        <w:t>r</w:t>
      </w:r>
      <w:r w:rsidR="00FF3B90">
        <w:rPr>
          <w:rFonts w:cstheme="minorHAnsi"/>
        </w:rPr>
        <w:t>g</w:t>
      </w:r>
      <w:r w:rsidR="0070481D">
        <w:rPr>
          <w:rFonts w:cstheme="minorHAnsi"/>
        </w:rPr>
        <w:t>u</w:t>
      </w:r>
      <w:r w:rsidR="00FF3B90">
        <w:rPr>
          <w:rFonts w:cstheme="minorHAnsi"/>
        </w:rPr>
        <w:t xml:space="preserve">es </w:t>
      </w:r>
      <w:r w:rsidR="003B191F">
        <w:rPr>
          <w:rFonts w:cstheme="minorHAnsi"/>
        </w:rPr>
        <w:t xml:space="preserve">his concerns about </w:t>
      </w:r>
      <w:proofErr w:type="spellStart"/>
      <w:r w:rsidR="003B191F">
        <w:rPr>
          <w:rFonts w:cstheme="minorHAnsi"/>
        </w:rPr>
        <w:t>Storrar’s</w:t>
      </w:r>
      <w:proofErr w:type="spellEnd"/>
      <w:r w:rsidR="003B191F">
        <w:rPr>
          <w:rFonts w:cstheme="minorHAnsi"/>
        </w:rPr>
        <w:t xml:space="preserve"> work</w:t>
      </w:r>
      <w:r w:rsidR="00FF3B90">
        <w:rPr>
          <w:rFonts w:cstheme="minorHAnsi"/>
        </w:rPr>
        <w:t xml:space="preserve">, citing </w:t>
      </w:r>
      <w:r w:rsidR="00485B3F">
        <w:rPr>
          <w:rFonts w:cstheme="minorHAnsi"/>
        </w:rPr>
        <w:t xml:space="preserve">current scholarship. </w:t>
      </w:r>
      <w:r w:rsidR="0070481D">
        <w:rPr>
          <w:rFonts w:cstheme="minorHAnsi"/>
        </w:rPr>
        <w:t xml:space="preserve">He warns against simply reflecting on </w:t>
      </w:r>
      <w:r w:rsidR="00E8200C">
        <w:rPr>
          <w:rFonts w:cstheme="minorHAnsi"/>
        </w:rPr>
        <w:t>public theology</w:t>
      </w:r>
      <w:r w:rsidR="0070481D">
        <w:rPr>
          <w:rFonts w:cstheme="minorHAnsi"/>
        </w:rPr>
        <w:t xml:space="preserve">, rather than engaging with it in “the modern-day </w:t>
      </w:r>
      <w:r w:rsidR="0070481D">
        <w:rPr>
          <w:rFonts w:cstheme="minorHAnsi"/>
          <w:i/>
          <w:iCs/>
        </w:rPr>
        <w:t>agora</w:t>
      </w:r>
      <w:r w:rsidR="0070481D">
        <w:rPr>
          <w:rFonts w:cstheme="minorHAnsi"/>
        </w:rPr>
        <w:t>”</w:t>
      </w:r>
      <w:r w:rsidR="00EB7A8C" w:rsidRPr="006A0493">
        <w:rPr>
          <w:rStyle w:val="FootnoteReference"/>
        </w:rPr>
        <w:footnoteReference w:id="4"/>
      </w:r>
      <w:r w:rsidR="00EB7A8C">
        <w:rPr>
          <w:rFonts w:cstheme="minorHAnsi"/>
        </w:rPr>
        <w:t xml:space="preserve">. </w:t>
      </w:r>
      <w:r w:rsidR="008D64F5">
        <w:rPr>
          <w:rFonts w:cstheme="minorHAnsi"/>
        </w:rPr>
        <w:t>Un</w:t>
      </w:r>
      <w:r w:rsidR="003B191F">
        <w:rPr>
          <w:rFonts w:cstheme="minorHAnsi"/>
        </w:rPr>
        <w:t>usually</w:t>
      </w:r>
      <w:r w:rsidR="008D64F5">
        <w:rPr>
          <w:rFonts w:cstheme="minorHAnsi"/>
        </w:rPr>
        <w:t xml:space="preserve">, he sees </w:t>
      </w:r>
      <w:r w:rsidR="00EB7A8C">
        <w:rPr>
          <w:rFonts w:cstheme="minorHAnsi"/>
        </w:rPr>
        <w:t>public theology</w:t>
      </w:r>
      <w:r w:rsidR="008D64F5">
        <w:rPr>
          <w:rFonts w:cstheme="minorHAnsi"/>
        </w:rPr>
        <w:t xml:space="preserve"> expressed through film directors, artists, novelists, poets and philosophers</w:t>
      </w:r>
      <w:r w:rsidR="00EB7A8C" w:rsidRPr="006A0493">
        <w:rPr>
          <w:rStyle w:val="FootnoteReference"/>
        </w:rPr>
        <w:footnoteReference w:id="5"/>
      </w:r>
      <w:r w:rsidR="00EB7A8C">
        <w:rPr>
          <w:rFonts w:cstheme="minorHAnsi"/>
        </w:rPr>
        <w:t xml:space="preserve">. </w:t>
      </w:r>
      <w:r w:rsidR="00FF3B90">
        <w:rPr>
          <w:rFonts w:cstheme="minorHAnsi"/>
        </w:rPr>
        <w:t xml:space="preserve">In his conclusion, van </w:t>
      </w:r>
      <w:proofErr w:type="spellStart"/>
      <w:r w:rsidR="00FF3B90">
        <w:rPr>
          <w:rFonts w:cstheme="minorHAnsi"/>
        </w:rPr>
        <w:t>Aarde</w:t>
      </w:r>
      <w:proofErr w:type="spellEnd"/>
      <w:r w:rsidR="00FF3B90">
        <w:rPr>
          <w:rFonts w:cstheme="minorHAnsi"/>
        </w:rPr>
        <w:t xml:space="preserve"> returns to his original quest: “have the voices  of the marginalised </w:t>
      </w:r>
      <w:r w:rsidR="00960D0E">
        <w:rPr>
          <w:rFonts w:cstheme="minorHAnsi"/>
        </w:rPr>
        <w:t xml:space="preserve">[in the current South Africa] </w:t>
      </w:r>
      <w:r w:rsidR="00FF3B90">
        <w:rPr>
          <w:rFonts w:cstheme="minorHAnsi"/>
        </w:rPr>
        <w:t>really been heard?”</w:t>
      </w:r>
      <w:r w:rsidR="00FF3B90" w:rsidRPr="006A0493">
        <w:rPr>
          <w:rStyle w:val="FootnoteReference"/>
        </w:rPr>
        <w:footnoteReference w:id="6"/>
      </w:r>
      <w:r w:rsidR="00FF3B90">
        <w:rPr>
          <w:rFonts w:cstheme="minorHAnsi"/>
        </w:rPr>
        <w:t xml:space="preserve"> and leaves this hanging in the air. Once more, a perceptive article which raises as many questions as it answers.</w:t>
      </w:r>
    </w:p>
    <w:p w14:paraId="70B7AE05" w14:textId="77777777" w:rsidR="00AF79DF" w:rsidRPr="00AF79DF" w:rsidRDefault="00AF79DF" w:rsidP="00CC0993">
      <w:pPr>
        <w:spacing w:line="480" w:lineRule="auto"/>
        <w:rPr>
          <w:rFonts w:cstheme="minorHAnsi"/>
          <w:b/>
          <w:bCs/>
        </w:rPr>
      </w:pPr>
    </w:p>
    <w:p w14:paraId="2DFAFBFA" w14:textId="20DCB0B8" w:rsidR="00AF79DF" w:rsidRDefault="00AF79DF" w:rsidP="00CC0993">
      <w:pPr>
        <w:outlineLvl w:val="0"/>
        <w:rPr>
          <w:b/>
          <w:bCs/>
        </w:rPr>
      </w:pPr>
      <w:r w:rsidRPr="00B90B93">
        <w:rPr>
          <w:b/>
          <w:bCs/>
        </w:rPr>
        <w:t xml:space="preserve">Elaine L. Graham, </w:t>
      </w:r>
      <w:r w:rsidRPr="00B90B93">
        <w:rPr>
          <w:b/>
          <w:bCs/>
          <w:i/>
          <w:iCs/>
        </w:rPr>
        <w:t xml:space="preserve">Between a Rock and a Hard Place: Public Theology in a Post-Secular Age </w:t>
      </w:r>
      <w:r w:rsidRPr="00B90B93">
        <w:rPr>
          <w:b/>
          <w:bCs/>
        </w:rPr>
        <w:t>(London: SCM Press, 2013)</w:t>
      </w:r>
    </w:p>
    <w:p w14:paraId="4D7440BC" w14:textId="77777777" w:rsidR="00CC0993" w:rsidRPr="00B90B93" w:rsidRDefault="00CC0993" w:rsidP="00CC0993">
      <w:pPr>
        <w:outlineLvl w:val="0"/>
        <w:rPr>
          <w:rFonts w:eastAsia="Times New Roman" w:cstheme="minorHAnsi"/>
          <w:b/>
          <w:bCs/>
          <w:kern w:val="36"/>
          <w:lang w:eastAsia="en-GB"/>
        </w:rPr>
      </w:pPr>
    </w:p>
    <w:p w14:paraId="1F2CAD5C" w14:textId="0755B42E" w:rsidR="00D42B66" w:rsidRPr="008C5CD9" w:rsidRDefault="00AF79DF" w:rsidP="00CC0993">
      <w:pPr>
        <w:spacing w:line="480" w:lineRule="auto"/>
        <w:outlineLvl w:val="0"/>
        <w:rPr>
          <w:rFonts w:cstheme="minorHAnsi"/>
        </w:rPr>
      </w:pPr>
      <w:r>
        <w:rPr>
          <w:rFonts w:eastAsia="Times New Roman" w:cstheme="minorHAnsi"/>
          <w:kern w:val="36"/>
          <w:lang w:eastAsia="en-GB"/>
        </w:rPr>
        <w:t xml:space="preserve">Elaine Graham brings a particularly British view of </w:t>
      </w:r>
      <w:r w:rsidR="00E8200C">
        <w:rPr>
          <w:rFonts w:cstheme="minorHAnsi"/>
        </w:rPr>
        <w:t xml:space="preserve">public theology </w:t>
      </w:r>
      <w:r w:rsidR="008C5CD9">
        <w:rPr>
          <w:rFonts w:cstheme="minorHAnsi"/>
        </w:rPr>
        <w:t>into a South African theological context, typified by viewing secular and religious modes of  public life as separate</w:t>
      </w:r>
      <w:r>
        <w:rPr>
          <w:rFonts w:eastAsia="Times New Roman" w:cstheme="minorHAnsi"/>
          <w:kern w:val="36"/>
          <w:lang w:eastAsia="en-GB"/>
        </w:rPr>
        <w:t xml:space="preserve">. She </w:t>
      </w:r>
      <w:r w:rsidR="004676D1">
        <w:rPr>
          <w:rFonts w:eastAsia="Times New Roman" w:cstheme="minorHAnsi"/>
          <w:kern w:val="36"/>
          <w:lang w:eastAsia="en-GB"/>
        </w:rPr>
        <w:t>plots</w:t>
      </w:r>
      <w:r>
        <w:rPr>
          <w:rFonts w:eastAsia="Times New Roman" w:cstheme="minorHAnsi"/>
          <w:kern w:val="36"/>
          <w:lang w:eastAsia="en-GB"/>
        </w:rPr>
        <w:t xml:space="preserve"> the difficult </w:t>
      </w:r>
      <w:r w:rsidR="00CA6B2E">
        <w:rPr>
          <w:rFonts w:eastAsia="Times New Roman" w:cstheme="minorHAnsi"/>
          <w:kern w:val="36"/>
          <w:lang w:eastAsia="en-GB"/>
        </w:rPr>
        <w:t>path</w:t>
      </w:r>
      <w:r w:rsidR="004676D1">
        <w:rPr>
          <w:rFonts w:eastAsia="Times New Roman" w:cstheme="minorHAnsi"/>
          <w:kern w:val="36"/>
          <w:lang w:eastAsia="en-GB"/>
        </w:rPr>
        <w:t>way</w:t>
      </w:r>
      <w:r w:rsidR="008C5CD9">
        <w:rPr>
          <w:rFonts w:eastAsia="Times New Roman" w:cstheme="minorHAnsi"/>
          <w:kern w:val="36"/>
          <w:lang w:eastAsia="en-GB"/>
        </w:rPr>
        <w:t xml:space="preserve"> </w:t>
      </w:r>
      <w:r w:rsidR="0052540C">
        <w:rPr>
          <w:rFonts w:eastAsia="Times New Roman" w:cstheme="minorHAnsi"/>
          <w:kern w:val="36"/>
          <w:lang w:eastAsia="en-GB"/>
        </w:rPr>
        <w:t>through</w:t>
      </w:r>
      <w:r>
        <w:rPr>
          <w:rFonts w:eastAsia="Times New Roman" w:cstheme="minorHAnsi"/>
          <w:kern w:val="36"/>
          <w:lang w:eastAsia="en-GB"/>
        </w:rPr>
        <w:t xml:space="preserve"> the </w:t>
      </w:r>
      <w:r w:rsidR="00CA6B2E">
        <w:rPr>
          <w:rFonts w:eastAsia="Times New Roman" w:cstheme="minorHAnsi"/>
          <w:kern w:val="36"/>
          <w:lang w:eastAsia="en-GB"/>
        </w:rPr>
        <w:t xml:space="preserve">post-secular </w:t>
      </w:r>
      <w:r w:rsidR="004676D1">
        <w:rPr>
          <w:rFonts w:eastAsia="Times New Roman" w:cstheme="minorHAnsi"/>
          <w:kern w:val="36"/>
          <w:lang w:eastAsia="en-GB"/>
        </w:rPr>
        <w:t xml:space="preserve">thinking of </w:t>
      </w:r>
      <w:r w:rsidR="00CA6B2E">
        <w:rPr>
          <w:rFonts w:eastAsia="Times New Roman" w:cstheme="minorHAnsi"/>
          <w:kern w:val="36"/>
          <w:lang w:eastAsia="en-GB"/>
        </w:rPr>
        <w:t>today:</w:t>
      </w:r>
      <w:r w:rsidR="004676D1">
        <w:rPr>
          <w:rFonts w:eastAsia="Times New Roman" w:cstheme="minorHAnsi"/>
          <w:kern w:val="36"/>
          <w:lang w:eastAsia="en-GB"/>
        </w:rPr>
        <w:t xml:space="preserve"> </w:t>
      </w:r>
      <w:r w:rsidR="00CA6B2E">
        <w:rPr>
          <w:rFonts w:eastAsia="Times New Roman" w:cstheme="minorHAnsi"/>
          <w:kern w:val="36"/>
          <w:lang w:eastAsia="en-GB"/>
        </w:rPr>
        <w:t>”between the ‘rock’ of religious resurgence and the ‘hard place’ of institutional decline and secularism”.</w:t>
      </w:r>
      <w:r w:rsidR="00CA6B2E" w:rsidRPr="006A0493">
        <w:rPr>
          <w:rStyle w:val="FootnoteReference"/>
        </w:rPr>
        <w:footnoteReference w:id="7"/>
      </w:r>
      <w:r w:rsidR="00CA6B2E">
        <w:rPr>
          <w:rFonts w:eastAsia="Times New Roman" w:cstheme="minorHAnsi"/>
          <w:kern w:val="36"/>
          <w:lang w:eastAsia="en-GB"/>
        </w:rPr>
        <w:t xml:space="preserve"> </w:t>
      </w:r>
      <w:r w:rsidR="00D42B66">
        <w:rPr>
          <w:rFonts w:eastAsia="Times New Roman" w:cstheme="minorHAnsi"/>
          <w:kern w:val="36"/>
          <w:lang w:eastAsia="en-GB"/>
        </w:rPr>
        <w:t xml:space="preserve">The book is full of helpful charts, examples and a stage by stage exposition of </w:t>
      </w:r>
      <w:r w:rsidR="00D42B66">
        <w:rPr>
          <w:rFonts w:eastAsia="Times New Roman" w:cstheme="minorHAnsi"/>
          <w:kern w:val="36"/>
          <w:lang w:eastAsia="en-GB"/>
        </w:rPr>
        <w:lastRenderedPageBreak/>
        <w:t xml:space="preserve">the strengths and limitations of the different expressions of theological understanding and practice. </w:t>
      </w:r>
      <w:r w:rsidR="007F754D">
        <w:rPr>
          <w:rFonts w:eastAsia="Times New Roman" w:cstheme="minorHAnsi"/>
          <w:kern w:val="36"/>
          <w:lang w:eastAsia="en-GB"/>
        </w:rPr>
        <w:t xml:space="preserve">Using the views of Gutierrez and </w:t>
      </w:r>
      <w:proofErr w:type="spellStart"/>
      <w:r w:rsidR="007F754D">
        <w:rPr>
          <w:rFonts w:eastAsia="Times New Roman" w:cstheme="minorHAnsi"/>
          <w:kern w:val="36"/>
          <w:lang w:eastAsia="en-GB"/>
        </w:rPr>
        <w:t>Moltmann</w:t>
      </w:r>
      <w:proofErr w:type="spellEnd"/>
      <w:r w:rsidR="007F754D">
        <w:rPr>
          <w:rFonts w:eastAsia="Times New Roman" w:cstheme="minorHAnsi"/>
          <w:kern w:val="36"/>
          <w:lang w:eastAsia="en-GB"/>
        </w:rPr>
        <w:t xml:space="preserve">, </w:t>
      </w:r>
      <w:r w:rsidR="00D42B66">
        <w:rPr>
          <w:rFonts w:eastAsia="Times New Roman" w:cstheme="minorHAnsi"/>
          <w:kern w:val="36"/>
          <w:lang w:eastAsia="en-GB"/>
        </w:rPr>
        <w:t xml:space="preserve">Graham </w:t>
      </w:r>
      <w:r w:rsidR="007F754D">
        <w:rPr>
          <w:rFonts w:eastAsia="Times New Roman" w:cstheme="minorHAnsi"/>
          <w:kern w:val="36"/>
          <w:lang w:eastAsia="en-GB"/>
        </w:rPr>
        <w:t>constructs a convincing argument for remaining unapologetic about faith</w:t>
      </w:r>
      <w:r w:rsidR="003B191F">
        <w:rPr>
          <w:rFonts w:eastAsia="Times New Roman" w:cstheme="minorHAnsi"/>
          <w:kern w:val="36"/>
          <w:lang w:eastAsia="en-GB"/>
        </w:rPr>
        <w:t xml:space="preserve">. </w:t>
      </w:r>
      <w:r w:rsidR="008C5CD9">
        <w:rPr>
          <w:rFonts w:eastAsia="Times New Roman" w:cstheme="minorHAnsi"/>
          <w:kern w:val="36"/>
          <w:lang w:eastAsia="en-GB"/>
        </w:rPr>
        <w:t>Her conclusions are important and challenging: s</w:t>
      </w:r>
      <w:r w:rsidR="003B191F">
        <w:rPr>
          <w:rFonts w:eastAsia="Times New Roman" w:cstheme="minorHAnsi"/>
          <w:kern w:val="36"/>
          <w:lang w:eastAsia="en-GB"/>
        </w:rPr>
        <w:t>he is</w:t>
      </w:r>
      <w:r w:rsidR="00F871C8">
        <w:rPr>
          <w:rFonts w:eastAsia="Times New Roman" w:cstheme="minorHAnsi"/>
          <w:kern w:val="36"/>
          <w:lang w:eastAsia="en-GB"/>
        </w:rPr>
        <w:t xml:space="preserve"> less concerned about the Church’s survival than </w:t>
      </w:r>
      <w:r w:rsidR="00960D0E">
        <w:rPr>
          <w:rFonts w:eastAsia="Times New Roman" w:cstheme="minorHAnsi"/>
          <w:kern w:val="36"/>
          <w:lang w:eastAsia="en-GB"/>
        </w:rPr>
        <w:t>advocating to centres of power</w:t>
      </w:r>
      <w:r w:rsidR="00F871C8">
        <w:rPr>
          <w:rFonts w:eastAsia="Times New Roman" w:cstheme="minorHAnsi"/>
          <w:kern w:val="36"/>
          <w:lang w:eastAsia="en-GB"/>
        </w:rPr>
        <w:t xml:space="preserve"> the wellbeing of the poor and marginalised. </w:t>
      </w:r>
      <w:r w:rsidR="00EB7A8C">
        <w:rPr>
          <w:rFonts w:eastAsia="Times New Roman" w:cstheme="minorHAnsi"/>
          <w:kern w:val="36"/>
          <w:lang w:eastAsia="en-GB"/>
        </w:rPr>
        <w:t xml:space="preserve">Graham concludes that </w:t>
      </w:r>
      <w:r w:rsidR="00E8200C">
        <w:rPr>
          <w:rFonts w:cstheme="minorHAnsi"/>
        </w:rPr>
        <w:t xml:space="preserve">public theology </w:t>
      </w:r>
      <w:r w:rsidR="0052540C">
        <w:rPr>
          <w:rFonts w:eastAsia="Times New Roman" w:cstheme="minorHAnsi"/>
          <w:kern w:val="36"/>
          <w:lang w:eastAsia="en-GB"/>
        </w:rPr>
        <w:t>must move from academ</w:t>
      </w:r>
      <w:r w:rsidR="003B191F">
        <w:rPr>
          <w:rFonts w:eastAsia="Times New Roman" w:cstheme="minorHAnsi"/>
          <w:kern w:val="36"/>
          <w:lang w:eastAsia="en-GB"/>
        </w:rPr>
        <w:t>ia</w:t>
      </w:r>
      <w:r w:rsidR="0052540C">
        <w:rPr>
          <w:rFonts w:eastAsia="Times New Roman" w:cstheme="minorHAnsi"/>
          <w:kern w:val="36"/>
          <w:lang w:eastAsia="en-GB"/>
        </w:rPr>
        <w:t xml:space="preserve"> into the public world of everyday life.</w:t>
      </w:r>
    </w:p>
    <w:p w14:paraId="6E41E4D9" w14:textId="77777777" w:rsidR="00D42B66" w:rsidRDefault="00D42B66" w:rsidP="00CC0993">
      <w:pPr>
        <w:spacing w:line="480" w:lineRule="auto"/>
        <w:outlineLvl w:val="0"/>
        <w:rPr>
          <w:rFonts w:eastAsia="Times New Roman" w:cstheme="minorHAnsi"/>
          <w:kern w:val="36"/>
          <w:lang w:eastAsia="en-GB"/>
        </w:rPr>
      </w:pPr>
    </w:p>
    <w:p w14:paraId="32F6B922" w14:textId="210B24B9" w:rsidR="00665D8C" w:rsidRDefault="00665D8C" w:rsidP="00CC0993">
      <w:pPr>
        <w:spacing w:line="480" w:lineRule="auto"/>
        <w:rPr>
          <w:rFonts w:cstheme="minorHAnsi"/>
          <w:b/>
          <w:bCs/>
        </w:rPr>
      </w:pPr>
      <w:r>
        <w:rPr>
          <w:rFonts w:cstheme="minorHAnsi"/>
          <w:b/>
          <w:bCs/>
        </w:rPr>
        <w:t>Public Theology in practice</w:t>
      </w:r>
    </w:p>
    <w:p w14:paraId="29F51054" w14:textId="771BAAC8" w:rsidR="00305585" w:rsidRDefault="00305585" w:rsidP="00CC0993">
      <w:pPr>
        <w:rPr>
          <w:rFonts w:ascii="Calibri" w:cs="Calibri"/>
          <w:b/>
          <w:bCs/>
        </w:rPr>
      </w:pPr>
      <w:r w:rsidRPr="00B90B93">
        <w:rPr>
          <w:rFonts w:ascii="Calibri" w:cs="Calibri"/>
          <w:b/>
          <w:bCs/>
        </w:rPr>
        <w:t xml:space="preserve">Samuel Wells, Russell Rook, and David Barclay, </w:t>
      </w:r>
      <w:r w:rsidRPr="00B90B93">
        <w:rPr>
          <w:rFonts w:ascii="Calibri" w:cs="Calibri"/>
          <w:b/>
          <w:bCs/>
          <w:i/>
          <w:iCs/>
        </w:rPr>
        <w:t>For Good: The Church and the Future of Welfare</w:t>
      </w:r>
      <w:r w:rsidRPr="00B90B93">
        <w:rPr>
          <w:rFonts w:ascii="Calibri" w:cs="Calibri"/>
          <w:b/>
          <w:bCs/>
        </w:rPr>
        <w:t xml:space="preserve"> (London, UK: Canterbury Press Norwich, 2017)</w:t>
      </w:r>
    </w:p>
    <w:p w14:paraId="7B73B59C" w14:textId="77777777" w:rsidR="00CC0993" w:rsidRPr="00B90B93" w:rsidRDefault="00CC0993" w:rsidP="00CC0993">
      <w:pPr>
        <w:rPr>
          <w:rFonts w:cstheme="minorHAnsi"/>
          <w:b/>
          <w:bCs/>
        </w:rPr>
      </w:pPr>
    </w:p>
    <w:p w14:paraId="71F4B03D" w14:textId="7ABFE1E5" w:rsidR="00506BF7" w:rsidRDefault="00506BF7" w:rsidP="00CC0993">
      <w:pPr>
        <w:spacing w:line="480" w:lineRule="auto"/>
        <w:rPr>
          <w:rFonts w:cstheme="minorHAnsi"/>
        </w:rPr>
      </w:pPr>
      <w:r w:rsidRPr="00506BF7">
        <w:rPr>
          <w:rFonts w:cstheme="minorHAnsi"/>
        </w:rPr>
        <w:t xml:space="preserve">This book is concise and </w:t>
      </w:r>
      <w:r w:rsidR="003B191F">
        <w:rPr>
          <w:rFonts w:cstheme="minorHAnsi"/>
        </w:rPr>
        <w:t>persuasive</w:t>
      </w:r>
      <w:r w:rsidRPr="00506BF7">
        <w:rPr>
          <w:rFonts w:cstheme="minorHAnsi"/>
        </w:rPr>
        <w:t xml:space="preserve">. The authors are well-known as advocates and Christian practitioners of social action. Their argument is theologically sound, critiquing the 1942 Beveridge Plan’s five deficit model. The Church cannot replace governmental assistance, but can and does respond </w:t>
      </w:r>
      <w:r w:rsidR="00124527">
        <w:rPr>
          <w:rFonts w:cstheme="minorHAnsi"/>
        </w:rPr>
        <w:t xml:space="preserve">effectively </w:t>
      </w:r>
      <w:r w:rsidRPr="00506BF7">
        <w:rPr>
          <w:rFonts w:cstheme="minorHAnsi"/>
        </w:rPr>
        <w:t>in crisis on a short-term basis. The report courageously challenges t</w:t>
      </w:r>
      <w:r w:rsidR="00960D0E">
        <w:rPr>
          <w:rFonts w:cstheme="minorHAnsi"/>
        </w:rPr>
        <w:t>he</w:t>
      </w:r>
      <w:r w:rsidRPr="00506BF7">
        <w:rPr>
          <w:rFonts w:cstheme="minorHAnsi"/>
        </w:rPr>
        <w:t xml:space="preserve"> dependency and resultant disincentivis</w:t>
      </w:r>
      <w:r w:rsidR="00387943">
        <w:rPr>
          <w:rFonts w:cstheme="minorHAnsi"/>
        </w:rPr>
        <w:t>ing</w:t>
      </w:r>
      <w:r w:rsidRPr="00506BF7">
        <w:rPr>
          <w:rFonts w:cstheme="minorHAnsi"/>
        </w:rPr>
        <w:t xml:space="preserve"> arising from the government’s welfare system, proposing a radical system replacing the five deficit model with a five enablement one. Their concern is that dependency breeds dependency; their model encourages cultivating assets, supplying tools and skills for self-provision, self-worth and communal wellbeing. Churches provide a good and successful model for action. With its appendices for church self-evaluation, this truly is </w:t>
      </w:r>
      <w:r w:rsidR="008876D3">
        <w:rPr>
          <w:rFonts w:cstheme="minorHAnsi"/>
        </w:rPr>
        <w:t>public theology</w:t>
      </w:r>
      <w:r w:rsidRPr="00506BF7">
        <w:rPr>
          <w:rFonts w:cstheme="minorHAnsi"/>
        </w:rPr>
        <w:t xml:space="preserve"> in action to address one of society’s major issues. There is much practical advice and challenge </w:t>
      </w:r>
      <w:r w:rsidR="00960D0E">
        <w:rPr>
          <w:rFonts w:cstheme="minorHAnsi"/>
        </w:rPr>
        <w:t>to</w:t>
      </w:r>
      <w:r w:rsidRPr="00506BF7">
        <w:rPr>
          <w:rFonts w:cstheme="minorHAnsi"/>
        </w:rPr>
        <w:t xml:space="preserve"> individual churches </w:t>
      </w:r>
      <w:r w:rsidR="00960D0E">
        <w:rPr>
          <w:rFonts w:cstheme="minorHAnsi"/>
        </w:rPr>
        <w:t>for</w:t>
      </w:r>
      <w:r w:rsidRPr="00506BF7">
        <w:rPr>
          <w:rFonts w:cstheme="minorHAnsi"/>
        </w:rPr>
        <w:t xml:space="preserve"> assess</w:t>
      </w:r>
      <w:r w:rsidR="00960D0E">
        <w:rPr>
          <w:rFonts w:cstheme="minorHAnsi"/>
        </w:rPr>
        <w:t>ing</w:t>
      </w:r>
      <w:r w:rsidRPr="00506BF7">
        <w:rPr>
          <w:rFonts w:cstheme="minorHAnsi"/>
        </w:rPr>
        <w:t xml:space="preserve"> their own missional activity.</w:t>
      </w:r>
    </w:p>
    <w:p w14:paraId="24CB496F" w14:textId="77777777" w:rsidR="002E50D7" w:rsidRDefault="002E50D7" w:rsidP="00CC0993">
      <w:pPr>
        <w:spacing w:line="480" w:lineRule="auto"/>
        <w:rPr>
          <w:b/>
          <w:bCs/>
        </w:rPr>
      </w:pPr>
    </w:p>
    <w:p w14:paraId="7BB03B6A" w14:textId="4D999731" w:rsidR="002E50D7" w:rsidRDefault="002E50D7" w:rsidP="00CC0993">
      <w:pPr>
        <w:rPr>
          <w:b/>
          <w:bCs/>
        </w:rPr>
      </w:pPr>
      <w:r w:rsidRPr="007E2DA5">
        <w:rPr>
          <w:b/>
          <w:bCs/>
        </w:rPr>
        <w:fldChar w:fldCharType="begin"/>
      </w:r>
      <w:r>
        <w:rPr>
          <w:b/>
          <w:bCs/>
        </w:rPr>
        <w:instrText xml:space="preserve"> ADDIN ZOTERO_ITEM CSL_CITATION {"citationID":"V8HYnNwT","properties":{"formattedCitation":"Robin Sims-Williams, \\uc0\\u8216{}A Theological Reflection on Food and Hunger in the UK\\uc0\\u8217{}, accessed 5 November 2021, https://www.academia.edu/17606077/A_Theological_Reflection_on_Food_and_Hunger_in_the_UK.","plainCitation":"Robin Sims-Williams, ‘A Theological Reflection on Food and Hunger in the UK’, accessed 5 November 2021, https://www.academia.edu/17606077/A_Theological_Reflection_on_Food_and_Hunger_in_the_UK.","noteIndex":0},"citationItems":[{"id":745,"uris":["http://zotero.org/users/7540819/items/X5SE58JH"],"uri":["http://zotero.org/users/7540819/items/X5SE58JH"],"itemData":{"id":745,"type":"article-journal","abstract":"Published in Crucible: The Journal of Christian Social Ethics, October 2015 on the topic &amp;#39;The Politics of Food&amp;#39; In this article I attempt to outline some possible Alimentary Theologies, that is theologies of food, drawing out themes of","language":"en","source":"www.academia.edu","title":"A Theological Reflection on Food and Hunger in the UK","URL":"https://www.academia.edu/17606077/A_Theological_Reflection_on_Food_and_Hunger_in_the_UK","author":[{"family":"Sims-Williams","given":"Robin"}],"accessed":{"date-parts":[["2021",11,5]]}}}],"schema":"https://github.com/citation-style-language/schema/raw/master/csl-citation.json"} </w:instrText>
      </w:r>
      <w:r w:rsidRPr="007E2DA5">
        <w:rPr>
          <w:b/>
          <w:bCs/>
        </w:rPr>
        <w:fldChar w:fldCharType="separate"/>
      </w:r>
      <w:r w:rsidRPr="007E2DA5">
        <w:rPr>
          <w:rFonts w:ascii="Calibri" w:cs="Calibri"/>
          <w:b/>
          <w:bCs/>
        </w:rPr>
        <w:t xml:space="preserve">Robin Sims-Williams, ‘A Theological Reflection on Food and Hunger in the UK’, accessed 5 November 2021, </w:t>
      </w:r>
      <w:r w:rsidRPr="007E2DA5">
        <w:rPr>
          <w:rFonts w:ascii="Calibri" w:cs="Calibri"/>
          <w:b/>
          <w:bCs/>
        </w:rPr>
        <w:lastRenderedPageBreak/>
        <w:t>https://www.academia.edu/17606077/A_Theological_Reflection_on_Food_and_Hunger_in_the_UK.</w:t>
      </w:r>
      <w:r w:rsidRPr="007E2DA5">
        <w:rPr>
          <w:b/>
          <w:bCs/>
        </w:rPr>
        <w:fldChar w:fldCharType="end"/>
      </w:r>
    </w:p>
    <w:p w14:paraId="184A1FE6" w14:textId="77777777" w:rsidR="00CC0993" w:rsidRPr="007E2DA5" w:rsidRDefault="00CC0993" w:rsidP="00CC0993">
      <w:pPr>
        <w:rPr>
          <w:rFonts w:cstheme="minorHAnsi"/>
          <w:b/>
          <w:bCs/>
        </w:rPr>
      </w:pPr>
    </w:p>
    <w:p w14:paraId="32E44A85" w14:textId="25361C6C" w:rsidR="002E50D7" w:rsidRPr="007E2DA5" w:rsidRDefault="002E50D7" w:rsidP="00CC0993">
      <w:pPr>
        <w:spacing w:line="480" w:lineRule="auto"/>
        <w:rPr>
          <w:rFonts w:cstheme="minorHAnsi"/>
        </w:rPr>
      </w:pPr>
      <w:r>
        <w:rPr>
          <w:rFonts w:cstheme="minorHAnsi"/>
        </w:rPr>
        <w:t xml:space="preserve">This reflection establishes the current state of foodbanks in a Christian theological context, as part of the theology of food. Biblical texts provide a compelling </w:t>
      </w:r>
      <w:r w:rsidR="00960D0E">
        <w:rPr>
          <w:rFonts w:cstheme="minorHAnsi"/>
        </w:rPr>
        <w:t>call</w:t>
      </w:r>
      <w:r>
        <w:rPr>
          <w:rFonts w:cstheme="minorHAnsi"/>
        </w:rPr>
        <w:t xml:space="preserve"> to respond. The Church must be able to articulate how God’s saving power can be proclaimed against the background of need and food poverty </w:t>
      </w:r>
      <w:r w:rsidR="00960D0E">
        <w:rPr>
          <w:rFonts w:cstheme="minorHAnsi"/>
        </w:rPr>
        <w:t>by</w:t>
      </w:r>
      <w:r>
        <w:rPr>
          <w:rFonts w:cstheme="minorHAnsi"/>
        </w:rPr>
        <w:t xml:space="preserve"> find</w:t>
      </w:r>
      <w:r w:rsidR="00960D0E">
        <w:rPr>
          <w:rFonts w:cstheme="minorHAnsi"/>
        </w:rPr>
        <w:t>ing</w:t>
      </w:r>
      <w:r>
        <w:rPr>
          <w:rFonts w:cstheme="minorHAnsi"/>
        </w:rPr>
        <w:t xml:space="preserve"> a means of connecting with those who are suffering. The summary of the current situation</w:t>
      </w:r>
      <w:r w:rsidRPr="00CA34D5">
        <w:rPr>
          <w:rFonts w:cstheme="minorHAnsi"/>
        </w:rPr>
        <w:t xml:space="preserve"> </w:t>
      </w:r>
      <w:r>
        <w:rPr>
          <w:rFonts w:cstheme="minorHAnsi"/>
        </w:rPr>
        <w:t>reflect</w:t>
      </w:r>
      <w:r w:rsidR="00960D0E">
        <w:rPr>
          <w:rFonts w:cstheme="minorHAnsi"/>
        </w:rPr>
        <w:t>s</w:t>
      </w:r>
      <w:r>
        <w:rPr>
          <w:rFonts w:cstheme="minorHAnsi"/>
        </w:rPr>
        <w:t xml:space="preserve"> the </w:t>
      </w:r>
      <w:proofErr w:type="spellStart"/>
      <w:r>
        <w:rPr>
          <w:rFonts w:cstheme="minorHAnsi"/>
        </w:rPr>
        <w:t>CofE</w:t>
      </w:r>
      <w:proofErr w:type="spellEnd"/>
      <w:r>
        <w:rPr>
          <w:rFonts w:cstheme="minorHAnsi"/>
        </w:rPr>
        <w:t xml:space="preserve"> and CTBI position.</w:t>
      </w:r>
      <w:r>
        <w:rPr>
          <w:rStyle w:val="FootnoteReference"/>
          <w:rFonts w:cstheme="minorHAnsi"/>
        </w:rPr>
        <w:footnoteReference w:id="8"/>
      </w:r>
      <w:r>
        <w:rPr>
          <w:rFonts w:cstheme="minorHAnsi"/>
        </w:rPr>
        <w:t xml:space="preserve"> Finally, the reflection suggests how the multiple ways building relationships are key to the success of the Christian response to the foodbanks. </w:t>
      </w:r>
    </w:p>
    <w:p w14:paraId="448B5DAC" w14:textId="77777777" w:rsidR="00B90B93" w:rsidRDefault="00B90B93" w:rsidP="00CC0993">
      <w:pPr>
        <w:pStyle w:val="ListParagraph"/>
        <w:spacing w:line="480" w:lineRule="auto"/>
        <w:rPr>
          <w:rFonts w:ascii="Calibri" w:cs="Calibri"/>
          <w:b/>
          <w:bCs/>
        </w:rPr>
      </w:pPr>
    </w:p>
    <w:p w14:paraId="6910D72F" w14:textId="01E01793" w:rsidR="0069115D" w:rsidRDefault="008C5D1A" w:rsidP="00CC0993">
      <w:pPr>
        <w:pStyle w:val="ListParagraph"/>
        <w:ind w:left="0"/>
        <w:rPr>
          <w:rFonts w:ascii="Calibri" w:cs="Calibri"/>
          <w:b/>
          <w:bCs/>
        </w:rPr>
      </w:pPr>
      <w:r w:rsidRPr="000B0BD9">
        <w:rPr>
          <w:rFonts w:ascii="Calibri" w:cs="Calibri"/>
          <w:b/>
          <w:bCs/>
        </w:rPr>
        <w:t xml:space="preserve">Jayme Reaves </w:t>
      </w:r>
      <w:r w:rsidRPr="008C5D1A">
        <w:rPr>
          <w:rFonts w:ascii="Calibri" w:cs="Calibri"/>
          <w:b/>
          <w:bCs/>
        </w:rPr>
        <w:t xml:space="preserve">and David Tombs, ‘#MeToo Jesus: Naming Jesus as a Victim of Sexual Abuse’, </w:t>
      </w:r>
      <w:r w:rsidRPr="008C5D1A">
        <w:rPr>
          <w:rFonts w:ascii="Calibri" w:cs="Calibri"/>
          <w:b/>
          <w:bCs/>
          <w:i/>
          <w:iCs/>
        </w:rPr>
        <w:t>Review &amp; Expositor</w:t>
      </w:r>
      <w:r w:rsidRPr="008C5D1A">
        <w:rPr>
          <w:rFonts w:ascii="Calibri" w:cs="Calibri"/>
          <w:b/>
          <w:bCs/>
        </w:rPr>
        <w:t xml:space="preserve"> 117, no. 2 (May 2020): 204–21, </w:t>
      </w:r>
    </w:p>
    <w:p w14:paraId="0CF50C5E" w14:textId="77777777" w:rsidR="00CC0993" w:rsidRPr="008C5D1A" w:rsidRDefault="00CC0993" w:rsidP="00CC0993">
      <w:pPr>
        <w:pStyle w:val="ListParagraph"/>
        <w:ind w:left="0"/>
        <w:rPr>
          <w:rFonts w:cstheme="minorHAnsi"/>
          <w:b/>
          <w:bCs/>
        </w:rPr>
      </w:pPr>
    </w:p>
    <w:p w14:paraId="60B9B9C7" w14:textId="5208C369" w:rsidR="008C5D1A" w:rsidRPr="008C5D1A" w:rsidRDefault="008C5D1A" w:rsidP="00CC0993">
      <w:pPr>
        <w:spacing w:line="480" w:lineRule="auto"/>
        <w:rPr>
          <w:rFonts w:cstheme="minorHAnsi"/>
        </w:rPr>
      </w:pPr>
      <w:r>
        <w:rPr>
          <w:rFonts w:cstheme="minorHAnsi"/>
        </w:rPr>
        <w:t xml:space="preserve">This article reverses the tables and </w:t>
      </w:r>
      <w:r w:rsidR="00315E0D">
        <w:rPr>
          <w:rFonts w:cstheme="minorHAnsi"/>
        </w:rPr>
        <w:t>reveals</w:t>
      </w:r>
      <w:r>
        <w:rPr>
          <w:rFonts w:cstheme="minorHAnsi"/>
        </w:rPr>
        <w:t xml:space="preserve"> a public theology </w:t>
      </w:r>
      <w:r w:rsidR="00E128B6">
        <w:rPr>
          <w:rFonts w:cstheme="minorHAnsi"/>
        </w:rPr>
        <w:t>inspired by an American church linking the #MeToo movement with Jesus</w:t>
      </w:r>
      <w:r w:rsidR="00960D0E">
        <w:rPr>
          <w:rFonts w:cstheme="minorHAnsi"/>
        </w:rPr>
        <w:t xml:space="preserve"> in</w:t>
      </w:r>
      <w:r w:rsidR="00E128B6">
        <w:rPr>
          <w:rFonts w:cstheme="minorHAnsi"/>
        </w:rPr>
        <w:t xml:space="preserve"> Matthew 25:40</w:t>
      </w:r>
      <w:r>
        <w:rPr>
          <w:rFonts w:cstheme="minorHAnsi"/>
        </w:rPr>
        <w:t xml:space="preserve">. </w:t>
      </w:r>
      <w:r w:rsidR="001E6EE6">
        <w:rPr>
          <w:rFonts w:cstheme="minorHAnsi"/>
        </w:rPr>
        <w:t xml:space="preserve">There is a clear polemic uttered here, cogently presenting Jesus at the Cross as victim in a similar manner to abused women. Citing many Biblical verses, </w:t>
      </w:r>
      <w:r w:rsidR="00E128B6">
        <w:rPr>
          <w:rFonts w:cstheme="minorHAnsi"/>
        </w:rPr>
        <w:t>the authors</w:t>
      </w:r>
      <w:r w:rsidR="001E6EE6">
        <w:rPr>
          <w:rFonts w:cstheme="minorHAnsi"/>
        </w:rPr>
        <w:t xml:space="preserve"> argue </w:t>
      </w:r>
      <w:r w:rsidR="00666599">
        <w:rPr>
          <w:rFonts w:cstheme="minorHAnsi"/>
        </w:rPr>
        <w:t xml:space="preserve">in </w:t>
      </w:r>
      <w:r w:rsidR="001E6EE6">
        <w:rPr>
          <w:rFonts w:cstheme="minorHAnsi"/>
        </w:rPr>
        <w:t xml:space="preserve">theologically different ways </w:t>
      </w:r>
      <w:r w:rsidR="008876D3">
        <w:rPr>
          <w:rFonts w:cstheme="minorHAnsi"/>
        </w:rPr>
        <w:t xml:space="preserve">that </w:t>
      </w:r>
      <w:r w:rsidR="001E6EE6">
        <w:rPr>
          <w:rFonts w:cstheme="minorHAnsi"/>
        </w:rPr>
        <w:t>Jesus was a victim of abuse</w:t>
      </w:r>
      <w:r w:rsidR="00666599">
        <w:rPr>
          <w:rFonts w:cstheme="minorHAnsi"/>
        </w:rPr>
        <w:t xml:space="preserve">, </w:t>
      </w:r>
      <w:r w:rsidR="00E110C1">
        <w:rPr>
          <w:rFonts w:cstheme="minorHAnsi"/>
        </w:rPr>
        <w:t xml:space="preserve">seeing him and </w:t>
      </w:r>
      <w:r w:rsidR="00666599">
        <w:rPr>
          <w:rFonts w:cstheme="minorHAnsi"/>
        </w:rPr>
        <w:t>#MeToo victims</w:t>
      </w:r>
      <w:r w:rsidR="00E128B6">
        <w:rPr>
          <w:rFonts w:cstheme="minorHAnsi"/>
        </w:rPr>
        <w:t>, for example,</w:t>
      </w:r>
      <w:r w:rsidR="001E6EE6">
        <w:rPr>
          <w:rFonts w:cstheme="minorHAnsi"/>
        </w:rPr>
        <w:t xml:space="preserve"> </w:t>
      </w:r>
      <w:r w:rsidR="00666599">
        <w:rPr>
          <w:rFonts w:cstheme="minorHAnsi"/>
        </w:rPr>
        <w:t xml:space="preserve">in </w:t>
      </w:r>
      <w:r w:rsidR="001E6EE6">
        <w:rPr>
          <w:rFonts w:cstheme="minorHAnsi"/>
        </w:rPr>
        <w:t>the parable of the sheep and the goats (Mt. 25:36)</w:t>
      </w:r>
      <w:r w:rsidR="003B191F">
        <w:rPr>
          <w:rFonts w:cstheme="minorHAnsi"/>
        </w:rPr>
        <w:t>.</w:t>
      </w:r>
      <w:r w:rsidR="001E6EE6">
        <w:rPr>
          <w:rFonts w:cstheme="minorHAnsi"/>
        </w:rPr>
        <w:t xml:space="preserve"> </w:t>
      </w:r>
      <w:r w:rsidR="003B191F">
        <w:rPr>
          <w:rFonts w:cstheme="minorHAnsi"/>
        </w:rPr>
        <w:t xml:space="preserve">A second example </w:t>
      </w:r>
      <w:r w:rsidR="00666599">
        <w:rPr>
          <w:rFonts w:cstheme="minorHAnsi"/>
        </w:rPr>
        <w:t xml:space="preserve">infers </w:t>
      </w:r>
      <w:r w:rsidR="001E6EE6">
        <w:rPr>
          <w:rFonts w:cstheme="minorHAnsi"/>
        </w:rPr>
        <w:t xml:space="preserve">Jesus sharing the abused victims’ plight, </w:t>
      </w:r>
      <w:r w:rsidR="00666599">
        <w:rPr>
          <w:rFonts w:cstheme="minorHAnsi"/>
        </w:rPr>
        <w:t xml:space="preserve">shown in comparing gratification of state terror in Jesus’ demeaning and </w:t>
      </w:r>
      <w:r w:rsidR="001E6EE6">
        <w:rPr>
          <w:rFonts w:cstheme="minorHAnsi"/>
        </w:rPr>
        <w:t xml:space="preserve">crucifixion </w:t>
      </w:r>
      <w:r w:rsidR="00E128B6">
        <w:rPr>
          <w:rFonts w:cstheme="minorHAnsi"/>
        </w:rPr>
        <w:t>with</w:t>
      </w:r>
      <w:r w:rsidR="00666599">
        <w:rPr>
          <w:rFonts w:cstheme="minorHAnsi"/>
        </w:rPr>
        <w:t xml:space="preserve"> </w:t>
      </w:r>
      <w:r w:rsidR="001E6EE6">
        <w:rPr>
          <w:rFonts w:cstheme="minorHAnsi"/>
        </w:rPr>
        <w:t xml:space="preserve">sexual abuse. Modern scholarship, including that of Elaine Heath, Wil </w:t>
      </w:r>
      <w:proofErr w:type="spellStart"/>
      <w:r w:rsidR="001E6EE6">
        <w:rPr>
          <w:rFonts w:cstheme="minorHAnsi"/>
        </w:rPr>
        <w:t>Gafney</w:t>
      </w:r>
      <w:proofErr w:type="spellEnd"/>
      <w:r w:rsidR="001E6EE6">
        <w:rPr>
          <w:rFonts w:cstheme="minorHAnsi"/>
        </w:rPr>
        <w:t xml:space="preserve"> and Michael Trainor, </w:t>
      </w:r>
      <w:r w:rsidR="008876D3">
        <w:rPr>
          <w:rFonts w:cstheme="minorHAnsi"/>
        </w:rPr>
        <w:t>is</w:t>
      </w:r>
      <w:r w:rsidR="001E6EE6">
        <w:rPr>
          <w:rFonts w:cstheme="minorHAnsi"/>
        </w:rPr>
        <w:t xml:space="preserve"> quoted to support the thesis.</w:t>
      </w:r>
      <w:r w:rsidR="003D1F26">
        <w:rPr>
          <w:rFonts w:cstheme="minorHAnsi"/>
        </w:rPr>
        <w:t xml:space="preserve"> The authors seek to raise the importance of linking Jesus </w:t>
      </w:r>
      <w:r w:rsidR="00E128B6">
        <w:rPr>
          <w:rFonts w:cstheme="minorHAnsi"/>
        </w:rPr>
        <w:t>with</w:t>
      </w:r>
      <w:r w:rsidR="003D1F26">
        <w:rPr>
          <w:rFonts w:cstheme="minorHAnsi"/>
        </w:rPr>
        <w:t xml:space="preserve"> victims of sexual abuse to </w:t>
      </w:r>
      <w:r w:rsidR="00E128B6">
        <w:rPr>
          <w:rFonts w:cstheme="minorHAnsi"/>
        </w:rPr>
        <w:t xml:space="preserve">confront church negative attitudes and </w:t>
      </w:r>
      <w:r w:rsidR="003D1F26">
        <w:rPr>
          <w:rFonts w:cstheme="minorHAnsi"/>
        </w:rPr>
        <w:t xml:space="preserve">transform </w:t>
      </w:r>
      <w:r w:rsidR="00E128B6">
        <w:rPr>
          <w:rFonts w:cstheme="minorHAnsi"/>
        </w:rPr>
        <w:t>church pastoral care for victims in general.</w:t>
      </w:r>
      <w:r w:rsidR="003D1F26">
        <w:rPr>
          <w:rFonts w:cstheme="minorHAnsi"/>
        </w:rPr>
        <w:t xml:space="preserve"> Whether one agrees or </w:t>
      </w:r>
      <w:r w:rsidR="003D1F26">
        <w:rPr>
          <w:rFonts w:cstheme="minorHAnsi"/>
        </w:rPr>
        <w:lastRenderedPageBreak/>
        <w:t>not with the argument and conclusions, it prompts a rethink of church attitudes and care for the needy.</w:t>
      </w:r>
    </w:p>
    <w:p w14:paraId="7F5D84D5" w14:textId="77777777" w:rsidR="008C5D1A" w:rsidRPr="004342C2" w:rsidRDefault="008C5D1A" w:rsidP="00CC0993">
      <w:pPr>
        <w:spacing w:line="480" w:lineRule="auto"/>
        <w:rPr>
          <w:rFonts w:cstheme="minorHAnsi"/>
          <w:b/>
          <w:bCs/>
        </w:rPr>
      </w:pPr>
    </w:p>
    <w:p w14:paraId="3A9E30C1" w14:textId="1F6D0275" w:rsidR="004342C2" w:rsidRDefault="004342C2" w:rsidP="00CC0993">
      <w:pPr>
        <w:pStyle w:val="ListParagraph"/>
        <w:ind w:left="0"/>
        <w:rPr>
          <w:b/>
          <w:bCs/>
        </w:rPr>
      </w:pPr>
      <w:r w:rsidRPr="004342C2">
        <w:rPr>
          <w:b/>
          <w:bCs/>
        </w:rPr>
        <w:fldChar w:fldCharType="begin"/>
      </w:r>
      <w:r w:rsidR="002E50D7">
        <w:rPr>
          <w:b/>
          <w:bCs/>
        </w:rPr>
        <w:instrText xml:space="preserve"> ADDIN ZOTERO_ITEM CSL_CITATION {"citationID":"ZxreGLYp","properties":{"formattedCitation":"Dawne Moon, \\uc0\\u8216{}Beyond the Dichotomy: Six Religious Views of Homosexuality\\uc0\\u8217{}, accessed 4 November 2021, https://core.ac.uk/reader/213077877.","plainCitation":"Dawne Moon, ‘Beyond the Dichotomy: Six Religious Views of Homosexuality’, accessed 4 November 2021, https://core.ac.uk/reader/213077877.","noteIndex":0},"citationItems":[{"id":740,"uris":["http://zotero.org/users/7540819/items/5U2RPQJM"],"uri":["http://zotero.org/users/7540819/items/5U2RPQJM"],"itemData":{"id":740,"type":"article-journal","abstract":"Using published theological and scholarly evidence, this article disrupts the stereotypical “born gay”/“sinful choice” dichotomy widely assumed to characterize religious views of homosexuality in the United States. It argues that we need to keep moral questions separate from questions about the fixity or fluidity of sexual orientation. Rather than two, American Christian and Jewish views of homosexuality can been seen on a range from the “God Hates Fags” view through “Love the Sinner, Hate the Sin,” “We Don’t Talk About That,” “They Can’t Help It,” “God’s Good Gift,” and a queer-theological view of the “Godly Calling.","source":"core.ac.uk","title":"Beyond the Dichotomy: Six Religious Views of Homosexuality","title-short":"Beyond the Dichotomy","URL":"https://core.ac.uk/reader/213077877","author":[{"family":"Moon","given":"Dawne"}],"accessed":{"date-parts":[["2021",11,4]]}}}],"schema":"https://github.com/citation-style-language/schema/raw/master/csl-citation.json"} </w:instrText>
      </w:r>
      <w:r w:rsidRPr="004342C2">
        <w:rPr>
          <w:b/>
          <w:bCs/>
        </w:rPr>
        <w:fldChar w:fldCharType="separate"/>
      </w:r>
      <w:r w:rsidRPr="004342C2">
        <w:rPr>
          <w:rFonts w:ascii="Calibri" w:cs="Calibri"/>
          <w:b/>
          <w:bCs/>
        </w:rPr>
        <w:t>Dawne Moon, ‘Beyond the Dichotomy: Six Religious Views of Homosexuality’, accessed 4 November 2021, https://core.ac.uk/reader/213077877.</w:t>
      </w:r>
      <w:r w:rsidRPr="004342C2">
        <w:rPr>
          <w:b/>
          <w:bCs/>
        </w:rPr>
        <w:fldChar w:fldCharType="end"/>
      </w:r>
      <w:r w:rsidRPr="004342C2">
        <w:rPr>
          <w:b/>
          <w:bCs/>
        </w:rPr>
        <w:t xml:space="preserve"> </w:t>
      </w:r>
    </w:p>
    <w:p w14:paraId="3403FBFA" w14:textId="77777777" w:rsidR="00CC0993" w:rsidRPr="004342C2" w:rsidRDefault="00CC0993" w:rsidP="00CC0993">
      <w:pPr>
        <w:pStyle w:val="ListParagraph"/>
        <w:ind w:left="0"/>
        <w:rPr>
          <w:rFonts w:cstheme="minorHAnsi"/>
          <w:b/>
          <w:bCs/>
        </w:rPr>
      </w:pPr>
    </w:p>
    <w:p w14:paraId="11C54712" w14:textId="57399B78" w:rsidR="00BA0876" w:rsidRDefault="004F303C" w:rsidP="00CC0993">
      <w:pPr>
        <w:pStyle w:val="ListParagraph"/>
        <w:spacing w:line="480" w:lineRule="auto"/>
        <w:ind w:left="0"/>
        <w:rPr>
          <w:rFonts w:cstheme="minorHAnsi"/>
        </w:rPr>
      </w:pPr>
      <w:r w:rsidRPr="004342C2">
        <w:rPr>
          <w:rFonts w:cstheme="minorHAnsi"/>
        </w:rPr>
        <w:t xml:space="preserve">Dawne Moon’s article analyses American theological and scholarly evidence to assess current </w:t>
      </w:r>
      <w:r w:rsidR="00357713" w:rsidRPr="004342C2">
        <w:rPr>
          <w:rFonts w:cstheme="minorHAnsi"/>
        </w:rPr>
        <w:t xml:space="preserve">religious views on homosexuality. This is a carefully crafted analysis, paying due attention to sensitivities on all sides of the debate. The American public tends to be either pro- or anti-gays. Moon discusses six typical US religious views, typified by standard taglines, from homonegative, moderate and </w:t>
      </w:r>
      <w:proofErr w:type="spellStart"/>
      <w:r w:rsidR="00357713" w:rsidRPr="004342C2">
        <w:rPr>
          <w:rFonts w:cstheme="minorHAnsi"/>
        </w:rPr>
        <w:t>homopositive</w:t>
      </w:r>
      <w:proofErr w:type="spellEnd"/>
      <w:r w:rsidR="00357713" w:rsidRPr="004342C2">
        <w:rPr>
          <w:rFonts w:cstheme="minorHAnsi"/>
        </w:rPr>
        <w:t xml:space="preserve"> typologies. </w:t>
      </w:r>
      <w:r w:rsidR="00F006B9" w:rsidRPr="004342C2">
        <w:rPr>
          <w:rFonts w:cstheme="minorHAnsi"/>
        </w:rPr>
        <w:t xml:space="preserve">In her selection of scholarly sources, she interrogates the range of Christian and Jewish stances, unafraid </w:t>
      </w:r>
      <w:r w:rsidR="004342C2" w:rsidRPr="004342C2">
        <w:rPr>
          <w:rFonts w:cstheme="minorHAnsi"/>
        </w:rPr>
        <w:t>to criticise</w:t>
      </w:r>
      <w:r w:rsidR="00F006B9" w:rsidRPr="004342C2">
        <w:rPr>
          <w:rFonts w:cstheme="minorHAnsi"/>
        </w:rPr>
        <w:t xml:space="preserve"> pr</w:t>
      </w:r>
      <w:r w:rsidR="00C2784D" w:rsidRPr="004342C2">
        <w:rPr>
          <w:rFonts w:cstheme="minorHAnsi"/>
        </w:rPr>
        <w:t>o</w:t>
      </w:r>
      <w:r w:rsidR="00F006B9" w:rsidRPr="004342C2">
        <w:rPr>
          <w:rFonts w:cstheme="minorHAnsi"/>
        </w:rPr>
        <w:t xml:space="preserve">- and anti- positions, including the moderate “non-view”, where the issues are not </w:t>
      </w:r>
      <w:r w:rsidR="00E110C1">
        <w:rPr>
          <w:rFonts w:cstheme="minorHAnsi"/>
        </w:rPr>
        <w:t xml:space="preserve">even </w:t>
      </w:r>
      <w:r w:rsidR="00F006B9" w:rsidRPr="004342C2">
        <w:rPr>
          <w:rFonts w:cstheme="minorHAnsi"/>
        </w:rPr>
        <w:t xml:space="preserve">discussed. Many gay individuals feel comfortable </w:t>
      </w:r>
      <w:r w:rsidR="00E110C1">
        <w:rPr>
          <w:rFonts w:cstheme="minorHAnsi"/>
        </w:rPr>
        <w:t xml:space="preserve">in that environment, </w:t>
      </w:r>
      <w:r w:rsidR="00F006B9" w:rsidRPr="004342C2">
        <w:rPr>
          <w:rFonts w:cstheme="minorHAnsi"/>
        </w:rPr>
        <w:t>not needing to justify their identity.</w:t>
      </w:r>
      <w:r w:rsidR="00327DED">
        <w:rPr>
          <w:rStyle w:val="FootnoteReference"/>
          <w:rFonts w:cstheme="minorHAnsi"/>
        </w:rPr>
        <w:footnoteReference w:id="9"/>
      </w:r>
      <w:r w:rsidR="00F006B9" w:rsidRPr="004342C2">
        <w:rPr>
          <w:rFonts w:cstheme="minorHAnsi"/>
        </w:rPr>
        <w:t xml:space="preserve"> </w:t>
      </w:r>
      <w:r w:rsidR="004333AB" w:rsidRPr="004342C2">
        <w:rPr>
          <w:rFonts w:cstheme="minorHAnsi"/>
        </w:rPr>
        <w:t>Moon concludes that “treating others with love and compassion .. creating more understanding … [and] honest and respectful dialogue”</w:t>
      </w:r>
      <w:r w:rsidR="00327DED">
        <w:rPr>
          <w:rStyle w:val="FootnoteReference"/>
          <w:rFonts w:cstheme="minorHAnsi"/>
        </w:rPr>
        <w:footnoteReference w:id="10"/>
      </w:r>
      <w:r w:rsidR="004333AB" w:rsidRPr="004342C2">
        <w:rPr>
          <w:rFonts w:cstheme="minorHAnsi"/>
        </w:rPr>
        <w:t xml:space="preserve"> regardless of personal views is likely to produce more humane policies and practices in society. </w:t>
      </w:r>
      <w:r w:rsidR="00463EBC" w:rsidRPr="004342C2">
        <w:rPr>
          <w:rFonts w:cstheme="minorHAnsi"/>
        </w:rPr>
        <w:t xml:space="preserve">Extensive references enhance her article. </w:t>
      </w:r>
      <w:r w:rsidR="004333AB" w:rsidRPr="004342C2">
        <w:rPr>
          <w:rFonts w:cstheme="minorHAnsi"/>
        </w:rPr>
        <w:t>In the continued face of extreme views, t</w:t>
      </w:r>
      <w:r w:rsidR="00F006B9" w:rsidRPr="004342C2">
        <w:rPr>
          <w:rFonts w:cstheme="minorHAnsi"/>
        </w:rPr>
        <w:t>his is a</w:t>
      </w:r>
      <w:r w:rsidR="004333AB" w:rsidRPr="004342C2">
        <w:rPr>
          <w:rFonts w:cstheme="minorHAnsi"/>
        </w:rPr>
        <w:t xml:space="preserve">n important theological </w:t>
      </w:r>
      <w:r w:rsidR="00F006B9" w:rsidRPr="004342C2">
        <w:rPr>
          <w:rFonts w:cstheme="minorHAnsi"/>
        </w:rPr>
        <w:t>study to explore</w:t>
      </w:r>
      <w:r w:rsidR="00867723" w:rsidRPr="004342C2">
        <w:rPr>
          <w:rFonts w:cstheme="minorHAnsi"/>
        </w:rPr>
        <w:t>.</w:t>
      </w:r>
      <w:r w:rsidR="00867723">
        <w:rPr>
          <w:rStyle w:val="FootnoteReference"/>
          <w:rFonts w:cstheme="minorHAnsi"/>
        </w:rPr>
        <w:footnoteReference w:id="11"/>
      </w:r>
      <w:r w:rsidR="004333AB" w:rsidRPr="004342C2">
        <w:rPr>
          <w:rFonts w:cstheme="minorHAnsi"/>
        </w:rPr>
        <w:t xml:space="preserve"> </w:t>
      </w:r>
    </w:p>
    <w:p w14:paraId="4BD4CEFB" w14:textId="77777777" w:rsidR="00327DED" w:rsidRPr="00327DED" w:rsidRDefault="00327DED" w:rsidP="00CC0993">
      <w:pPr>
        <w:pStyle w:val="ListParagraph"/>
        <w:spacing w:line="480" w:lineRule="auto"/>
        <w:ind w:left="0"/>
        <w:rPr>
          <w:rFonts w:cstheme="minorHAnsi"/>
        </w:rPr>
      </w:pPr>
    </w:p>
    <w:p w14:paraId="62EB7E55" w14:textId="3DF7E9FC" w:rsidR="00315E0D" w:rsidRDefault="005C38A6" w:rsidP="00CC0993">
      <w:pPr>
        <w:rPr>
          <w:rFonts w:cstheme="minorHAnsi"/>
          <w:b/>
          <w:bCs/>
        </w:rPr>
      </w:pPr>
      <w:r w:rsidRPr="00B90B93">
        <w:rPr>
          <w:b/>
          <w:bCs/>
        </w:rPr>
        <w:lastRenderedPageBreak/>
        <w:fldChar w:fldCharType="begin"/>
      </w:r>
      <w:r w:rsidR="002E50D7">
        <w:rPr>
          <w:b/>
          <w:bCs/>
        </w:rPr>
        <w:instrText xml:space="preserve"> ADDIN ZOTERO_ITEM CSL_CITATION {"citationID":"HHd2qxHc","properties":{"formattedCitation":"M. Schleicher, \\uc0\\u8216{}Constructions of Sex and Gender: Attending to Androgynes and Tumtumim Through Jewish Scriptural Use\\uc0\\u8217{}, {\\i{}Literature and Theology} 25, no. 4 (1 December 2011): 422\\uc0\\u8211{}35, https://doi.org/10.1093/litthe/frr051.","plainCitation":"M. Schleicher, ‘Constructions of Sex and Gender: Attending to Androgynes and Tumtumim Through Jewish Scriptural Use’, Literature and Theology 25, no. 4 (1 December 2011): 422–35, https://doi.org/10.1093/litthe/frr051.","dontUpdate":true,"noteIndex":0},"citationItems":[{"id":744,"uris":["http://zotero.org/users/7540819/items/V52KU9JE"],"uri":["http://zotero.org/users/7540819/items/V52KU9JE"],"itemData":{"id":744,"type":"article-journal","abstract":"Responding to the ethical and performative call of Judith Butler not to propagate the sex- and gender-related violence of the imbedded discourse that we study, this article inquires into the discursive strategies of Jewish scripture by analysing how it orchestrates certain norms of sex and gender and makes them serve the overall aim of securing cultural survival. Following this, it traces reﬂections on persons of ambiguous or indeterminate sex from rabbinic to modern Judaism so as to inquire into the rabbinic dependency on scripture when non-conforming individuals challenge its bipolar sex and gender system. Finally, the article considers if scripture, as suggested by Butler, can play a subversive role in how we attend to non-conforming others today. To do so, the author’s distinction between hermeneutical and artifactual uses of scripture is presented to evaluate the extent to which modern Jews and non-Jews are able to inﬂuence their own representations of sex and gender and thus liberate themselves from the normativity implied by scriptural discourse.","container-title":"Literature and Theology","DOI":"10.1093/litthe/frr051","ISSN":"0269-1205, 1477-4623","issue":"4","journalAbbreviation":"Literature and Theology","language":"en","page":"422-435","source":"DOI.org (Crossref)","title":"Constructions of Sex and Gender: Attending to Androgynes and Tumtumim Through Jewish Scriptural Use","title-short":"Constructions of Sex and Gender","volume":"25","author":[{"family":"Schleicher","given":"M."}],"issued":{"date-parts":[["2011",12,1]]}}}],"schema":"https://github.com/citation-style-language/schema/raw/master/csl-citation.json"} </w:instrText>
      </w:r>
      <w:r w:rsidRPr="00B90B93">
        <w:rPr>
          <w:b/>
          <w:bCs/>
        </w:rPr>
        <w:fldChar w:fldCharType="separate"/>
      </w:r>
      <w:r w:rsidRPr="00B90B93">
        <w:rPr>
          <w:rFonts w:ascii="Calibri" w:cs="Calibri"/>
          <w:b/>
          <w:bCs/>
        </w:rPr>
        <w:t xml:space="preserve">M. Schleicher, ‘Constructions of Sex and Gender: Attending to Androgynes and Tumtumim Through Jewish Scriptural Use’, </w:t>
      </w:r>
      <w:r w:rsidRPr="00B90B93">
        <w:rPr>
          <w:rFonts w:ascii="Calibri" w:cs="Calibri"/>
          <w:b/>
          <w:bCs/>
          <w:i/>
          <w:iCs/>
        </w:rPr>
        <w:t>Literature and Theology</w:t>
      </w:r>
      <w:r w:rsidRPr="00B90B93">
        <w:rPr>
          <w:rFonts w:ascii="Calibri" w:cs="Calibri"/>
          <w:b/>
          <w:bCs/>
        </w:rPr>
        <w:t xml:space="preserve"> 25, no. 4 (1 December 2011): 422–35.</w:t>
      </w:r>
      <w:r w:rsidRPr="00B90B93">
        <w:rPr>
          <w:b/>
          <w:bCs/>
        </w:rPr>
        <w:fldChar w:fldCharType="end"/>
      </w:r>
    </w:p>
    <w:p w14:paraId="6AD843E2" w14:textId="77777777" w:rsidR="00CC0993" w:rsidRPr="00CC0993" w:rsidRDefault="00CC0993" w:rsidP="00CC0993">
      <w:pPr>
        <w:rPr>
          <w:rFonts w:cstheme="minorHAnsi"/>
          <w:b/>
          <w:bCs/>
        </w:rPr>
      </w:pPr>
    </w:p>
    <w:p w14:paraId="58AFC99A" w14:textId="77010990" w:rsidR="000E19D4" w:rsidRDefault="005C38A6" w:rsidP="00CC0993">
      <w:pPr>
        <w:spacing w:line="480" w:lineRule="auto"/>
        <w:rPr>
          <w:rFonts w:cstheme="minorHAnsi"/>
        </w:rPr>
      </w:pPr>
      <w:r>
        <w:rPr>
          <w:rFonts w:cstheme="minorHAnsi"/>
        </w:rPr>
        <w:t>The aim of this scholarly article is to explore how far modern Jews and non-Jews can “influence their own representations of sex and gender” within scriptural interpretations.</w:t>
      </w:r>
      <w:r>
        <w:rPr>
          <w:rStyle w:val="FootnoteReference"/>
          <w:rFonts w:cstheme="minorHAnsi"/>
        </w:rPr>
        <w:footnoteReference w:id="12"/>
      </w:r>
      <w:r>
        <w:rPr>
          <w:rFonts w:cstheme="minorHAnsi"/>
        </w:rPr>
        <w:t xml:space="preserve"> </w:t>
      </w:r>
      <w:r w:rsidR="00EB5652">
        <w:rPr>
          <w:rFonts w:cstheme="minorHAnsi"/>
        </w:rPr>
        <w:t xml:space="preserve">Marianne </w:t>
      </w:r>
      <w:proofErr w:type="spellStart"/>
      <w:r w:rsidR="00EB5652">
        <w:rPr>
          <w:rFonts w:cstheme="minorHAnsi"/>
        </w:rPr>
        <w:t>Schleicher</w:t>
      </w:r>
      <w:proofErr w:type="spellEnd"/>
      <w:r w:rsidR="00EB5652">
        <w:rPr>
          <w:rFonts w:cstheme="minorHAnsi"/>
        </w:rPr>
        <w:t xml:space="preserve"> summarises t</w:t>
      </w:r>
      <w:r>
        <w:rPr>
          <w:rFonts w:cstheme="minorHAnsi"/>
        </w:rPr>
        <w:t>he fundamental Jewish scriptural discourse</w:t>
      </w:r>
      <w:r w:rsidR="00EB5652">
        <w:rPr>
          <w:rFonts w:cstheme="minorHAnsi"/>
        </w:rPr>
        <w:t>,</w:t>
      </w:r>
      <w:r>
        <w:rPr>
          <w:rFonts w:cstheme="minorHAnsi"/>
        </w:rPr>
        <w:t xml:space="preserve"> </w:t>
      </w:r>
      <w:r w:rsidR="00EB5652">
        <w:rPr>
          <w:rFonts w:cstheme="minorHAnsi"/>
        </w:rPr>
        <w:t>then</w:t>
      </w:r>
      <w:r w:rsidR="00C96945">
        <w:rPr>
          <w:rFonts w:cstheme="minorHAnsi"/>
        </w:rPr>
        <w:t xml:space="preserve"> informatively critiques historic and current rabbinic reflections</w:t>
      </w:r>
      <w:r w:rsidR="00EB5652">
        <w:rPr>
          <w:rFonts w:cstheme="minorHAnsi"/>
        </w:rPr>
        <w:t xml:space="preserve"> on it about “non-conforming”</w:t>
      </w:r>
      <w:r w:rsidR="00EB5652">
        <w:rPr>
          <w:rStyle w:val="FootnoteReference"/>
          <w:rFonts w:cstheme="minorHAnsi"/>
        </w:rPr>
        <w:footnoteReference w:id="13"/>
      </w:r>
      <w:r w:rsidR="00EB5652">
        <w:rPr>
          <w:rFonts w:cstheme="minorHAnsi"/>
        </w:rPr>
        <w:t xml:space="preserve"> (i.e. LGBT+ Jews)</w:t>
      </w:r>
      <w:r w:rsidR="00C96945">
        <w:rPr>
          <w:rFonts w:cstheme="minorHAnsi"/>
        </w:rPr>
        <w:t xml:space="preserve">, indicating significant inconsistencies. She agrees with J. Butler’s view that early rabbinic literature was tolerant towards difference, but warns against </w:t>
      </w:r>
      <w:r w:rsidR="00B90B93">
        <w:rPr>
          <w:rFonts w:cstheme="minorHAnsi"/>
        </w:rPr>
        <w:t>ignoring rabbinic norms of allowing majority opinion to prevail whilst abiding by the literal sense of Torah texts</w:t>
      </w:r>
      <w:r w:rsidR="00C96945">
        <w:rPr>
          <w:rFonts w:cstheme="minorHAnsi"/>
        </w:rPr>
        <w:t xml:space="preserve">. </w:t>
      </w:r>
      <w:proofErr w:type="spellStart"/>
      <w:r w:rsidR="00EB5652">
        <w:rPr>
          <w:rFonts w:cstheme="minorHAnsi"/>
        </w:rPr>
        <w:t>Schleicher</w:t>
      </w:r>
      <w:proofErr w:type="spellEnd"/>
      <w:r w:rsidR="00B90B93">
        <w:rPr>
          <w:rFonts w:cstheme="minorHAnsi"/>
        </w:rPr>
        <w:t xml:space="preserve"> concludes that both Judaism and Christianity must err away from using scriptural interpretation in a subversive way. A thoughtful article from a Jewish perspective, which sheds further light on the diversity of interpretations within </w:t>
      </w:r>
      <w:r w:rsidR="00B81C0A">
        <w:rPr>
          <w:rFonts w:cstheme="minorHAnsi"/>
        </w:rPr>
        <w:t>public theology</w:t>
      </w:r>
      <w:r w:rsidR="00B90B93">
        <w:rPr>
          <w:rFonts w:cstheme="minorHAnsi"/>
        </w:rPr>
        <w:t>.</w:t>
      </w:r>
    </w:p>
    <w:p w14:paraId="7DD8E354" w14:textId="0495FDD6" w:rsidR="00CC0993" w:rsidRDefault="00CC0993" w:rsidP="00CC0993">
      <w:pPr>
        <w:spacing w:line="480" w:lineRule="auto"/>
        <w:rPr>
          <w:rFonts w:cstheme="minorHAnsi"/>
        </w:rPr>
      </w:pPr>
    </w:p>
    <w:p w14:paraId="0937B903" w14:textId="77777777" w:rsidR="00CC0993" w:rsidRPr="00CC0993" w:rsidRDefault="00CC0993" w:rsidP="00CC0993">
      <w:pPr>
        <w:spacing w:line="480" w:lineRule="auto"/>
        <w:rPr>
          <w:rFonts w:cstheme="minorHAnsi"/>
        </w:rPr>
      </w:pPr>
    </w:p>
    <w:p w14:paraId="21646F20" w14:textId="5DEAF014" w:rsidR="00B90B93" w:rsidRPr="000B0BD9" w:rsidRDefault="00B90B93" w:rsidP="00CC0993">
      <w:pPr>
        <w:spacing w:line="480" w:lineRule="auto"/>
        <w:rPr>
          <w:rFonts w:cstheme="minorHAnsi"/>
          <w:b/>
          <w:bCs/>
        </w:rPr>
      </w:pPr>
      <w:r w:rsidRPr="000B0BD9">
        <w:rPr>
          <w:rFonts w:cstheme="minorHAnsi"/>
          <w:b/>
          <w:bCs/>
        </w:rPr>
        <w:t>Conclusion</w:t>
      </w:r>
    </w:p>
    <w:p w14:paraId="7CAFFE91" w14:textId="61BA8EA1" w:rsidR="00D67795" w:rsidRDefault="000E19D4" w:rsidP="00CC0993">
      <w:pPr>
        <w:spacing w:line="480" w:lineRule="auto"/>
        <w:rPr>
          <w:rFonts w:cstheme="minorHAnsi"/>
        </w:rPr>
      </w:pPr>
      <w:r w:rsidRPr="00B90B93">
        <w:rPr>
          <w:rFonts w:cstheme="minorHAnsi"/>
        </w:rPr>
        <w:t xml:space="preserve">What is the future for public theology? Does it make a difference to the world? </w:t>
      </w:r>
      <w:r w:rsidR="006E4D49">
        <w:rPr>
          <w:rFonts w:cstheme="minorHAnsi"/>
        </w:rPr>
        <w:t>R</w:t>
      </w:r>
      <w:r w:rsidR="0001379D">
        <w:rPr>
          <w:rFonts w:cstheme="minorHAnsi"/>
        </w:rPr>
        <w:t xml:space="preserve">esources </w:t>
      </w:r>
      <w:r w:rsidR="006E4D49">
        <w:rPr>
          <w:rFonts w:cstheme="minorHAnsi"/>
        </w:rPr>
        <w:t>explored reveal</w:t>
      </w:r>
      <w:r w:rsidR="0001379D">
        <w:rPr>
          <w:rFonts w:cstheme="minorHAnsi"/>
        </w:rPr>
        <w:t xml:space="preserve"> encouraging </w:t>
      </w:r>
      <w:r w:rsidR="003B191F">
        <w:rPr>
          <w:rFonts w:cstheme="minorHAnsi"/>
        </w:rPr>
        <w:t>whilst also</w:t>
      </w:r>
      <w:r w:rsidR="0001379D">
        <w:rPr>
          <w:rFonts w:cstheme="minorHAnsi"/>
        </w:rPr>
        <w:t xml:space="preserve"> confusing </w:t>
      </w:r>
      <w:r w:rsidR="00D67795">
        <w:rPr>
          <w:rFonts w:cstheme="minorHAnsi"/>
        </w:rPr>
        <w:t>outcomes</w:t>
      </w:r>
      <w:r w:rsidR="0001379D">
        <w:rPr>
          <w:rFonts w:cstheme="minorHAnsi"/>
        </w:rPr>
        <w:t xml:space="preserve">. </w:t>
      </w:r>
      <w:r w:rsidR="006E4D49">
        <w:rPr>
          <w:rFonts w:cstheme="minorHAnsi"/>
        </w:rPr>
        <w:t>Still no conclusive common definition of public theology exists.</w:t>
      </w:r>
      <w:r w:rsidR="009212ED">
        <w:rPr>
          <w:rFonts w:cstheme="minorHAnsi"/>
        </w:rPr>
        <w:t xml:space="preserve"> Is this a case of the Emperor’s new clothes, attempting to justify itself as a discrete theology? </w:t>
      </w:r>
      <w:r w:rsidR="006E4D49">
        <w:rPr>
          <w:rFonts w:cstheme="minorHAnsi"/>
        </w:rPr>
        <w:t xml:space="preserve">Biblically-based support for the needy, marginalised, abused and oppressed </w:t>
      </w:r>
      <w:r w:rsidR="000C5870">
        <w:rPr>
          <w:rFonts w:cstheme="minorHAnsi"/>
        </w:rPr>
        <w:t xml:space="preserve">has been </w:t>
      </w:r>
      <w:r w:rsidR="006E4D49">
        <w:rPr>
          <w:rFonts w:cstheme="minorHAnsi"/>
        </w:rPr>
        <w:t>part of</w:t>
      </w:r>
      <w:r w:rsidR="000C5870">
        <w:rPr>
          <w:rFonts w:cstheme="minorHAnsi"/>
        </w:rPr>
        <w:t xml:space="preserve"> </w:t>
      </w:r>
      <w:r w:rsidR="001B386D">
        <w:rPr>
          <w:rFonts w:cstheme="minorHAnsi"/>
        </w:rPr>
        <w:t>communal living</w:t>
      </w:r>
      <w:r w:rsidR="000C5870">
        <w:rPr>
          <w:rFonts w:cstheme="minorHAnsi"/>
        </w:rPr>
        <w:t xml:space="preserve"> since </w:t>
      </w:r>
      <w:r w:rsidR="001B386D">
        <w:rPr>
          <w:rFonts w:cstheme="minorHAnsi"/>
        </w:rPr>
        <w:t>the Torah and before.</w:t>
      </w:r>
      <w:r w:rsidR="000C5870">
        <w:rPr>
          <w:rFonts w:cstheme="minorHAnsi"/>
        </w:rPr>
        <w:t xml:space="preserve"> </w:t>
      </w:r>
      <w:r w:rsidR="000C5870">
        <w:rPr>
          <w:rFonts w:cstheme="minorHAnsi"/>
        </w:rPr>
        <w:lastRenderedPageBreak/>
        <w:t xml:space="preserve">However, it does appear </w:t>
      </w:r>
      <w:r w:rsidRPr="00B90B93">
        <w:rPr>
          <w:rFonts w:cstheme="minorHAnsi"/>
        </w:rPr>
        <w:t xml:space="preserve">the more secular society becomes, the less importance is attached to the opinions of </w:t>
      </w:r>
      <w:r w:rsidR="001B386D">
        <w:rPr>
          <w:rFonts w:cstheme="minorHAnsi"/>
        </w:rPr>
        <w:t>institutional religion</w:t>
      </w:r>
      <w:r w:rsidRPr="00B90B93">
        <w:rPr>
          <w:rFonts w:cstheme="minorHAnsi"/>
        </w:rPr>
        <w:t>. Different nations, cultures and political structures</w:t>
      </w:r>
      <w:r w:rsidR="000C5870">
        <w:rPr>
          <w:rFonts w:cstheme="minorHAnsi"/>
        </w:rPr>
        <w:t xml:space="preserve"> and contexts</w:t>
      </w:r>
      <w:r w:rsidRPr="00B90B93">
        <w:rPr>
          <w:rFonts w:cstheme="minorHAnsi"/>
        </w:rPr>
        <w:t xml:space="preserve"> </w:t>
      </w:r>
      <w:r w:rsidR="001B386D">
        <w:rPr>
          <w:rFonts w:cstheme="minorHAnsi"/>
        </w:rPr>
        <w:t xml:space="preserve">conclude </w:t>
      </w:r>
      <w:r w:rsidR="000C5870">
        <w:rPr>
          <w:rFonts w:cstheme="minorHAnsi"/>
        </w:rPr>
        <w:t>different faith</w:t>
      </w:r>
      <w:r w:rsidRPr="00B90B93">
        <w:rPr>
          <w:rFonts w:cstheme="minorHAnsi"/>
        </w:rPr>
        <w:t xml:space="preserve"> responses. In Britain, individual Christians and Churches </w:t>
      </w:r>
      <w:r w:rsidR="000C5870">
        <w:rPr>
          <w:rFonts w:cstheme="minorHAnsi"/>
        </w:rPr>
        <w:t>are</w:t>
      </w:r>
      <w:r w:rsidRPr="00B90B93">
        <w:rPr>
          <w:rFonts w:cstheme="minorHAnsi"/>
        </w:rPr>
        <w:t xml:space="preserve"> inspired to </w:t>
      </w:r>
      <w:r w:rsidR="000C5870">
        <w:rPr>
          <w:rFonts w:cstheme="minorHAnsi"/>
        </w:rPr>
        <w:t>respond</w:t>
      </w:r>
      <w:r w:rsidRPr="00B90B93">
        <w:rPr>
          <w:rFonts w:cstheme="minorHAnsi"/>
        </w:rPr>
        <w:t xml:space="preserve"> through their </w:t>
      </w:r>
      <w:r w:rsidR="00F6509D" w:rsidRPr="00B90B93">
        <w:rPr>
          <w:rFonts w:cstheme="minorHAnsi"/>
        </w:rPr>
        <w:t xml:space="preserve">particular </w:t>
      </w:r>
      <w:r w:rsidR="000C5870">
        <w:rPr>
          <w:rFonts w:cstheme="minorHAnsi"/>
        </w:rPr>
        <w:t>interpretation</w:t>
      </w:r>
      <w:r w:rsidRPr="00B90B93">
        <w:rPr>
          <w:rFonts w:cstheme="minorHAnsi"/>
        </w:rPr>
        <w:t xml:space="preserve"> of Scripture. </w:t>
      </w:r>
      <w:r w:rsidR="00D67795">
        <w:rPr>
          <w:rFonts w:cstheme="minorHAnsi"/>
        </w:rPr>
        <w:t xml:space="preserve">The practical implementation of public theology seen in Wells’ work and </w:t>
      </w:r>
      <w:r w:rsidR="001B386D">
        <w:rPr>
          <w:rFonts w:cstheme="minorHAnsi"/>
        </w:rPr>
        <w:t xml:space="preserve">responses </w:t>
      </w:r>
      <w:r w:rsidR="00D67795">
        <w:rPr>
          <w:rFonts w:cstheme="minorHAnsi"/>
        </w:rPr>
        <w:t xml:space="preserve">surrounding gender and female injustice prove that religious groups can and do respond unselfishly and with purpose. </w:t>
      </w:r>
    </w:p>
    <w:p w14:paraId="73679D24" w14:textId="77777777" w:rsidR="00D67795" w:rsidRDefault="00D67795" w:rsidP="00CC0993">
      <w:pPr>
        <w:spacing w:line="480" w:lineRule="auto"/>
        <w:rPr>
          <w:rFonts w:cstheme="minorHAnsi"/>
        </w:rPr>
      </w:pPr>
    </w:p>
    <w:p w14:paraId="2CA4D3A3" w14:textId="08F2D32F" w:rsidR="000E19D4" w:rsidRPr="00B90B93" w:rsidRDefault="00960D0E" w:rsidP="00CC0993">
      <w:pPr>
        <w:spacing w:line="480" w:lineRule="auto"/>
        <w:rPr>
          <w:rFonts w:cstheme="minorHAnsi"/>
        </w:rPr>
      </w:pPr>
      <w:r>
        <w:rPr>
          <w:rFonts w:cstheme="minorHAnsi"/>
        </w:rPr>
        <w:t>This annotated bibliography, attempting to define the parameters of public theology and guidance for its implementation, has proved illuminating, if somewhat inconclusive. Questions remain for further research, refinement and development. But p</w:t>
      </w:r>
      <w:r w:rsidR="001B386D">
        <w:rPr>
          <w:rFonts w:cstheme="minorHAnsi"/>
        </w:rPr>
        <w:t xml:space="preserve">erhaps </w:t>
      </w:r>
      <w:r w:rsidR="00847152" w:rsidRPr="00B90B93">
        <w:rPr>
          <w:rFonts w:cstheme="minorHAnsi"/>
        </w:rPr>
        <w:t xml:space="preserve">public theology </w:t>
      </w:r>
      <w:r w:rsidR="001B386D">
        <w:rPr>
          <w:rFonts w:cstheme="minorHAnsi"/>
        </w:rPr>
        <w:t xml:space="preserve">has </w:t>
      </w:r>
      <w:r w:rsidR="00F6509D" w:rsidRPr="00B90B93">
        <w:rPr>
          <w:rFonts w:cstheme="minorHAnsi"/>
        </w:rPr>
        <w:t>outlived</w:t>
      </w:r>
      <w:r w:rsidR="00847152" w:rsidRPr="00B90B93">
        <w:rPr>
          <w:rFonts w:cstheme="minorHAnsi"/>
        </w:rPr>
        <w:t xml:space="preserve"> its time of </w:t>
      </w:r>
      <w:r w:rsidR="001B386D">
        <w:rPr>
          <w:rFonts w:cstheme="minorHAnsi"/>
        </w:rPr>
        <w:t xml:space="preserve">useful </w:t>
      </w:r>
      <w:r w:rsidR="00847152" w:rsidRPr="00B90B93">
        <w:rPr>
          <w:rFonts w:cstheme="minorHAnsi"/>
        </w:rPr>
        <w:t xml:space="preserve">influence </w:t>
      </w:r>
      <w:r w:rsidR="000C5870">
        <w:rPr>
          <w:rFonts w:cstheme="minorHAnsi"/>
        </w:rPr>
        <w:t xml:space="preserve">in the public square </w:t>
      </w:r>
      <w:r w:rsidR="00847152" w:rsidRPr="00B90B93">
        <w:rPr>
          <w:rFonts w:cstheme="minorHAnsi"/>
        </w:rPr>
        <w:t>and</w:t>
      </w:r>
      <w:r w:rsidR="001B386D">
        <w:rPr>
          <w:rFonts w:cstheme="minorHAnsi"/>
        </w:rPr>
        <w:t xml:space="preserve"> </w:t>
      </w:r>
      <w:r w:rsidR="00847152" w:rsidRPr="00B90B93">
        <w:rPr>
          <w:rFonts w:cstheme="minorHAnsi"/>
        </w:rPr>
        <w:t xml:space="preserve">should </w:t>
      </w:r>
      <w:r w:rsidR="001B386D">
        <w:rPr>
          <w:rFonts w:cstheme="minorHAnsi"/>
        </w:rPr>
        <w:t>return</w:t>
      </w:r>
      <w:r w:rsidR="00847152" w:rsidRPr="00B90B93">
        <w:rPr>
          <w:rFonts w:cstheme="minorHAnsi"/>
        </w:rPr>
        <w:t xml:space="preserve"> into the world of academia</w:t>
      </w:r>
      <w:r w:rsidR="001B386D">
        <w:rPr>
          <w:rFonts w:cstheme="minorHAnsi"/>
        </w:rPr>
        <w:t>.</w:t>
      </w:r>
      <w:r>
        <w:rPr>
          <w:rFonts w:cstheme="minorHAnsi"/>
        </w:rPr>
        <w:t xml:space="preserve"> Time will tell.</w:t>
      </w:r>
    </w:p>
    <w:p w14:paraId="4EC3C36B" w14:textId="21EE10E0" w:rsidR="00D27912" w:rsidRDefault="00D27912" w:rsidP="00875EB2">
      <w:pPr>
        <w:rPr>
          <w:rFonts w:cstheme="minorHAnsi"/>
          <w:b/>
          <w:bCs/>
        </w:rPr>
      </w:pPr>
    </w:p>
    <w:p w14:paraId="072E7E5B" w14:textId="6E657AF1" w:rsidR="00E81817" w:rsidRPr="002E50D7" w:rsidRDefault="002E50D7" w:rsidP="00875EB2">
      <w:pPr>
        <w:rPr>
          <w:rFonts w:cstheme="minorHAnsi"/>
          <w:b/>
          <w:bCs/>
        </w:rPr>
      </w:pPr>
      <w:r>
        <w:rPr>
          <w:rFonts w:cstheme="minorHAnsi"/>
          <w:b/>
          <w:bCs/>
        </w:rPr>
        <w:t>Other References</w:t>
      </w:r>
    </w:p>
    <w:p w14:paraId="11B792E2" w14:textId="77777777" w:rsidR="002E50D7" w:rsidRPr="002E50D7" w:rsidRDefault="002E50D7" w:rsidP="002E50D7">
      <w:pPr>
        <w:pStyle w:val="Bibliography"/>
        <w:rPr>
          <w:rFonts w:ascii="Calibri" w:cs="Calibri"/>
        </w:rPr>
      </w:pPr>
      <w:r>
        <w:rPr>
          <w:rFonts w:cstheme="minorHAnsi"/>
          <w:b/>
          <w:bCs/>
        </w:rPr>
        <w:fldChar w:fldCharType="begin"/>
      </w:r>
      <w:r>
        <w:rPr>
          <w:rFonts w:cstheme="minorHAnsi"/>
          <w:b/>
          <w:bCs/>
        </w:rPr>
        <w:instrText xml:space="preserve"> ADDIN ZOTERO_BIBL {"uncited":[],"omitted":[],"custom":[]} CSL_BIBLIOGRAPHY </w:instrText>
      </w:r>
      <w:r>
        <w:rPr>
          <w:rFonts w:cstheme="minorHAnsi"/>
          <w:b/>
          <w:bCs/>
        </w:rPr>
        <w:fldChar w:fldCharType="separate"/>
      </w:r>
      <w:r w:rsidRPr="002E50D7">
        <w:rPr>
          <w:rFonts w:ascii="Calibri" w:cs="Calibri"/>
        </w:rPr>
        <w:t>Evangelical Alliance. ‘Biblical and Pastoral Responses to Homosexuality’. Accessed 4 November 2021. https://www.eauk.org/resources/what-we-offer/reports/biblical-and-pastoral-responses-to-homosexuality.</w:t>
      </w:r>
    </w:p>
    <w:p w14:paraId="6ABEF75E" w14:textId="77777777" w:rsidR="002E50D7" w:rsidRPr="002E50D7" w:rsidRDefault="002E50D7" w:rsidP="002E50D7">
      <w:pPr>
        <w:pStyle w:val="Bibliography"/>
        <w:rPr>
          <w:rFonts w:ascii="Calibri" w:cs="Calibri"/>
        </w:rPr>
      </w:pPr>
      <w:r w:rsidRPr="002E50D7">
        <w:rPr>
          <w:rFonts w:ascii="Calibri" w:cs="Calibri"/>
        </w:rPr>
        <w:t>‘Human_sexuality_report_2021.Pdf’. Accessed 4 November 2021. https://www.crcna.org/sites/default/files/human_sexuality_report_2021.pdf.</w:t>
      </w:r>
    </w:p>
    <w:p w14:paraId="6D35B888" w14:textId="40F52574" w:rsidR="00507740" w:rsidRDefault="00507740" w:rsidP="002E50D7">
      <w:pPr>
        <w:pStyle w:val="Bibliography"/>
        <w:rPr>
          <w:rFonts w:ascii="Calibri" w:cs="Calibri"/>
        </w:rPr>
      </w:pPr>
      <w:r w:rsidRPr="00CA34D5">
        <w:rPr>
          <w:rFonts w:ascii="Calibri" w:cs="Calibri"/>
        </w:rPr>
        <w:t>Anne Richards and The Mission Theology Advisory Group, ‘Food Banks - a Theological Reflection’, Liberation and Entrapment Project</w:t>
      </w:r>
      <w:r>
        <w:rPr>
          <w:rFonts w:ascii="Calibri" w:cs="Calibri"/>
        </w:rPr>
        <w:t>, 1-</w:t>
      </w:r>
      <w:r w:rsidRPr="00CA34D5">
        <w:rPr>
          <w:rFonts w:ascii="Calibri" w:cs="Calibri"/>
        </w:rPr>
        <w:t>41 (Church of England, 29 November 2017)</w:t>
      </w:r>
      <w:r>
        <w:rPr>
          <w:rFonts w:ascii="Calibri" w:cs="Calibri"/>
        </w:rPr>
        <w:t>.</w:t>
      </w:r>
    </w:p>
    <w:p w14:paraId="1B991FB3" w14:textId="5F9834FD" w:rsidR="002E50D7" w:rsidRPr="002E50D7" w:rsidRDefault="002E50D7" w:rsidP="002E50D7">
      <w:pPr>
        <w:pStyle w:val="Bibliography"/>
        <w:rPr>
          <w:rFonts w:ascii="Calibri" w:cs="Calibri"/>
        </w:rPr>
      </w:pPr>
      <w:r w:rsidRPr="002E50D7">
        <w:rPr>
          <w:rFonts w:ascii="Calibri" w:cs="Calibri"/>
        </w:rPr>
        <w:t xml:space="preserve">Rosky, Clifford J. ‘No Promo Hetero: Children’s Right to Be Queer’. </w:t>
      </w:r>
      <w:r w:rsidRPr="002E50D7">
        <w:rPr>
          <w:rFonts w:ascii="Calibri" w:cs="Calibri"/>
          <w:i/>
          <w:iCs/>
        </w:rPr>
        <w:t>SSRN Electronic Journal</w:t>
      </w:r>
      <w:r w:rsidRPr="002E50D7">
        <w:rPr>
          <w:rFonts w:ascii="Calibri" w:cs="Calibri"/>
        </w:rPr>
        <w:t>, 2013. https://doi.org/10.2139/ssrn.2221404.</w:t>
      </w:r>
    </w:p>
    <w:p w14:paraId="58621E0D" w14:textId="77777777" w:rsidR="002E50D7" w:rsidRPr="002E50D7" w:rsidRDefault="002E50D7" w:rsidP="002E50D7">
      <w:pPr>
        <w:pStyle w:val="Bibliography"/>
        <w:rPr>
          <w:rFonts w:ascii="Calibri" w:cs="Calibri"/>
        </w:rPr>
      </w:pPr>
      <w:r w:rsidRPr="002E50D7">
        <w:rPr>
          <w:rFonts w:ascii="Calibri" w:cs="Calibri"/>
        </w:rPr>
        <w:t>‘Theology and Foodbanks’. Accessed 5 November 2021. https://ctbi.org.uk/weekly_focus/theology-and-foodbanks/.</w:t>
      </w:r>
    </w:p>
    <w:p w14:paraId="5D3E8892" w14:textId="39C15965" w:rsidR="00E81817" w:rsidRPr="00F34AFE" w:rsidRDefault="002E50D7" w:rsidP="00875EB2">
      <w:pPr>
        <w:rPr>
          <w:rFonts w:cstheme="minorHAnsi"/>
          <w:b/>
          <w:bCs/>
        </w:rPr>
      </w:pPr>
      <w:r>
        <w:rPr>
          <w:rFonts w:cstheme="minorHAnsi"/>
          <w:b/>
          <w:bCs/>
        </w:rPr>
        <w:fldChar w:fldCharType="end"/>
      </w:r>
    </w:p>
    <w:sectPr w:rsidR="00E81817" w:rsidRPr="00F34AFE" w:rsidSect="005729F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9902" w14:textId="77777777" w:rsidR="006C3899" w:rsidRDefault="006C3899" w:rsidP="00363660">
      <w:r>
        <w:separator/>
      </w:r>
    </w:p>
  </w:endnote>
  <w:endnote w:type="continuationSeparator" w:id="0">
    <w:p w14:paraId="51AA6F23" w14:textId="77777777" w:rsidR="006C3899" w:rsidRDefault="006C3899" w:rsidP="00363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1B2EA" w14:textId="77777777" w:rsidR="006C3899" w:rsidRDefault="006C3899" w:rsidP="00363660">
      <w:r>
        <w:separator/>
      </w:r>
    </w:p>
  </w:footnote>
  <w:footnote w:type="continuationSeparator" w:id="0">
    <w:p w14:paraId="36144414" w14:textId="77777777" w:rsidR="006C3899" w:rsidRDefault="006C3899" w:rsidP="00363660">
      <w:r>
        <w:continuationSeparator/>
      </w:r>
    </w:p>
  </w:footnote>
  <w:footnote w:id="1">
    <w:p w14:paraId="6331B579" w14:textId="23F631A6" w:rsidR="00A40733" w:rsidRDefault="00A40733">
      <w:pPr>
        <w:pStyle w:val="FootnoteText"/>
      </w:pPr>
      <w:r w:rsidRPr="006A0493">
        <w:rPr>
          <w:rStyle w:val="FootnoteReference"/>
        </w:rPr>
        <w:footnoteRef/>
      </w:r>
      <w:r>
        <w:t xml:space="preserve"> </w:t>
      </w:r>
      <w:r>
        <w:fldChar w:fldCharType="begin"/>
      </w:r>
      <w:r w:rsidR="002E50D7">
        <w:instrText xml:space="preserve"> ADDIN ZOTERO_ITEM CSL_CITATION {"citationID":"Pm7HQ6Ij","properties":{"formattedCitation":"E. Harold Breitenberg, \\uc0\\u8216{}To Tell the Truth: Will the Real Public Theology Please Stand Up?\\uc0\\u8217{}, {\\i{}Journal of the Society of Christian Ethics} 23, no. 2 (2003): 55\\uc0\\u8211{}96.","plainCitation":"E. Harold Breitenberg, ‘To Tell the Truth: Will the Real Public Theology Please Stand Up?’, Journal of the Society of Christian Ethics 23, no. 2 (2003): 55–96.","dontUpdate":true,"noteIndex":1},"citationItems":[{"id":643,"uris":["http://zotero.org/users/7540819/items/4PWST34A"],"uri":["http://zotero.org/users/7540819/items/4PWST34A"],"itemData":{"id":643,"type":"article-journal","abstract":"[Public theology has been praised for being in keeping with the best of the Christian theological tradition and denounced as a distortion of the church's true calling. However, it is not clear that public theology's advocates and critics always refer to the same thing. In this paper I seek to clarify and refine the conversation by comparing and contrasting descriptions of public theology with other related terms, describing three main types of public theology literature and two main areas of concern they address, proposing a definition of public theology based on a consensus within the field, outlining four basic critiques, and suggesting some implications for the continuing discussion of public theology.]","archive":"JSTOR","container-title":"Journal of the Society of Christian Ethics","ISSN":"15407942, 23262176","issue":"2","note":"publisher: [Georgetown University Press, Society of Christian Ethics]","page":"55-96","title":"To Tell the Truth: Will the Real Public Theology Please Stand Up?","volume":"23","author":[{"family":"Breitenberg","given":"E. Harold"}],"issued":{"date-parts":[["2003"]]}}}],"schema":"https://github.com/citation-style-language/schema/raw/master/csl-citation.json"} </w:instrText>
      </w:r>
      <w:r>
        <w:fldChar w:fldCharType="separate"/>
      </w:r>
      <w:r w:rsidRPr="00A40733">
        <w:rPr>
          <w:rFonts w:ascii="Calibri" w:cs="Calibri"/>
        </w:rPr>
        <w:t xml:space="preserve">E. Harold Breitenberg, ‘To Tell the Truth: Will the Real Public Theology Please Stand Up?’, </w:t>
      </w:r>
      <w:r w:rsidRPr="00A40733">
        <w:rPr>
          <w:rFonts w:ascii="Calibri" w:cs="Calibri"/>
          <w:i/>
          <w:iCs/>
        </w:rPr>
        <w:t>Journal of the Society of Christian Ethics</w:t>
      </w:r>
      <w:r w:rsidRPr="00A40733">
        <w:rPr>
          <w:rFonts w:ascii="Calibri" w:cs="Calibri"/>
        </w:rPr>
        <w:t xml:space="preserve"> 23, no. 2 (2003): 55.</w:t>
      </w:r>
      <w:r>
        <w:fldChar w:fldCharType="end"/>
      </w:r>
    </w:p>
  </w:footnote>
  <w:footnote w:id="2">
    <w:p w14:paraId="3FBAC171" w14:textId="533A4579" w:rsidR="005854F0" w:rsidRDefault="005854F0">
      <w:pPr>
        <w:pStyle w:val="FootnoteText"/>
      </w:pPr>
      <w:r w:rsidRPr="006A0493">
        <w:rPr>
          <w:rStyle w:val="FootnoteReference"/>
        </w:rPr>
        <w:footnoteRef/>
      </w:r>
      <w:r>
        <w:t xml:space="preserve"> </w:t>
      </w:r>
      <w:r>
        <w:fldChar w:fldCharType="begin"/>
      </w:r>
      <w:r w:rsidR="002E50D7">
        <w:instrText xml:space="preserve"> ADDIN ZOTERO_ITEM CSL_CITATION {"citationID":"ENUi3QRZ","properties":{"formattedCitation":"Max L Stackhouse, \\uc0\\u8216{}Civil Religion, Political Theology and Public Theology: What\\uc0\\u8217{}s the Difference?\\uc0\\u8217{}, {\\i{}Political Theology} 5, no. 3 (July 2004): 275\\uc0\\u8211{}93.","plainCitation":"Max L Stackhouse, ‘Civil Religion, Political Theology and Public Theology: What’s the Difference?’, Political Theology 5, no. 3 (July 2004): 275–93.","dontUpdate":true,"noteIndex":2},"citationItems":[{"id":688,"uris":["http://zotero.org/users/7540819/items/A4GZXEDC"],"uri":["http://zotero.org/users/7540819/items/A4GZXEDC"],"itemData":{"id":688,"type":"article-journal","archive":"Atla Religion Database with AtlaSerials","container-title":"Political Theology","ISSN":"1462-317X","issue":"3","journalAbbreviation":"Political Theology","page":"275-293","source":"EBSCOhost","title":"Civil religion, political theology and public theology: what's the difference?","volume":"5","author":[{"family":"Stackhouse","given":"Max L"}],"issued":{"date-parts":[["2004",7]]}}}],"schema":"https://github.com/citation-style-language/schema/raw/master/csl-citation.json"} </w:instrText>
      </w:r>
      <w:r>
        <w:fldChar w:fldCharType="separate"/>
      </w:r>
      <w:r w:rsidRPr="005854F0">
        <w:rPr>
          <w:rFonts w:ascii="Calibri" w:cs="Calibri"/>
        </w:rPr>
        <w:t xml:space="preserve">Max L Stackhouse, ‘Civil Religion, Political Theology and Public Theology: What’s the Difference?’, </w:t>
      </w:r>
      <w:r w:rsidRPr="005854F0">
        <w:rPr>
          <w:rFonts w:ascii="Calibri" w:cs="Calibri"/>
          <w:i/>
          <w:iCs/>
        </w:rPr>
        <w:t>Political Theology</w:t>
      </w:r>
      <w:r w:rsidRPr="005854F0">
        <w:rPr>
          <w:rFonts w:ascii="Calibri" w:cs="Calibri"/>
        </w:rPr>
        <w:t xml:space="preserve"> 5, no. 3 (July 2004): 2</w:t>
      </w:r>
      <w:r>
        <w:rPr>
          <w:rFonts w:ascii="Calibri" w:cs="Calibri"/>
        </w:rPr>
        <w:t>88</w:t>
      </w:r>
      <w:r w:rsidRPr="005854F0">
        <w:rPr>
          <w:rFonts w:ascii="Calibri" w:cs="Calibri"/>
        </w:rPr>
        <w:t>.</w:t>
      </w:r>
      <w:r>
        <w:fldChar w:fldCharType="end"/>
      </w:r>
    </w:p>
  </w:footnote>
  <w:footnote w:id="3">
    <w:p w14:paraId="734CAAD0" w14:textId="72A571EF" w:rsidR="00B71E86" w:rsidRDefault="00B71E86">
      <w:pPr>
        <w:pStyle w:val="FootnoteText"/>
      </w:pPr>
      <w:r w:rsidRPr="006A0493">
        <w:rPr>
          <w:rStyle w:val="FootnoteReference"/>
        </w:rPr>
        <w:footnoteRef/>
      </w:r>
      <w:r>
        <w:t xml:space="preserve"> </w:t>
      </w:r>
      <w:r>
        <w:fldChar w:fldCharType="begin"/>
      </w:r>
      <w:r w:rsidR="002E50D7">
        <w:instrText xml:space="preserve"> ADDIN ZOTERO_ITEM CSL_CITATION {"citationID":"eoDvaVMZ","properties":{"formattedCitation":"Stackhouse.","plainCitation":"Stackhouse.","dontUpdate":true,"noteIndex":3},"citationItems":[{"id":688,"uris":["http://zotero.org/users/7540819/items/A4GZXEDC"],"uri":["http://zotero.org/users/7540819/items/A4GZXEDC"],"itemData":{"id":688,"type":"article-journal","archive":"Atla Religion Database with AtlaSerials","container-title":"Political Theology","ISSN":"1462-317X","issue":"3","journalAbbreviation":"Political Theology","page":"275-293","source":"EBSCOhost","title":"Civil religion, political theology and public theology: what's the difference?","volume":"5","author":[{"family":"Stackhouse","given":"Max L"}],"issued":{"date-parts":[["2004",7]]}}}],"schema":"https://github.com/citation-style-language/schema/raw/master/csl-citation.json"} </w:instrText>
      </w:r>
      <w:r>
        <w:fldChar w:fldCharType="separate"/>
      </w:r>
      <w:r>
        <w:rPr>
          <w:noProof/>
        </w:rPr>
        <w:t>Stackhouse,</w:t>
      </w:r>
      <w:r w:rsidRPr="00B71E86">
        <w:rPr>
          <w:rFonts w:ascii="Calibri" w:cs="Calibri"/>
        </w:rPr>
        <w:t xml:space="preserve"> </w:t>
      </w:r>
      <w:r w:rsidRPr="005854F0">
        <w:rPr>
          <w:rFonts w:ascii="Calibri" w:cs="Calibri"/>
        </w:rPr>
        <w:t>‘Civil Religion, Political Theology and Public Theology</w:t>
      </w:r>
      <w:r>
        <w:rPr>
          <w:rFonts w:ascii="Calibri" w:cs="Calibri"/>
        </w:rPr>
        <w:t>', 291</w:t>
      </w:r>
      <w:r>
        <w:rPr>
          <w:noProof/>
        </w:rPr>
        <w:t>.</w:t>
      </w:r>
      <w:r>
        <w:fldChar w:fldCharType="end"/>
      </w:r>
    </w:p>
  </w:footnote>
  <w:footnote w:id="4">
    <w:p w14:paraId="49CF6E1C" w14:textId="6BD8CA56" w:rsidR="00EB7A8C" w:rsidRDefault="00EB7A8C" w:rsidP="00EB7A8C">
      <w:pPr>
        <w:pStyle w:val="FootnoteText"/>
      </w:pPr>
      <w:r w:rsidRPr="006A0493">
        <w:rPr>
          <w:rStyle w:val="FootnoteReference"/>
        </w:rPr>
        <w:footnoteRef/>
      </w:r>
      <w:r>
        <w:t xml:space="preserve"> </w:t>
      </w:r>
      <w:r>
        <w:fldChar w:fldCharType="begin"/>
      </w:r>
      <w:r w:rsidR="002E50D7">
        <w:instrText xml:space="preserve"> ADDIN ZOTERO_ITEM CSL_CITATION {"citationID":"ffObyvI8","properties":{"formattedCitation":"Andries Van Aarde, \\uc0\\u8216{}What Is \\uc0\\u8220{}Theology\\uc0\\u8221{} in \\uc0\\u8220{}Public Theology\\uc0\\u8221{} and What Is \\uc0\\u8220{}Public\\uc0\\u8221{} about \\uc0\\u8220{}Public Theology\\uc0\\u8221{}?\\uc0\\u8217{}, {\\i{}HTS Teologiese Studies / Theological Studies} 64, no. 3 (23 January 2008): 1213\\uc0\\u8211{}34, https://doi.org/10.4102/hts.v64i3.81.","plainCitation":"Andries Van Aarde, ‘What Is “Theology” in “Public Theology” and What Is “Public” about “Public Theology”?’, HTS Teologiese Studies / Theological Studies 64, no. 3 (23 January 2008): 1213–34, https://doi.org/10.4102/hts.v64i3.81.","dontUpdate":true,"noteIndex":4},"citationItems":[{"id":685,"uris":["http://zotero.org/users/7540819/items/GPTEG8SQ"],"uri":["http://zotero.org/users/7540819/items/GPTEG8SQ"],"itemData":{"id":685,"type":"article-journal","abstract":"This article sets out to argue that institutional Christianity does not have the exclusive rights to “doing theology”. Since Plato theology has assumed systematization of ideas on the transcendent divine. The practice of theology is to be found in both the professional academy and in the public square. Spirituality is not to be reserved for people longing for God within the context of today’s mass consumerist populist culture. Spirituality and religion overlap and, therefore, today’s postmodern spirituality need not result in the end of religion. However, institutional religion is indeed dying and ”public theology” is not about theologians or pastors “doing theology” in the public square. Public theologicans are the film directors, artists, novelists, poets, and philosophers. The article argues that “public theology” could facilitate a dialogue between the theological discourse of academics and the public theological discourse. The article shows that “public theology” does to an extent overlap with ecclesial and contextual theology. In its core “public theology” is seen as the inarticulate longing of believers who do not want to belong.","container-title":"HTS Teologiese Studies / Theological Studies","DOI":"10.4102/hts.v64i3.81","ISSN":"2072-8050, 0259-9422","issue":"3","journalAbbreviation":"HTS Teologiese Studies / Theological Studies","language":"en","page":"1213-1234","source":"DOI.org (Crossref)","title":"What is \"theology\" in \"public theology\" and what is \"public\" about \"public theology\"?","volume":"64","author":[{"family":"Van Aarde","given":"Andries"}],"issued":{"date-parts":[["2008",1,23]]}}}],"schema":"https://github.com/citation-style-language/schema/raw/master/csl-citation.json"} </w:instrText>
      </w:r>
      <w:r>
        <w:fldChar w:fldCharType="separate"/>
      </w:r>
      <w:r w:rsidRPr="008D64F5">
        <w:rPr>
          <w:rFonts w:ascii="Calibri" w:cs="Calibri"/>
        </w:rPr>
        <w:t xml:space="preserve">Andries Van Aarde, ‘What Is “Theology” in “Public Theology” and What Is “Public” about “Public Theology”?’, </w:t>
      </w:r>
      <w:r w:rsidRPr="008D64F5">
        <w:rPr>
          <w:rFonts w:ascii="Calibri" w:cs="Calibri"/>
          <w:i/>
          <w:iCs/>
        </w:rPr>
        <w:t>HTS Teologiese Studies / Theological Studies</w:t>
      </w:r>
      <w:r w:rsidRPr="008D64F5">
        <w:rPr>
          <w:rFonts w:ascii="Calibri" w:cs="Calibri"/>
        </w:rPr>
        <w:t xml:space="preserve"> 64, no. 3 (23 January 2008): 121</w:t>
      </w:r>
      <w:r>
        <w:rPr>
          <w:rFonts w:ascii="Calibri" w:cs="Calibri"/>
        </w:rPr>
        <w:t>6</w:t>
      </w:r>
      <w:r w:rsidRPr="008D64F5">
        <w:rPr>
          <w:rFonts w:ascii="Calibri" w:cs="Calibri"/>
        </w:rPr>
        <w:t>, https://doi.org/10.4102/hts.v64i3.81.</w:t>
      </w:r>
      <w:r>
        <w:fldChar w:fldCharType="end"/>
      </w:r>
    </w:p>
  </w:footnote>
  <w:footnote w:id="5">
    <w:p w14:paraId="1F670ED8" w14:textId="3489627B" w:rsidR="00EB7A8C" w:rsidRDefault="00EB7A8C" w:rsidP="00EB7A8C">
      <w:pPr>
        <w:pStyle w:val="FootnoteText"/>
      </w:pPr>
      <w:r w:rsidRPr="006A0493">
        <w:rPr>
          <w:rStyle w:val="FootnoteReference"/>
        </w:rPr>
        <w:footnoteRef/>
      </w:r>
      <w:r>
        <w:t xml:space="preserve"> </w:t>
      </w:r>
      <w:r>
        <w:fldChar w:fldCharType="begin"/>
      </w:r>
      <w:r w:rsidR="002E50D7">
        <w:instrText xml:space="preserve"> ADDIN ZOTERO_ITEM CSL_CITATION {"citationID":"3v38emtF","properties":{"formattedCitation":"Van Aarde.","plainCitation":"Van Aarde.","dontUpdate":true,"noteIndex":5},"citationItems":[{"id":685,"uris":["http://zotero.org/users/7540819/items/GPTEG8SQ"],"uri":["http://zotero.org/users/7540819/items/GPTEG8SQ"],"itemData":{"id":685,"type":"article-journal","abstract":"This article sets out to argue that institutional Christianity does not have the exclusive rights to “doing theology”. Since Plato theology has assumed systematization of ideas on the transcendent divine. The practice of theology is to be found in both the professional academy and in the public square. Spirituality is not to be reserved for people longing for God within the context of today’s mass consumerist populist culture. Spirituality and religion overlap and, therefore, today’s postmodern spirituality need not result in the end of religion. However, institutional religion is indeed dying and ”public theology” is not about theologians or pastors “doing theology” in the public square. Public theologicans are the film directors, artists, novelists, poets, and philosophers. The article argues that “public theology” could facilitate a dialogue between the theological discourse of academics and the public theological discourse. The article shows that “public theology” does to an extent overlap with ecclesial and contextual theology. In its core “public theology” is seen as the inarticulate longing of believers who do not want to belong.","container-title":"HTS Teologiese Studies / Theological Studies","DOI":"10.4102/hts.v64i3.81","ISSN":"2072-8050, 0259-9422","issue":"3","journalAbbreviation":"HTS Teologiese Studies / Theological Studies","language":"en","page":"1213-1234","source":"DOI.org (Crossref)","title":"What is \"theology\" in \"public theology\" and what is \"public\" about \"public theology\"?","volume":"64","author":[{"family":"Van Aarde","given":"Andries"}],"issued":{"date-parts":[["2008",1,23]]}}}],"schema":"https://github.com/citation-style-language/schema/raw/master/csl-citation.json"} </w:instrText>
      </w:r>
      <w:r>
        <w:fldChar w:fldCharType="separate"/>
      </w:r>
      <w:r>
        <w:rPr>
          <w:noProof/>
        </w:rPr>
        <w:t xml:space="preserve">Van Aarde, </w:t>
      </w:r>
      <w:r w:rsidRPr="008D64F5">
        <w:rPr>
          <w:rFonts w:ascii="Calibri" w:cs="Calibri"/>
        </w:rPr>
        <w:t>‘What Is “Theology” in “Public Theology” and What Is “Public” about “Public Theology”?’</w:t>
      </w:r>
      <w:r>
        <w:rPr>
          <w:rFonts w:ascii="Calibri" w:cs="Calibri"/>
        </w:rPr>
        <w:t>, 1214</w:t>
      </w:r>
      <w:r>
        <w:rPr>
          <w:noProof/>
        </w:rPr>
        <w:t>.</w:t>
      </w:r>
      <w:r>
        <w:fldChar w:fldCharType="end"/>
      </w:r>
    </w:p>
  </w:footnote>
  <w:footnote w:id="6">
    <w:p w14:paraId="13C5D80F" w14:textId="1D319B21" w:rsidR="00FF3B90" w:rsidRDefault="00FF3B90">
      <w:pPr>
        <w:pStyle w:val="FootnoteText"/>
      </w:pPr>
      <w:r w:rsidRPr="006A0493">
        <w:rPr>
          <w:rStyle w:val="FootnoteReference"/>
        </w:rPr>
        <w:footnoteRef/>
      </w:r>
      <w:r>
        <w:t xml:space="preserve"> </w:t>
      </w:r>
      <w:r>
        <w:fldChar w:fldCharType="begin"/>
      </w:r>
      <w:r w:rsidR="002E50D7">
        <w:instrText xml:space="preserve"> ADDIN ZOTERO_ITEM CSL_CITATION {"citationID":"3dhr7CoQ","properties":{"formattedCitation":"Van Aarde.","plainCitation":"Van Aarde.","dontUpdate":true,"noteIndex":6},"citationItems":[{"id":685,"uris":["http://zotero.org/users/7540819/items/GPTEG8SQ"],"uri":["http://zotero.org/users/7540819/items/GPTEG8SQ"],"itemData":{"id":685,"type":"article-journal","abstract":"This article sets out to argue that institutional Christianity does not have the exclusive rights to “doing theology”. Since Plato theology has assumed systematization of ideas on the transcendent divine. The practice of theology is to be found in both the professional academy and in the public square. Spirituality is not to be reserved for people longing for God within the context of today’s mass consumerist populist culture. Spirituality and religion overlap and, therefore, today’s postmodern spirituality need not result in the end of religion. However, institutional religion is indeed dying and ”public theology” is not about theologians or pastors “doing theology” in the public square. Public theologicans are the film directors, artists, novelists, poets, and philosophers. The article argues that “public theology” could facilitate a dialogue between the theological discourse of academics and the public theological discourse. The article shows that “public theology” does to an extent overlap with ecclesial and contextual theology. In its core “public theology” is seen as the inarticulate longing of believers who do not want to belong.","container-title":"HTS Teologiese Studies / Theological Studies","DOI":"10.4102/hts.v64i3.81","ISSN":"2072-8050, 0259-9422","issue":"3","journalAbbreviation":"HTS Teologiese Studies / Theological Studies","language":"en","page":"1213-1234","source":"DOI.org (Crossref)","title":"What is \"theology\" in \"public theology\" and what is \"public\" about \"public theology\"?","volume":"64","author":[{"family":"Van Aarde","given":"Andries"}],"issued":{"date-parts":[["2008",1,23]]}}}],"schema":"https://github.com/citation-style-language/schema/raw/master/csl-citation.json"} </w:instrText>
      </w:r>
      <w:r>
        <w:fldChar w:fldCharType="separate"/>
      </w:r>
      <w:r>
        <w:rPr>
          <w:noProof/>
        </w:rPr>
        <w:t xml:space="preserve">Van Aarde, </w:t>
      </w:r>
      <w:r w:rsidRPr="008D64F5">
        <w:rPr>
          <w:rFonts w:ascii="Calibri" w:cs="Calibri"/>
        </w:rPr>
        <w:t>‘What Is “Theology” in “Public Theology” and What Is “Public” about “Public Theology”?’</w:t>
      </w:r>
      <w:r>
        <w:rPr>
          <w:rFonts w:ascii="Calibri" w:cs="Calibri"/>
        </w:rPr>
        <w:t>,1229</w:t>
      </w:r>
      <w:r>
        <w:rPr>
          <w:noProof/>
        </w:rPr>
        <w:t>.</w:t>
      </w:r>
      <w:r>
        <w:fldChar w:fldCharType="end"/>
      </w:r>
    </w:p>
  </w:footnote>
  <w:footnote w:id="7">
    <w:p w14:paraId="5CDBD1C9" w14:textId="31954923" w:rsidR="00CA6B2E" w:rsidRDefault="00CA6B2E">
      <w:pPr>
        <w:pStyle w:val="FootnoteText"/>
      </w:pPr>
      <w:r w:rsidRPr="006A0493">
        <w:rPr>
          <w:rStyle w:val="FootnoteReference"/>
        </w:rPr>
        <w:footnoteRef/>
      </w:r>
      <w:r>
        <w:t xml:space="preserve"> </w:t>
      </w:r>
      <w:r>
        <w:fldChar w:fldCharType="begin"/>
      </w:r>
      <w:r w:rsidR="002E50D7">
        <w:instrText xml:space="preserve"> ADDIN ZOTERO_ITEM CSL_CITATION {"citationID":"DahLTR0s","properties":{"formattedCitation":"Elaine L. Graham, {\\i{}Between a Rock and a Hard Place: Public Theology in a Post-Secular Age} (London: SCM Press, 2013).","plainCitation":"Elaine L. Graham, Between a Rock and a Hard Place: Public Theology in a Post-Secular Age (London: SCM Press, 2013).","dontUpdate":true,"noteIndex":7},"citationItems":[{"id":725,"uris":["http://zotero.org/users/7540819/items/7TP4YZUI"],"uri":["http://zotero.org/users/7540819/items/7TP4YZUI"],"itemData":{"id":725,"type":"book","event-place":"London","ISBN":"978-0-334-04598-4","language":"eng","number-of-pages":"266","publisher":"SCM Press","publisher-place":"London","source":"K10plus ISBN","title":"Between a rock and a hard place: public theology in a post-secular age","title-short":"Between a rock and a hard place","author":[{"family":"Graham","given":"Elaine L."}],"issued":{"date-parts":[["2013"]]}}}],"schema":"https://github.com/citation-style-language/schema/raw/master/csl-citation.json"} </w:instrText>
      </w:r>
      <w:r>
        <w:fldChar w:fldCharType="separate"/>
      </w:r>
      <w:r w:rsidRPr="00CA6B2E">
        <w:rPr>
          <w:rFonts w:ascii="Calibri" w:cs="Calibri"/>
        </w:rPr>
        <w:t xml:space="preserve">Elaine L. Graham, </w:t>
      </w:r>
      <w:r w:rsidRPr="00CA6B2E">
        <w:rPr>
          <w:rFonts w:ascii="Calibri" w:cs="Calibri"/>
          <w:i/>
          <w:iCs/>
        </w:rPr>
        <w:t>Between a Rock and a Hard Place: Public Theology in a Post-Secular Age</w:t>
      </w:r>
      <w:r w:rsidRPr="00CA6B2E">
        <w:rPr>
          <w:rFonts w:ascii="Calibri" w:cs="Calibri"/>
        </w:rPr>
        <w:t xml:space="preserve"> (London: SCM Press, 2013)</w:t>
      </w:r>
      <w:r>
        <w:rPr>
          <w:rFonts w:ascii="Calibri" w:cs="Calibri"/>
        </w:rPr>
        <w:t>, xxvii</w:t>
      </w:r>
      <w:r w:rsidRPr="00CA6B2E">
        <w:rPr>
          <w:rFonts w:ascii="Calibri" w:cs="Calibri"/>
        </w:rPr>
        <w:t>.</w:t>
      </w:r>
      <w:r>
        <w:fldChar w:fldCharType="end"/>
      </w:r>
    </w:p>
  </w:footnote>
  <w:footnote w:id="8">
    <w:p w14:paraId="7B0B9147" w14:textId="072DF1C9" w:rsidR="002E50D7" w:rsidRDefault="002E50D7" w:rsidP="002E50D7">
      <w:pPr>
        <w:pStyle w:val="FootnoteText"/>
      </w:pPr>
      <w:r>
        <w:rPr>
          <w:rStyle w:val="FootnoteReference"/>
        </w:rPr>
        <w:footnoteRef/>
      </w:r>
      <w:r>
        <w:t xml:space="preserve"> </w:t>
      </w:r>
      <w:r>
        <w:fldChar w:fldCharType="begin"/>
      </w:r>
      <w:r>
        <w:instrText xml:space="preserve"> ADDIN ZOTERO_ITEM CSL_CITATION {"citationID":"xbhm3PVg","properties":{"formattedCitation":"\\uc0\\u8216{}Theology and Foodbanks\\uc0\\u8217{}, accessed 5 November 2021, https://ctbi.org.uk/weekly_focus/theology-and-foodbanks/.","plainCitation":"‘Theology and Foodbanks’, accessed 5 November 2021, https://ctbi.org.uk/weekly_focus/theology-and-foodbanks/.","noteIndex":8},"citationItems":[{"id":747,"uris":["http://zotero.org/users/7540819/items/LWTVY3IF"],"uri":["http://zotero.org/users/7540819/items/LWTVY3IF"],"itemData":{"id":747,"type":"webpage","language":"en-GB","title":"Theology and foodbanks","URL":"https://ctbi.org.uk/weekly_focus/theology-and-foodbanks/","accessed":{"date-parts":[["2021",11,5]]}}}],"schema":"https://github.com/citation-style-language/schema/raw/master/csl-citation.json"} </w:instrText>
      </w:r>
      <w:r>
        <w:fldChar w:fldCharType="separate"/>
      </w:r>
      <w:r w:rsidRPr="00CA34D5">
        <w:rPr>
          <w:rFonts w:ascii="Calibri" w:cs="Calibri"/>
        </w:rPr>
        <w:t>‘Theology and Foodbanks’, accessed 5 November 2021, https://ctbi.org.uk/weekly_focus/theology-and-foodbanks/.</w:t>
      </w:r>
      <w:r>
        <w:fldChar w:fldCharType="end"/>
      </w:r>
      <w:r>
        <w:t xml:space="preserve">; </w:t>
      </w:r>
      <w:r w:rsidRPr="00CA34D5">
        <w:rPr>
          <w:rFonts w:ascii="Calibri" w:cs="Calibri"/>
        </w:rPr>
        <w:t>Anne Richards and The Mission Theology Advisory Group, ‘Food Banks - a Theological Reflection’, Liberation and Entrapment Project</w:t>
      </w:r>
      <w:r>
        <w:rPr>
          <w:rFonts w:ascii="Calibri" w:cs="Calibri"/>
        </w:rPr>
        <w:t>, 1-</w:t>
      </w:r>
      <w:r w:rsidRPr="00CA34D5">
        <w:rPr>
          <w:rFonts w:ascii="Calibri" w:cs="Calibri"/>
        </w:rPr>
        <w:t>41 (Church of England, 29 November 2017)</w:t>
      </w:r>
      <w:r>
        <w:rPr>
          <w:rFonts w:ascii="Calibri" w:cs="Calibri"/>
        </w:rPr>
        <w:t>.</w:t>
      </w:r>
    </w:p>
  </w:footnote>
  <w:footnote w:id="9">
    <w:p w14:paraId="48313AD4" w14:textId="65176A87" w:rsidR="00327DED" w:rsidRDefault="00327DED">
      <w:pPr>
        <w:pStyle w:val="FootnoteText"/>
      </w:pPr>
      <w:r>
        <w:rPr>
          <w:rStyle w:val="FootnoteReference"/>
        </w:rPr>
        <w:footnoteRef/>
      </w:r>
      <w:r>
        <w:t xml:space="preserve"> </w:t>
      </w:r>
      <w:r>
        <w:fldChar w:fldCharType="begin"/>
      </w:r>
      <w:r w:rsidR="002E50D7">
        <w:instrText xml:space="preserve"> ADDIN ZOTERO_ITEM CSL_CITATION {"citationID":"ZTIKYkzL","properties":{"formattedCitation":"Dawne Moon, \\uc0\\u8216{}Beyond the Dichotomy: Six Religious Views of Homosexuality\\uc0\\u8217{}, accessed 4 November 2021, https://core.ac.uk/reader/213077877.","plainCitation":"Dawne Moon, ‘Beyond the Dichotomy: Six Religious Views of Homosexuality’, accessed 4 November 2021, https://core.ac.uk/reader/213077877.","dontUpdate":true,"noteIndex":9},"citationItems":[{"id":740,"uris":["http://zotero.org/users/7540819/items/5U2RPQJM"],"uri":["http://zotero.org/users/7540819/items/5U2RPQJM"],"itemData":{"id":740,"type":"article-journal","abstract":"Using published theological and scholarly evidence, this article disrupts the stereotypical “born gay”/“sinful choice” dichotomy widely assumed to characterize religious views of homosexuality in the United States. It argues that we need to keep moral questions separate from questions about the fixity or fluidity of sexual orientation. Rather than two, American Christian and Jewish views of homosexuality can been seen on a range from the “God Hates Fags” view through “Love the Sinner, Hate the Sin,” “We Don’t Talk About That,” “They Can’t Help It,” “God’s Good Gift,” and a queer-theological view of the “Godly Calling.","source":"core.ac.uk","title":"Beyond the Dichotomy: Six Religious Views of Homosexuality","title-short":"Beyond the Dichotomy","URL":"https://core.ac.uk/reader/213077877","author":[{"family":"Moon","given":"Dawne"}],"accessed":{"date-parts":[["2021",11,4]]}}}],"schema":"https://github.com/citation-style-language/schema/raw/master/csl-citation.json"} </w:instrText>
      </w:r>
      <w:r>
        <w:fldChar w:fldCharType="separate"/>
      </w:r>
      <w:r w:rsidRPr="00327DED">
        <w:rPr>
          <w:rFonts w:ascii="Calibri" w:cs="Calibri"/>
        </w:rPr>
        <w:t>Dawne Moon, ‘Beyond the Dichotomy: Six Religious Views of Homosexuality’, accessed 4 November 2021, https://core.ac.uk/reader/213077877</w:t>
      </w:r>
      <w:r>
        <w:rPr>
          <w:rFonts w:ascii="Calibri" w:cs="Calibri"/>
        </w:rPr>
        <w:t>, 11-12</w:t>
      </w:r>
      <w:r w:rsidRPr="00327DED">
        <w:rPr>
          <w:rFonts w:ascii="Calibri" w:cs="Calibri"/>
        </w:rPr>
        <w:t>.</w:t>
      </w:r>
      <w:r>
        <w:fldChar w:fldCharType="end"/>
      </w:r>
    </w:p>
  </w:footnote>
  <w:footnote w:id="10">
    <w:p w14:paraId="708A68E6" w14:textId="007930F2" w:rsidR="00327DED" w:rsidRDefault="00327DED">
      <w:pPr>
        <w:pStyle w:val="FootnoteText"/>
      </w:pPr>
      <w:r>
        <w:rPr>
          <w:rStyle w:val="FootnoteReference"/>
        </w:rPr>
        <w:footnoteRef/>
      </w:r>
      <w:r>
        <w:t xml:space="preserve"> </w:t>
      </w:r>
      <w:r>
        <w:fldChar w:fldCharType="begin"/>
      </w:r>
      <w:r w:rsidR="002E50D7">
        <w:instrText xml:space="preserve"> ADDIN ZOTERO_ITEM CSL_CITATION {"citationID":"XZW9UTeV","properties":{"formattedCitation":"Moon.","plainCitation":"Moon.","dontUpdate":true,"noteIndex":10},"citationItems":[{"id":740,"uris":["http://zotero.org/users/7540819/items/5U2RPQJM"],"uri":["http://zotero.org/users/7540819/items/5U2RPQJM"],"itemData":{"id":740,"type":"article-journal","abstract":"Using published theological and scholarly evidence, this article disrupts the stereotypical “born gay”/“sinful choice” dichotomy widely assumed to characterize religious views of homosexuality in the United States. It argues that we need to keep moral questions separate from questions about the fixity or fluidity of sexual orientation. Rather than two, American Christian and Jewish views of homosexuality can been seen on a range from the “God Hates Fags” view through “Love the Sinner, Hate the Sin,” “We Don’t Talk About That,” “They Can’t Help It,” “God’s Good Gift,” and a queer-theological view of the “Godly Calling.","source":"core.ac.uk","title":"Beyond the Dichotomy: Six Religious Views of Homosexuality","title-short":"Beyond the Dichotomy","URL":"https://core.ac.uk/reader/213077877","author":[{"family":"Moon","given":"Dawne"}],"accessed":{"date-parts":[["2021",11,4]]}}}],"schema":"https://github.com/citation-style-language/schema/raw/master/csl-citation.json"} </w:instrText>
      </w:r>
      <w:r>
        <w:fldChar w:fldCharType="separate"/>
      </w:r>
      <w:r>
        <w:rPr>
          <w:noProof/>
        </w:rPr>
        <w:t xml:space="preserve">Moon, </w:t>
      </w:r>
      <w:r w:rsidRPr="004342C2">
        <w:rPr>
          <w:rFonts w:ascii="Calibri" w:cs="Calibri"/>
        </w:rPr>
        <w:t>‘Beyond the Dichotomy: Six Religious Views of Homosexuality’</w:t>
      </w:r>
      <w:r>
        <w:rPr>
          <w:rFonts w:ascii="Calibri" w:cs="Calibri"/>
        </w:rPr>
        <w:t>, 26</w:t>
      </w:r>
      <w:r>
        <w:rPr>
          <w:noProof/>
        </w:rPr>
        <w:t>.</w:t>
      </w:r>
      <w:r>
        <w:fldChar w:fldCharType="end"/>
      </w:r>
    </w:p>
  </w:footnote>
  <w:footnote w:id="11">
    <w:p w14:paraId="237DF795" w14:textId="692FA92C" w:rsidR="00867723" w:rsidRDefault="00867723">
      <w:pPr>
        <w:pStyle w:val="FootnoteText"/>
      </w:pPr>
      <w:r>
        <w:rPr>
          <w:rStyle w:val="FootnoteReference"/>
        </w:rPr>
        <w:footnoteRef/>
      </w:r>
      <w:r>
        <w:t xml:space="preserve"> cf. opposing views from CRNA (</w:t>
      </w:r>
      <w:r>
        <w:fldChar w:fldCharType="begin"/>
      </w:r>
      <w:r w:rsidR="002E50D7">
        <w:instrText xml:space="preserve"> ADDIN ZOTERO_ITEM CSL_CITATION {"citationID":"qqn6kGp7","properties":{"formattedCitation":"\\uc0\\u8216{}Human_sexuality_report_2021.Pdf\\uc0\\u8217{}, accessed 4 November 2021, https://www.crcna.org/sites/default/files/human_sexuality_report_2021.pdf.","plainCitation":"‘Human_sexuality_report_2021.Pdf’, accessed 4 November 2021, https://www.crcna.org/sites/default/files/human_sexuality_report_2021.pdf.","noteIndex":11},"citationItems":[{"id":731,"uris":["http://zotero.org/users/7540819/items/7FEGGVF8"],"uri":["http://zotero.org/users/7540819/items/7FEGGVF8"],"itemData":{"id":731,"type":"article","title":"human_sexuality_report_2021.pdf","URL":"https://www.crcna.org/sites/default/files/human_sexuality_report_2021.pdf","accessed":{"date-parts":[["2021",11,4]]}}}],"schema":"https://github.com/citation-style-language/schema/raw/master/csl-citation.json"} </w:instrText>
      </w:r>
      <w:r>
        <w:fldChar w:fldCharType="separate"/>
      </w:r>
      <w:r w:rsidRPr="00867723">
        <w:rPr>
          <w:rFonts w:ascii="Calibri" w:cs="Calibri"/>
        </w:rPr>
        <w:t>‘Human_sexuality_report_2021.Pdf’, accessed 4 November 2021, https://www.crcna.org/sites/default/files/human_sexuality_report_2021.pdf.</w:t>
      </w:r>
      <w:r>
        <w:fldChar w:fldCharType="end"/>
      </w:r>
      <w:r>
        <w:t>)</w:t>
      </w:r>
      <w:r w:rsidR="004333AB">
        <w:t xml:space="preserve">; </w:t>
      </w:r>
      <w:r>
        <w:t>EAUK statement (</w:t>
      </w:r>
      <w:r>
        <w:fldChar w:fldCharType="begin"/>
      </w:r>
      <w:r w:rsidR="002E50D7">
        <w:instrText xml:space="preserve"> ADDIN ZOTERO_ITEM CSL_CITATION {"citationID":"i1XZxYW3","properties":{"formattedCitation":"\\uc0\\u8216{}Biblical and Pastoral Responses to Homosexuality\\uc0\\u8217{}, Evangelical Alliance, accessed 4 November 2021, https://www.eauk.org/resources/what-we-offer/reports/biblical-and-pastoral-responses-to-homosexuality.","plainCitation":"‘Biblical and Pastoral Responses to Homosexuality’, Evangelical Alliance, accessed 4 November 2021, https://www.eauk.org/resources/what-we-offer/reports/biblical-and-pastoral-responses-to-homosexuality.","noteIndex":11},"citationItems":[{"id":734,"uris":["http://zotero.org/users/7540819/items/7ANFYGKT"],"uri":["http://zotero.org/users/7540819/items/7ANFYGKT"],"itemData":{"id":734,"type":"webpage","abstract":"A resource for church leaders","container-title":"Evangelical Alliance","language":"en-US","title":"Biblical and pastoral responses to homosexuality","URL":"https://www.eauk.org/resources/what-we-offer/reports/biblical-and-pastoral-responses-to-homosexuality","accessed":{"date-parts":[["2021",11,4]]}}}],"schema":"https://github.com/citation-style-language/schema/raw/master/csl-citation.json"} </w:instrText>
      </w:r>
      <w:r>
        <w:fldChar w:fldCharType="separate"/>
      </w:r>
      <w:r w:rsidRPr="00867723">
        <w:rPr>
          <w:rFonts w:ascii="Calibri" w:cs="Calibri"/>
        </w:rPr>
        <w:t>‘Biblical and Pastoral Responses to Homosexuality’, Evangelical Alliance, accessed 4 November 2021, https://www.eauk.org/resources/what-we-offer/reports/biblical-and-pastoral-responses-to-homosexuality.</w:t>
      </w:r>
      <w:r>
        <w:fldChar w:fldCharType="end"/>
      </w:r>
      <w:r>
        <w:t>)</w:t>
      </w:r>
      <w:r w:rsidR="004333AB">
        <w:t xml:space="preserve">; </w:t>
      </w:r>
      <w:r>
        <w:t>No Promo Hetero (</w:t>
      </w:r>
      <w:r>
        <w:fldChar w:fldCharType="begin"/>
      </w:r>
      <w:r w:rsidR="002E50D7">
        <w:instrText xml:space="preserve"> ADDIN ZOTERO_ITEM CSL_CITATION {"citationID":"cuuEDH1j","properties":{"formattedCitation":"Clifford J. Rosky, \\uc0\\u8216{}No Promo Hetero: Children\\uc0\\u8217{}s Right to Be Queer\\uc0\\u8217{}, {\\i{}SSRN Electronic Journal}, 2013, https://doi.org/10.2139/ssrn.2221404.","plainCitation":"Clifford J. Rosky, ‘No Promo Hetero: Children’s Right to Be Queer’, SSRN Electronic Journal, 2013, https://doi.org/10.2139/ssrn.2221404.","noteIndex":11},"citationItems":[{"id":737,"uris":["http://zotero.org/users/7540819/items/TEM43KQW"],"uri":["http://zotero.org/users/7540819/items/TEM43KQW"],"itemData":{"id":737,"type":"article-journal","container-title":"SSRN Electronic Journal","DOI":"10.2139/ssrn.2221404","ISSN":"1556-5068","journalAbbreviation":"SSRN Journal","language":"en","source":"DOI.org (Crossref)","title":"No Promo Hetero: Children's Right to Be Queer","title-short":"No Promo Hetero","URL":"http://www.ssrn.com/abstract=2221404","author":[{"family":"Rosky","given":"Clifford J."}],"accessed":{"date-parts":[["2021",11,4]]},"issued":{"date-parts":[["2013"]]}}}],"schema":"https://github.com/citation-style-language/schema/raw/master/csl-citation.json"} </w:instrText>
      </w:r>
      <w:r>
        <w:fldChar w:fldCharType="separate"/>
      </w:r>
      <w:r w:rsidRPr="00867723">
        <w:rPr>
          <w:rFonts w:ascii="Calibri" w:cs="Calibri"/>
        </w:rPr>
        <w:t xml:space="preserve">Clifford J. Rosky, ‘No Promo Hetero: Children’s Right to Be Queer’, </w:t>
      </w:r>
      <w:r w:rsidRPr="00867723">
        <w:rPr>
          <w:rFonts w:ascii="Calibri" w:cs="Calibri"/>
          <w:i/>
          <w:iCs/>
        </w:rPr>
        <w:t>SSRN Electronic Journal</w:t>
      </w:r>
      <w:r w:rsidRPr="00867723">
        <w:rPr>
          <w:rFonts w:ascii="Calibri" w:cs="Calibri"/>
        </w:rPr>
        <w:t>, 2013, https://doi.org/10.2139/ssrn.2221404.</w:t>
      </w:r>
      <w:r>
        <w:fldChar w:fldCharType="end"/>
      </w:r>
      <w:r>
        <w:t>)</w:t>
      </w:r>
    </w:p>
  </w:footnote>
  <w:footnote w:id="12">
    <w:p w14:paraId="2FD088F1" w14:textId="4549FAA3" w:rsidR="005C38A6" w:rsidRDefault="005C38A6">
      <w:pPr>
        <w:pStyle w:val="FootnoteText"/>
      </w:pPr>
      <w:r>
        <w:rPr>
          <w:rStyle w:val="FootnoteReference"/>
        </w:rPr>
        <w:footnoteRef/>
      </w:r>
      <w:r>
        <w:t xml:space="preserve"> </w:t>
      </w:r>
      <w:r>
        <w:fldChar w:fldCharType="begin"/>
      </w:r>
      <w:r w:rsidR="002E50D7">
        <w:instrText xml:space="preserve"> ADDIN ZOTERO_ITEM CSL_CITATION {"citationID":"aJM1E2iJ","properties":{"formattedCitation":"M. Schleicher, \\uc0\\u8216{}Constructions of Sex and Gender: Attending to Androgynes and Tumtumim Through Jewish Scriptural Use\\uc0\\u8217{}, {\\i{}Literature and Theology} 25, no. 4 (1 December 2011): 422\\uc0\\u8211{}35, https://doi.org/10.1093/litthe/frr051.","plainCitation":"M. Schleicher, ‘Constructions of Sex and Gender: Attending to Androgynes and Tumtumim Through Jewish Scriptural Use’, Literature and Theology 25, no. 4 (1 December 2011): 422–35, https://doi.org/10.1093/litthe/frr051.","dontUpdate":true,"noteIndex":12},"citationItems":[{"id":744,"uris":["http://zotero.org/users/7540819/items/V52KU9JE"],"uri":["http://zotero.org/users/7540819/items/V52KU9JE"],"itemData":{"id":744,"type":"article-journal","abstract":"Responding to the ethical and performative call of Judith Butler not to propagate the sex- and gender-related violence of the imbedded discourse that we study, this article inquires into the discursive strategies of Jewish scripture by analysing how it orchestrates certain norms of sex and gender and makes them serve the overall aim of securing cultural survival. Following this, it traces reﬂections on persons of ambiguous or indeterminate sex from rabbinic to modern Judaism so as to inquire into the rabbinic dependency on scripture when non-conforming individuals challenge its bipolar sex and gender system. Finally, the article considers if scripture, as suggested by Butler, can play a subversive role in how we attend to non-conforming others today. To do so, the author’s distinction between hermeneutical and artifactual uses of scripture is presented to evaluate the extent to which modern Jews and non-Jews are able to inﬂuence their own representations of sex and gender and thus liberate themselves from the normativity implied by scriptural discourse.","container-title":"Literature and Theology","DOI":"10.1093/litthe/frr051","ISSN":"0269-1205, 1477-4623","issue":"4","journalAbbreviation":"Literature and Theology","language":"en","page":"422-435","source":"DOI.org (Crossref)","title":"Constructions of Sex and Gender: Attending to Androgynes and Tumtumim Through Jewish Scriptural Use","title-short":"Constructions of Sex and Gender","volume":"25","author":[{"family":"Schleicher","given":"M."}],"issued":{"date-parts":[["2011",12,1]]}}}],"schema":"https://github.com/citation-style-language/schema/raw/master/csl-citation.json"} </w:instrText>
      </w:r>
      <w:r>
        <w:fldChar w:fldCharType="separate"/>
      </w:r>
      <w:r w:rsidRPr="005C38A6">
        <w:rPr>
          <w:rFonts w:ascii="Calibri" w:cs="Calibri"/>
        </w:rPr>
        <w:t xml:space="preserve">M. Schleicher, ‘Constructions of Sex and Gender: Attending to Androgynes and Tumtumim Through Jewish Scriptural Use’, </w:t>
      </w:r>
      <w:r w:rsidRPr="005C38A6">
        <w:rPr>
          <w:rFonts w:ascii="Calibri" w:cs="Calibri"/>
          <w:i/>
          <w:iCs/>
        </w:rPr>
        <w:t>Literature and Theology</w:t>
      </w:r>
      <w:r w:rsidRPr="005C38A6">
        <w:rPr>
          <w:rFonts w:ascii="Calibri" w:cs="Calibri"/>
        </w:rPr>
        <w:t xml:space="preserve"> 25, no. 4 (1 December 2011): 422–35, https://doi.org/10.1093/litthe/frr051</w:t>
      </w:r>
      <w:r>
        <w:rPr>
          <w:rFonts w:ascii="Calibri" w:cs="Calibri"/>
        </w:rPr>
        <w:t>, 424</w:t>
      </w:r>
      <w:r w:rsidRPr="005C38A6">
        <w:rPr>
          <w:rFonts w:ascii="Calibri" w:cs="Calibri"/>
        </w:rPr>
        <w:t>.</w:t>
      </w:r>
      <w:r>
        <w:fldChar w:fldCharType="end"/>
      </w:r>
    </w:p>
  </w:footnote>
  <w:footnote w:id="13">
    <w:p w14:paraId="0041204F" w14:textId="1CFC6A3C" w:rsidR="00EB5652" w:rsidRDefault="00EB5652">
      <w:pPr>
        <w:pStyle w:val="FootnoteText"/>
      </w:pPr>
      <w:r>
        <w:rPr>
          <w:rStyle w:val="FootnoteReference"/>
        </w:rPr>
        <w:footnoteRef/>
      </w:r>
      <w:r>
        <w:t xml:space="preserve"> </w:t>
      </w:r>
      <w:r>
        <w:fldChar w:fldCharType="begin"/>
      </w:r>
      <w:r w:rsidR="002E50D7">
        <w:instrText xml:space="preserve"> ADDIN ZOTERO_ITEM CSL_CITATION {"citationID":"pJ05R3Vx","properties":{"formattedCitation":"Schleicher.","plainCitation":"Schleicher.","dontUpdate":true,"noteIndex":13},"citationItems":[{"id":744,"uris":["http://zotero.org/users/7540819/items/V52KU9JE"],"uri":["http://zotero.org/users/7540819/items/V52KU9JE"],"itemData":{"id":744,"type":"article-journal","abstract":"Responding to the ethical and performative call of Judith Butler not to propagate the sex- and gender-related violence of the imbedded discourse that we study, this article inquires into the discursive strategies of Jewish scripture by analysing how it orchestrates certain norms of sex and gender and makes them serve the overall aim of securing cultural survival. Following this, it traces reﬂections on persons of ambiguous or indeterminate sex from rabbinic to modern Judaism so as to inquire into the rabbinic dependency on scripture when non-conforming individuals challenge its bipolar sex and gender system. Finally, the article considers if scripture, as suggested by Butler, can play a subversive role in how we attend to non-conforming others today. To do so, the author’s distinction between hermeneutical and artifactual uses of scripture is presented to evaluate the extent to which modern Jews and non-Jews are able to inﬂuence their own representations of sex and gender and thus liberate themselves from the normativity implied by scriptural discourse.","container-title":"Literature and Theology","DOI":"10.1093/litthe/frr051","ISSN":"0269-1205, 1477-4623","issue":"4","journalAbbreviation":"Literature and Theology","language":"en","page":"422-435","source":"DOI.org (Crossref)","title":"Constructions of Sex and Gender: Attending to Androgynes and Tumtumim Through Jewish Scriptural Use","title-short":"Constructions of Sex and Gender","volume":"25","author":[{"family":"Schleicher","given":"M."}],"issued":{"date-parts":[["2011",12,1]]}}}],"schema":"https://github.com/citation-style-language/schema/raw/master/csl-citation.json"} </w:instrText>
      </w:r>
      <w:r>
        <w:fldChar w:fldCharType="separate"/>
      </w:r>
      <w:r>
        <w:rPr>
          <w:noProof/>
        </w:rPr>
        <w:t xml:space="preserve">Schleicher, </w:t>
      </w:r>
      <w:r w:rsidRPr="005C38A6">
        <w:rPr>
          <w:rFonts w:ascii="Calibri" w:cs="Calibri"/>
        </w:rPr>
        <w:t>‘Constructions of Sex and Gender: Attending to Androgynes and Tumtumim Through Jewish Scriptural Use’</w:t>
      </w:r>
      <w:r>
        <w:rPr>
          <w:rFonts w:ascii="Calibri" w:cs="Calibri"/>
        </w:rPr>
        <w:t>, 422</w:t>
      </w:r>
      <w:r>
        <w:rPr>
          <w:noProof/>
        </w:rPr>
        <w: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3515"/>
    <w:multiLevelType w:val="hybridMultilevel"/>
    <w:tmpl w:val="495828D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54D99"/>
    <w:multiLevelType w:val="hybridMultilevel"/>
    <w:tmpl w:val="FEACA294"/>
    <w:lvl w:ilvl="0" w:tplc="7C58D446">
      <w:start w:val="1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2449C9"/>
    <w:multiLevelType w:val="multilevel"/>
    <w:tmpl w:val="B376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DB69EF"/>
    <w:multiLevelType w:val="hybridMultilevel"/>
    <w:tmpl w:val="C73CD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C3352"/>
    <w:multiLevelType w:val="multilevel"/>
    <w:tmpl w:val="3734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51962"/>
    <w:multiLevelType w:val="hybridMultilevel"/>
    <w:tmpl w:val="9182CC4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2660D8"/>
    <w:multiLevelType w:val="hybridMultilevel"/>
    <w:tmpl w:val="C9704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93069D"/>
    <w:multiLevelType w:val="multilevel"/>
    <w:tmpl w:val="D6E8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57099"/>
    <w:multiLevelType w:val="hybridMultilevel"/>
    <w:tmpl w:val="243EA00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6"/>
  </w:num>
  <w:num w:numId="5">
    <w:abstractNumId w:val="7"/>
  </w:num>
  <w:num w:numId="6">
    <w:abstractNumId w:val="4"/>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660"/>
    <w:rsid w:val="00000C2B"/>
    <w:rsid w:val="0001379D"/>
    <w:rsid w:val="0002120D"/>
    <w:rsid w:val="00071561"/>
    <w:rsid w:val="00071DED"/>
    <w:rsid w:val="000840C3"/>
    <w:rsid w:val="00092EC0"/>
    <w:rsid w:val="00095D28"/>
    <w:rsid w:val="000A4614"/>
    <w:rsid w:val="000B0BD9"/>
    <w:rsid w:val="000C5870"/>
    <w:rsid w:val="000E19D4"/>
    <w:rsid w:val="00105ACF"/>
    <w:rsid w:val="001155F5"/>
    <w:rsid w:val="00124527"/>
    <w:rsid w:val="00161020"/>
    <w:rsid w:val="001704D0"/>
    <w:rsid w:val="00192CAF"/>
    <w:rsid w:val="001A5743"/>
    <w:rsid w:val="001B386D"/>
    <w:rsid w:val="001E6EE6"/>
    <w:rsid w:val="0020628A"/>
    <w:rsid w:val="00222DA0"/>
    <w:rsid w:val="00227B12"/>
    <w:rsid w:val="0023371E"/>
    <w:rsid w:val="0023475D"/>
    <w:rsid w:val="00264FF0"/>
    <w:rsid w:val="002C2512"/>
    <w:rsid w:val="002C71A1"/>
    <w:rsid w:val="002D36CE"/>
    <w:rsid w:val="002E50D7"/>
    <w:rsid w:val="003027A4"/>
    <w:rsid w:val="00305585"/>
    <w:rsid w:val="00314C7F"/>
    <w:rsid w:val="00315E0D"/>
    <w:rsid w:val="00327DED"/>
    <w:rsid w:val="00357713"/>
    <w:rsid w:val="00363660"/>
    <w:rsid w:val="003719C3"/>
    <w:rsid w:val="00387943"/>
    <w:rsid w:val="003A7B13"/>
    <w:rsid w:val="003B191F"/>
    <w:rsid w:val="003C3F16"/>
    <w:rsid w:val="003D1F26"/>
    <w:rsid w:val="003D1F43"/>
    <w:rsid w:val="003D272C"/>
    <w:rsid w:val="003E0B73"/>
    <w:rsid w:val="003F0172"/>
    <w:rsid w:val="003F20FB"/>
    <w:rsid w:val="00413CAC"/>
    <w:rsid w:val="00420ED0"/>
    <w:rsid w:val="004333AB"/>
    <w:rsid w:val="004342C2"/>
    <w:rsid w:val="00436309"/>
    <w:rsid w:val="00463EBC"/>
    <w:rsid w:val="00467100"/>
    <w:rsid w:val="004676D1"/>
    <w:rsid w:val="00485B3F"/>
    <w:rsid w:val="00497FCD"/>
    <w:rsid w:val="004A3B7F"/>
    <w:rsid w:val="004D7D19"/>
    <w:rsid w:val="004E3ADC"/>
    <w:rsid w:val="004F303C"/>
    <w:rsid w:val="0050098D"/>
    <w:rsid w:val="00506BF7"/>
    <w:rsid w:val="00507740"/>
    <w:rsid w:val="0052540C"/>
    <w:rsid w:val="00532726"/>
    <w:rsid w:val="005729FD"/>
    <w:rsid w:val="00584D9A"/>
    <w:rsid w:val="005854F0"/>
    <w:rsid w:val="005931DE"/>
    <w:rsid w:val="005A0595"/>
    <w:rsid w:val="005C38A6"/>
    <w:rsid w:val="005E345D"/>
    <w:rsid w:val="00607B89"/>
    <w:rsid w:val="00620047"/>
    <w:rsid w:val="00650DFF"/>
    <w:rsid w:val="00665D8C"/>
    <w:rsid w:val="00666599"/>
    <w:rsid w:val="0069115D"/>
    <w:rsid w:val="00696C4C"/>
    <w:rsid w:val="006A0493"/>
    <w:rsid w:val="006C3899"/>
    <w:rsid w:val="006C6D3A"/>
    <w:rsid w:val="006E4D49"/>
    <w:rsid w:val="006F729C"/>
    <w:rsid w:val="00700B0A"/>
    <w:rsid w:val="0070481D"/>
    <w:rsid w:val="007172FA"/>
    <w:rsid w:val="00726D70"/>
    <w:rsid w:val="00737711"/>
    <w:rsid w:val="00742337"/>
    <w:rsid w:val="00753612"/>
    <w:rsid w:val="00785365"/>
    <w:rsid w:val="0078784D"/>
    <w:rsid w:val="007A7D96"/>
    <w:rsid w:val="007B0EDA"/>
    <w:rsid w:val="007F754D"/>
    <w:rsid w:val="0080466F"/>
    <w:rsid w:val="00821C36"/>
    <w:rsid w:val="00822581"/>
    <w:rsid w:val="00847152"/>
    <w:rsid w:val="00853C9E"/>
    <w:rsid w:val="00867723"/>
    <w:rsid w:val="00875EB2"/>
    <w:rsid w:val="00881553"/>
    <w:rsid w:val="008876D3"/>
    <w:rsid w:val="008B5818"/>
    <w:rsid w:val="008C5CD9"/>
    <w:rsid w:val="008C5D1A"/>
    <w:rsid w:val="008D64F5"/>
    <w:rsid w:val="009168B2"/>
    <w:rsid w:val="009212ED"/>
    <w:rsid w:val="00923262"/>
    <w:rsid w:val="00957BA3"/>
    <w:rsid w:val="00960D0E"/>
    <w:rsid w:val="0098221A"/>
    <w:rsid w:val="00996F0C"/>
    <w:rsid w:val="009B6D7E"/>
    <w:rsid w:val="009D1A26"/>
    <w:rsid w:val="00A14ECC"/>
    <w:rsid w:val="00A2376D"/>
    <w:rsid w:val="00A3376F"/>
    <w:rsid w:val="00A33DA6"/>
    <w:rsid w:val="00A40733"/>
    <w:rsid w:val="00A506CB"/>
    <w:rsid w:val="00A8043A"/>
    <w:rsid w:val="00A84DA7"/>
    <w:rsid w:val="00A97936"/>
    <w:rsid w:val="00AC4C0A"/>
    <w:rsid w:val="00AF44CD"/>
    <w:rsid w:val="00AF79DF"/>
    <w:rsid w:val="00B173B5"/>
    <w:rsid w:val="00B52D53"/>
    <w:rsid w:val="00B67DCE"/>
    <w:rsid w:val="00B71E86"/>
    <w:rsid w:val="00B81C0A"/>
    <w:rsid w:val="00B85C25"/>
    <w:rsid w:val="00B86600"/>
    <w:rsid w:val="00B90B93"/>
    <w:rsid w:val="00BA0876"/>
    <w:rsid w:val="00BC0460"/>
    <w:rsid w:val="00BC6B5A"/>
    <w:rsid w:val="00BD041A"/>
    <w:rsid w:val="00C222A0"/>
    <w:rsid w:val="00C2784D"/>
    <w:rsid w:val="00C62A86"/>
    <w:rsid w:val="00C96945"/>
    <w:rsid w:val="00CA6B2E"/>
    <w:rsid w:val="00CC0993"/>
    <w:rsid w:val="00CC1B6E"/>
    <w:rsid w:val="00CE382F"/>
    <w:rsid w:val="00D27912"/>
    <w:rsid w:val="00D37EFB"/>
    <w:rsid w:val="00D42B66"/>
    <w:rsid w:val="00D67795"/>
    <w:rsid w:val="00D711B0"/>
    <w:rsid w:val="00D7605D"/>
    <w:rsid w:val="00D806AE"/>
    <w:rsid w:val="00D82A0D"/>
    <w:rsid w:val="00DA12AA"/>
    <w:rsid w:val="00DD27F6"/>
    <w:rsid w:val="00DE0F07"/>
    <w:rsid w:val="00DF41A1"/>
    <w:rsid w:val="00E110C1"/>
    <w:rsid w:val="00E128B6"/>
    <w:rsid w:val="00E23037"/>
    <w:rsid w:val="00E36286"/>
    <w:rsid w:val="00E45D62"/>
    <w:rsid w:val="00E81817"/>
    <w:rsid w:val="00E8200C"/>
    <w:rsid w:val="00E87F82"/>
    <w:rsid w:val="00E94549"/>
    <w:rsid w:val="00EA166E"/>
    <w:rsid w:val="00EA7944"/>
    <w:rsid w:val="00EB5652"/>
    <w:rsid w:val="00EB7A8C"/>
    <w:rsid w:val="00ED36D9"/>
    <w:rsid w:val="00F006B9"/>
    <w:rsid w:val="00F037E8"/>
    <w:rsid w:val="00F11502"/>
    <w:rsid w:val="00F2334A"/>
    <w:rsid w:val="00F31464"/>
    <w:rsid w:val="00F33DFE"/>
    <w:rsid w:val="00F34AFE"/>
    <w:rsid w:val="00F36384"/>
    <w:rsid w:val="00F56C4A"/>
    <w:rsid w:val="00F6509D"/>
    <w:rsid w:val="00F703FF"/>
    <w:rsid w:val="00F7655A"/>
    <w:rsid w:val="00F871C8"/>
    <w:rsid w:val="00FB05D4"/>
    <w:rsid w:val="00FB39D7"/>
    <w:rsid w:val="00FF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692753C"/>
  <w15:chartTrackingRefBased/>
  <w15:docId w15:val="{CF6FD186-C847-C944-9537-A92E3EBB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8043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660"/>
    <w:pPr>
      <w:ind w:left="720"/>
      <w:contextualSpacing/>
    </w:pPr>
  </w:style>
  <w:style w:type="paragraph" w:styleId="FootnoteText">
    <w:name w:val="footnote text"/>
    <w:basedOn w:val="Normal"/>
    <w:link w:val="FootnoteTextChar"/>
    <w:uiPriority w:val="99"/>
    <w:semiHidden/>
    <w:unhideWhenUsed/>
    <w:rsid w:val="00363660"/>
    <w:rPr>
      <w:sz w:val="20"/>
      <w:szCs w:val="20"/>
    </w:rPr>
  </w:style>
  <w:style w:type="character" w:customStyle="1" w:styleId="FootnoteTextChar">
    <w:name w:val="Footnote Text Char"/>
    <w:basedOn w:val="DefaultParagraphFont"/>
    <w:link w:val="FootnoteText"/>
    <w:uiPriority w:val="99"/>
    <w:semiHidden/>
    <w:rsid w:val="00363660"/>
    <w:rPr>
      <w:sz w:val="20"/>
      <w:szCs w:val="20"/>
    </w:rPr>
  </w:style>
  <w:style w:type="character" w:styleId="FootnoteReference">
    <w:name w:val="footnote reference"/>
    <w:basedOn w:val="DefaultParagraphFont"/>
    <w:uiPriority w:val="99"/>
    <w:semiHidden/>
    <w:unhideWhenUsed/>
    <w:rsid w:val="00363660"/>
    <w:rPr>
      <w:vertAlign w:val="superscript"/>
    </w:rPr>
  </w:style>
  <w:style w:type="character" w:customStyle="1" w:styleId="Heading1Char">
    <w:name w:val="Heading 1 Char"/>
    <w:basedOn w:val="DefaultParagraphFont"/>
    <w:link w:val="Heading1"/>
    <w:uiPriority w:val="9"/>
    <w:rsid w:val="00A8043A"/>
    <w:rPr>
      <w:rFonts w:ascii="Times New Roman" w:eastAsia="Times New Roman" w:hAnsi="Times New Roman" w:cs="Times New Roman"/>
      <w:b/>
      <w:bCs/>
      <w:kern w:val="36"/>
      <w:sz w:val="48"/>
      <w:szCs w:val="48"/>
      <w:lang w:eastAsia="en-GB"/>
    </w:rPr>
  </w:style>
  <w:style w:type="paragraph" w:customStyle="1" w:styleId="paper-meta-item">
    <w:name w:val="paper-meta-item"/>
    <w:basedOn w:val="Normal"/>
    <w:rsid w:val="00A8043A"/>
    <w:pPr>
      <w:spacing w:before="100" w:beforeAutospacing="1" w:after="100" w:afterAutospacing="1"/>
    </w:pPr>
    <w:rPr>
      <w:rFonts w:ascii="Times New Roman" w:eastAsia="Times New Roman" w:hAnsi="Times New Roman" w:cs="Times New Roman"/>
      <w:lang w:eastAsia="en-GB"/>
    </w:rPr>
  </w:style>
  <w:style w:type="character" w:customStyle="1" w:styleId="author-list">
    <w:name w:val="author-list"/>
    <w:basedOn w:val="DefaultParagraphFont"/>
    <w:rsid w:val="00A8043A"/>
  </w:style>
  <w:style w:type="character" w:styleId="Hyperlink">
    <w:name w:val="Hyperlink"/>
    <w:basedOn w:val="DefaultParagraphFont"/>
    <w:uiPriority w:val="99"/>
    <w:unhideWhenUsed/>
    <w:rsid w:val="00A8043A"/>
    <w:rPr>
      <w:color w:val="0000FF"/>
      <w:u w:val="single"/>
    </w:rPr>
  </w:style>
  <w:style w:type="character" w:customStyle="1" w:styleId="apple-converted-space">
    <w:name w:val="apple-converted-space"/>
    <w:basedOn w:val="DefaultParagraphFont"/>
    <w:rsid w:val="00A8043A"/>
  </w:style>
  <w:style w:type="paragraph" w:styleId="NormalWeb">
    <w:name w:val="Normal (Web)"/>
    <w:basedOn w:val="Normal"/>
    <w:uiPriority w:val="99"/>
    <w:semiHidden/>
    <w:unhideWhenUsed/>
    <w:rsid w:val="00E45D62"/>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8C5D1A"/>
    <w:rPr>
      <w:color w:val="605E5C"/>
      <w:shd w:val="clear" w:color="auto" w:fill="E1DFDD"/>
    </w:rPr>
  </w:style>
  <w:style w:type="character" w:styleId="EndnoteReference">
    <w:name w:val="endnote reference"/>
    <w:basedOn w:val="DefaultParagraphFont"/>
    <w:uiPriority w:val="99"/>
    <w:semiHidden/>
    <w:unhideWhenUsed/>
    <w:rsid w:val="006A0493"/>
    <w:rPr>
      <w:vertAlign w:val="superscript"/>
    </w:rPr>
  </w:style>
  <w:style w:type="paragraph" w:styleId="Bibliography">
    <w:name w:val="Bibliography"/>
    <w:basedOn w:val="Normal"/>
    <w:next w:val="Normal"/>
    <w:uiPriority w:val="37"/>
    <w:unhideWhenUsed/>
    <w:rsid w:val="006C6D3A"/>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376297">
      <w:bodyDiv w:val="1"/>
      <w:marLeft w:val="0"/>
      <w:marRight w:val="0"/>
      <w:marTop w:val="0"/>
      <w:marBottom w:val="0"/>
      <w:divBdr>
        <w:top w:val="none" w:sz="0" w:space="0" w:color="auto"/>
        <w:left w:val="none" w:sz="0" w:space="0" w:color="auto"/>
        <w:bottom w:val="none" w:sz="0" w:space="0" w:color="auto"/>
        <w:right w:val="none" w:sz="0" w:space="0" w:color="auto"/>
      </w:divBdr>
    </w:div>
    <w:div w:id="1019968593">
      <w:bodyDiv w:val="1"/>
      <w:marLeft w:val="0"/>
      <w:marRight w:val="0"/>
      <w:marTop w:val="0"/>
      <w:marBottom w:val="0"/>
      <w:divBdr>
        <w:top w:val="none" w:sz="0" w:space="0" w:color="auto"/>
        <w:left w:val="none" w:sz="0" w:space="0" w:color="auto"/>
        <w:bottom w:val="none" w:sz="0" w:space="0" w:color="auto"/>
        <w:right w:val="none" w:sz="0" w:space="0" w:color="auto"/>
      </w:divBdr>
    </w:div>
    <w:div w:id="1554736973">
      <w:bodyDiv w:val="1"/>
      <w:marLeft w:val="0"/>
      <w:marRight w:val="0"/>
      <w:marTop w:val="0"/>
      <w:marBottom w:val="0"/>
      <w:divBdr>
        <w:top w:val="none" w:sz="0" w:space="0" w:color="auto"/>
        <w:left w:val="none" w:sz="0" w:space="0" w:color="auto"/>
        <w:bottom w:val="none" w:sz="0" w:space="0" w:color="auto"/>
        <w:right w:val="none" w:sz="0" w:space="0" w:color="auto"/>
      </w:divBdr>
      <w:divsChild>
        <w:div w:id="542255546">
          <w:marLeft w:val="0"/>
          <w:marRight w:val="0"/>
          <w:marTop w:val="0"/>
          <w:marBottom w:val="0"/>
          <w:divBdr>
            <w:top w:val="none" w:sz="0" w:space="0" w:color="auto"/>
            <w:left w:val="none" w:sz="0" w:space="0" w:color="auto"/>
            <w:bottom w:val="none" w:sz="0" w:space="0" w:color="auto"/>
            <w:right w:val="none" w:sz="0" w:space="0" w:color="auto"/>
          </w:divBdr>
          <w:divsChild>
            <w:div w:id="2043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22419">
      <w:bodyDiv w:val="1"/>
      <w:marLeft w:val="0"/>
      <w:marRight w:val="0"/>
      <w:marTop w:val="0"/>
      <w:marBottom w:val="0"/>
      <w:divBdr>
        <w:top w:val="none" w:sz="0" w:space="0" w:color="auto"/>
        <w:left w:val="none" w:sz="0" w:space="0" w:color="auto"/>
        <w:bottom w:val="none" w:sz="0" w:space="0" w:color="auto"/>
        <w:right w:val="none" w:sz="0" w:space="0" w:color="auto"/>
      </w:divBdr>
      <w:divsChild>
        <w:div w:id="787551026">
          <w:marLeft w:val="0"/>
          <w:marRight w:val="0"/>
          <w:marTop w:val="0"/>
          <w:marBottom w:val="0"/>
          <w:divBdr>
            <w:top w:val="none" w:sz="0" w:space="0" w:color="auto"/>
            <w:left w:val="none" w:sz="0" w:space="0" w:color="auto"/>
            <w:bottom w:val="none" w:sz="0" w:space="0" w:color="auto"/>
            <w:right w:val="none" w:sz="0" w:space="0" w:color="auto"/>
          </w:divBdr>
          <w:divsChild>
            <w:div w:id="3307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2468">
      <w:bodyDiv w:val="1"/>
      <w:marLeft w:val="0"/>
      <w:marRight w:val="0"/>
      <w:marTop w:val="0"/>
      <w:marBottom w:val="0"/>
      <w:divBdr>
        <w:top w:val="none" w:sz="0" w:space="0" w:color="auto"/>
        <w:left w:val="none" w:sz="0" w:space="0" w:color="auto"/>
        <w:bottom w:val="none" w:sz="0" w:space="0" w:color="auto"/>
        <w:right w:val="none" w:sz="0" w:space="0" w:color="auto"/>
      </w:divBdr>
      <w:divsChild>
        <w:div w:id="1470635753">
          <w:marLeft w:val="0"/>
          <w:marRight w:val="0"/>
          <w:marTop w:val="0"/>
          <w:marBottom w:val="0"/>
          <w:divBdr>
            <w:top w:val="none" w:sz="0" w:space="0" w:color="auto"/>
            <w:left w:val="none" w:sz="0" w:space="0" w:color="auto"/>
            <w:bottom w:val="none" w:sz="0" w:space="0" w:color="auto"/>
            <w:right w:val="none" w:sz="0" w:space="0" w:color="auto"/>
          </w:divBdr>
          <w:divsChild>
            <w:div w:id="13448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93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6777429-8C54-FF43-B2D4-E150FEE2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4329</Words>
  <Characters>24678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2</cp:revision>
  <dcterms:created xsi:type="dcterms:W3CDTF">2021-11-07T19:37:00Z</dcterms:created>
  <dcterms:modified xsi:type="dcterms:W3CDTF">2021-11-07T19:37:00Z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zotero-version="5.0.97-beta.52+59455ebfa"&gt;&lt;session id="BOGHA3Vs"/&gt;&lt;style id="http://www.zotero.org/styles/chicago-fullnote-bibliography" locale="en-GB" hasBibliography="1" bibliographyStyleHasBeenSet="1"/&gt;&lt;prefs&gt;&lt;pref name="fieldTyp</vt:lpwstr>
  </property>
  <property fmtid="{D5CDD505-2E9C-101B-9397-08002B2CF9AE}" pid="3" name="ZOTERO_PREF_2">
    <vt:lpwstr>e" value="Field"/&gt;&lt;pref name="noteType" value="1"/&gt;&lt;/prefs&gt;&lt;/data&gt;</vt:lpwstr>
  </property>
</Properties>
</file>