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3D5F5" w14:textId="77777777" w:rsidR="00630EB3" w:rsidRPr="00630EB3" w:rsidRDefault="00630EB3" w:rsidP="00630EB3">
      <w:pPr>
        <w:rPr>
          <w:lang w:val="en"/>
        </w:rPr>
      </w:pPr>
      <w:r w:rsidRPr="00630EB3">
        <w:rPr>
          <w:lang w:val="en"/>
        </w:rPr>
        <w:t>Talking Areas: The Role of the Environment in a Play-Based Curriculum.</w:t>
      </w:r>
    </w:p>
    <w:p w14:paraId="6953E062" w14:textId="77777777" w:rsidR="00630EB3" w:rsidRPr="00630EB3" w:rsidRDefault="00630EB3" w:rsidP="00630EB3">
      <w:pPr>
        <w:rPr>
          <w:lang w:val="en"/>
        </w:rPr>
      </w:pPr>
    </w:p>
    <w:p w14:paraId="51D3FB46" w14:textId="77777777" w:rsidR="00630EB3" w:rsidRPr="00630EB3" w:rsidRDefault="00630EB3" w:rsidP="00630EB3">
      <w:r w:rsidRPr="00630EB3">
        <w:rPr>
          <w:lang w:val="en"/>
        </w:rPr>
        <w:t>What do your learning areas tell a child?</w:t>
      </w:r>
    </w:p>
    <w:p w14:paraId="64C705E1" w14:textId="77777777" w:rsidR="00630EB3" w:rsidRPr="00630EB3" w:rsidRDefault="00630EB3" w:rsidP="00630EB3"/>
    <w:p w14:paraId="102C5954" w14:textId="138EB51E" w:rsidR="00630EB3" w:rsidRPr="00630EB3" w:rsidRDefault="00630EB3" w:rsidP="00630EB3">
      <w:pPr>
        <w:rPr>
          <w:lang w:val="en"/>
        </w:rPr>
      </w:pPr>
      <w:r w:rsidRPr="00630EB3">
        <w:rPr>
          <w:lang w:val="en"/>
        </w:rPr>
        <w:t>Do they welcome inspiration and adventure? Or are they sending a silent message - sit here, do this, don't go there? Each area has its own voice. Sometimes he whispers, sometimes he speaks loudly, but always, he communicates.</w:t>
      </w:r>
    </w:p>
    <w:p w14:paraId="106BA73D" w14:textId="77777777" w:rsidR="00630EB3" w:rsidRPr="00630EB3" w:rsidRDefault="00630EB3" w:rsidP="00630EB3">
      <w:pPr>
        <w:rPr>
          <w:lang w:val="en"/>
        </w:rPr>
      </w:pPr>
      <w:r w:rsidRPr="00630EB3">
        <w:rPr>
          <w:lang w:val="en"/>
        </w:rPr>
        <w:t>In a play-based curriculum, the learning environment is not just an area to let off energy, especially the outdoor area. It is a living and dynamic part of the pedagogy. As Loris Malaguzzi famously said:</w:t>
      </w:r>
    </w:p>
    <w:p w14:paraId="0CFB79B9" w14:textId="77777777" w:rsidR="00630EB3" w:rsidRPr="00630EB3" w:rsidRDefault="00630EB3" w:rsidP="00630EB3">
      <w:pPr>
        <w:rPr>
          <w:lang w:val="en"/>
        </w:rPr>
      </w:pPr>
    </w:p>
    <w:p w14:paraId="26796847" w14:textId="77777777" w:rsidR="00630EB3" w:rsidRPr="00630EB3" w:rsidRDefault="00630EB3" w:rsidP="00630EB3">
      <w:r w:rsidRPr="00630EB3">
        <w:rPr>
          <w:lang w:val="en"/>
        </w:rPr>
        <w:t>"Children have three teachers: adults, other children, and their physical environment."</w:t>
      </w:r>
    </w:p>
    <w:p w14:paraId="2DF1CD67" w14:textId="77777777" w:rsidR="00630EB3" w:rsidRPr="00630EB3" w:rsidRDefault="00630EB3" w:rsidP="00630EB3">
      <w:r w:rsidRPr="00630EB3">
        <w:rPr>
          <w:lang w:val="en"/>
        </w:rPr>
        <w:t>This idea, rooted in the Reggio Emilia philosophy, reshapes the environment as the 'third teacher', a partner in the learning process. The outdoor area, in particular, extends the classroom. It offers possibilities that are difficult to reproduce indoors. Unlike the classroom, the open area provides the opportunity for children to take risks, freedom of movement, and access to natural materials that change with the seasons. It invites curiosity, exploration, and wonder. Therefore, when we talk about curriculum change or strengthening a play-based approach, we not only need to ask what children learn, but also where and how. Because when an area speaks, children respond with imagination, engagement and deep learning.</w:t>
      </w:r>
    </w:p>
    <w:p w14:paraId="11012405" w14:textId="77777777" w:rsidR="00630EB3" w:rsidRPr="00630EB3" w:rsidRDefault="00630EB3" w:rsidP="00630EB3">
      <w:pPr>
        <w:rPr>
          <w:lang w:val="en"/>
        </w:rPr>
      </w:pPr>
      <w:r w:rsidRPr="00630EB3">
        <w:rPr>
          <w:lang w:val="en"/>
        </w:rPr>
        <w:t>The Learning Environment as a co-teacher</w:t>
      </w:r>
    </w:p>
    <w:p w14:paraId="73CF917B" w14:textId="77777777" w:rsidR="00630EB3" w:rsidRPr="00630EB3" w:rsidRDefault="00630EB3" w:rsidP="00630EB3">
      <w:pPr>
        <w:rPr>
          <w:lang w:val="en"/>
        </w:rPr>
      </w:pPr>
      <w:r w:rsidRPr="00630EB3">
        <w:rPr>
          <w:lang w:val="en"/>
        </w:rPr>
        <w:t xml:space="preserve">Very often, we refer to pedagogy as the methods teachers use to teach. We talk about strategies, lesson plans, and routines. But in a play-based approach, the pedagogy is not just interaction with adults. The pedagogy also lives in the areas themselves, in the way they are </w:t>
      </w:r>
      <w:proofErr w:type="spellStart"/>
      <w:r w:rsidRPr="00630EB3">
        <w:rPr>
          <w:lang w:val="en"/>
        </w:rPr>
        <w:t>organised</w:t>
      </w:r>
      <w:proofErr w:type="spellEnd"/>
      <w:r w:rsidRPr="00630EB3">
        <w:rPr>
          <w:lang w:val="en"/>
        </w:rPr>
        <w:t xml:space="preserve">, in the choice of materials, in the </w:t>
      </w:r>
      <w:proofErr w:type="spellStart"/>
      <w:r w:rsidRPr="00630EB3">
        <w:rPr>
          <w:lang w:val="en"/>
        </w:rPr>
        <w:t>colours</w:t>
      </w:r>
      <w:proofErr w:type="spellEnd"/>
      <w:r w:rsidRPr="00630EB3">
        <w:rPr>
          <w:lang w:val="en"/>
        </w:rPr>
        <w:t>, the textures, and in the place to move or rest. According to Hunter et al. (2023), pedagogy is not just voiced or taught, it is embedded in the areas where learning takes place.</w:t>
      </w:r>
    </w:p>
    <w:p w14:paraId="7D0D0854" w14:textId="77777777" w:rsidR="00630EB3" w:rsidRPr="00630EB3" w:rsidRDefault="00630EB3" w:rsidP="00630EB3">
      <w:r w:rsidRPr="00630EB3">
        <w:rPr>
          <w:lang w:val="en"/>
        </w:rPr>
        <w:t>This idea echoes Bronfenbrenner's ecological systems theory, The microsystem of people, places and organizations with which children engage directly shapes their daily experiences (UCL, no date). In this sense, the learning area is never neutral, it is active and influential.</w:t>
      </w:r>
    </w:p>
    <w:p w14:paraId="16F801A1" w14:textId="77777777" w:rsidR="00630EB3" w:rsidRPr="00630EB3" w:rsidRDefault="00630EB3" w:rsidP="00630EB3">
      <w:pPr>
        <w:rPr>
          <w:lang w:val="en"/>
        </w:rPr>
      </w:pPr>
      <w:r w:rsidRPr="00630EB3">
        <w:rPr>
          <w:lang w:val="en"/>
        </w:rPr>
        <w:t>What Does Your Area Say?</w:t>
      </w:r>
    </w:p>
    <w:p w14:paraId="436341F9" w14:textId="77777777" w:rsidR="00630EB3" w:rsidRPr="00630EB3" w:rsidRDefault="00630EB3" w:rsidP="00630EB3">
      <w:pPr>
        <w:rPr>
          <w:lang w:val="en"/>
        </w:rPr>
      </w:pPr>
      <w:r w:rsidRPr="00630EB3">
        <w:rPr>
          <w:lang w:val="en"/>
        </w:rPr>
        <w:lastRenderedPageBreak/>
        <w:t xml:space="preserve">Every design choice sends a message. The design, the materials, the </w:t>
      </w:r>
      <w:proofErr w:type="spellStart"/>
      <w:r w:rsidRPr="00630EB3">
        <w:rPr>
          <w:lang w:val="en"/>
        </w:rPr>
        <w:t>colours</w:t>
      </w:r>
      <w:proofErr w:type="spellEnd"/>
      <w:r w:rsidRPr="00630EB3">
        <w:rPr>
          <w:lang w:val="en"/>
        </w:rPr>
        <w:t>, the flow of the area, and even the lighting, all convey to children what is possible, what is valued, and who belongs.</w:t>
      </w:r>
    </w:p>
    <w:p w14:paraId="51E6C80B" w14:textId="77777777" w:rsidR="00630EB3" w:rsidRPr="00630EB3" w:rsidRDefault="00630EB3" w:rsidP="00630EB3">
      <w:pPr>
        <w:rPr>
          <w:lang w:val="en"/>
        </w:rPr>
      </w:pPr>
      <w:r w:rsidRPr="00630EB3">
        <w:rPr>
          <w:lang w:val="en"/>
        </w:rPr>
        <w:t xml:space="preserve">• </w:t>
      </w:r>
      <w:proofErr w:type="spellStart"/>
      <w:r w:rsidRPr="00630EB3">
        <w:rPr>
          <w:lang w:val="en"/>
        </w:rPr>
        <w:t>Colour</w:t>
      </w:r>
      <w:proofErr w:type="spellEnd"/>
      <w:r w:rsidRPr="00630EB3">
        <w:rPr>
          <w:lang w:val="en"/>
        </w:rPr>
        <w:t>: As Kensington (2024) points out, blue and green promote calm and focus, while red and yellow are more energetic, or over-stimulating depending on intensity.</w:t>
      </w:r>
    </w:p>
    <w:p w14:paraId="1D953EFE" w14:textId="77777777" w:rsidR="00630EB3" w:rsidRPr="00630EB3" w:rsidRDefault="00630EB3" w:rsidP="00630EB3">
      <w:pPr>
        <w:rPr>
          <w:lang w:val="en"/>
        </w:rPr>
      </w:pPr>
      <w:r w:rsidRPr="00630EB3">
        <w:rPr>
          <w:lang w:val="en"/>
        </w:rPr>
        <w:t>• Light: Natural light supports well-being. Milosavljevic (2019) recommends layered, indirect or dimming lighting to create flexible and emotionally responsive areas.</w:t>
      </w:r>
    </w:p>
    <w:p w14:paraId="019E4675" w14:textId="77777777" w:rsidR="00630EB3" w:rsidRPr="00630EB3" w:rsidRDefault="00630EB3" w:rsidP="00630EB3">
      <w:pPr>
        <w:rPr>
          <w:lang w:val="en"/>
        </w:rPr>
      </w:pPr>
      <w:r w:rsidRPr="00630EB3">
        <w:rPr>
          <w:lang w:val="en"/>
        </w:rPr>
        <w:t>• Textures: Soft furniture reflects a feeling of security and calm, while hard materials can promote physical activity (Jones, 2021).</w:t>
      </w:r>
    </w:p>
    <w:p w14:paraId="3001A21D" w14:textId="77777777" w:rsidR="00630EB3" w:rsidRPr="00630EB3" w:rsidRDefault="00630EB3" w:rsidP="00630EB3">
      <w:r w:rsidRPr="00630EB3">
        <w:rPr>
          <w:lang w:val="en"/>
        </w:rPr>
        <w:t>• Area Plan: As Pure Cube (2024) highlights, open areas foster autonomy and creativity. Over-structured plans can limit imagination, especially in early years.</w:t>
      </w:r>
    </w:p>
    <w:p w14:paraId="281DD4F0" w14:textId="77777777" w:rsidR="00630EB3" w:rsidRPr="00630EB3" w:rsidRDefault="00630EB3" w:rsidP="00630EB3">
      <w:pPr>
        <w:rPr>
          <w:lang w:val="en"/>
        </w:rPr>
      </w:pPr>
      <w:r w:rsidRPr="00630EB3">
        <w:rPr>
          <w:lang w:val="en"/>
        </w:rPr>
        <w:t>The Risk of Over-Controlled Areas</w:t>
      </w:r>
    </w:p>
    <w:p w14:paraId="1B7EB1BD" w14:textId="77777777" w:rsidR="00630EB3" w:rsidRPr="00630EB3" w:rsidRDefault="00630EB3" w:rsidP="00630EB3">
      <w:pPr>
        <w:rPr>
          <w:lang w:val="en"/>
        </w:rPr>
      </w:pPr>
      <w:r w:rsidRPr="00630EB3">
        <w:rPr>
          <w:lang w:val="en"/>
        </w:rPr>
        <w:t xml:space="preserve">Adult-led areas, which lack sensory and cultural richness, can undermine the core principles of play-based learning. </w:t>
      </w:r>
      <w:proofErr w:type="spellStart"/>
      <w:r w:rsidRPr="00630EB3">
        <w:rPr>
          <w:lang w:val="en"/>
        </w:rPr>
        <w:t>Cikanavicius</w:t>
      </w:r>
      <w:proofErr w:type="spellEnd"/>
      <w:r w:rsidRPr="00630EB3">
        <w:rPr>
          <w:lang w:val="en"/>
        </w:rPr>
        <w:t xml:space="preserve"> (2022) warns that such areas can reduce autonomy, prevent creativity, and prevent learning while playing.</w:t>
      </w:r>
    </w:p>
    <w:p w14:paraId="66755C20" w14:textId="77777777" w:rsidR="00630EB3" w:rsidRPr="00630EB3" w:rsidRDefault="00630EB3" w:rsidP="00630EB3">
      <w:r w:rsidRPr="00630EB3">
        <w:rPr>
          <w:lang w:val="en"/>
        </w:rPr>
        <w:t>Simply put: A quiet area still speaks. And if he doesn't talk about possibility, belonging and trust, he might be telling children to sit still and follow rather than explore and create</w:t>
      </w:r>
    </w:p>
    <w:p w14:paraId="30B055AD" w14:textId="77777777" w:rsidR="00630EB3" w:rsidRPr="00630EB3" w:rsidRDefault="00630EB3" w:rsidP="00630EB3">
      <w:pPr>
        <w:rPr>
          <w:lang w:val="en"/>
        </w:rPr>
      </w:pPr>
      <w:r w:rsidRPr="00630EB3">
        <w:rPr>
          <w:lang w:val="en"/>
        </w:rPr>
        <w:t>Design with Intention, Observe with Care</w:t>
      </w:r>
    </w:p>
    <w:p w14:paraId="77D38810" w14:textId="77777777" w:rsidR="00630EB3" w:rsidRPr="00630EB3" w:rsidRDefault="00630EB3" w:rsidP="00630EB3">
      <w:pPr>
        <w:rPr>
          <w:lang w:val="en"/>
        </w:rPr>
      </w:pPr>
      <w:r w:rsidRPr="00630EB3">
        <w:rPr>
          <w:lang w:val="en"/>
        </w:rPr>
        <w:t>Creating a play-based environment is not a one-time task, it is an ongoing and responsive process that evolves alongside the children it serves (Early Education (2021).</w:t>
      </w:r>
    </w:p>
    <w:p w14:paraId="0917D330" w14:textId="77777777" w:rsidR="00630EB3" w:rsidRPr="00630EB3" w:rsidRDefault="00630EB3" w:rsidP="00630EB3">
      <w:pPr>
        <w:rPr>
          <w:lang w:val="en"/>
        </w:rPr>
      </w:pPr>
      <w:r w:rsidRPr="00630EB3">
        <w:rPr>
          <w:lang w:val="en"/>
        </w:rPr>
        <w:t>Intentional design means more than visual appeal. It means:</w:t>
      </w:r>
    </w:p>
    <w:p w14:paraId="720D9833" w14:textId="77777777" w:rsidR="00630EB3" w:rsidRPr="00630EB3" w:rsidRDefault="00630EB3" w:rsidP="00630EB3">
      <w:pPr>
        <w:rPr>
          <w:lang w:val="en"/>
        </w:rPr>
      </w:pPr>
      <w:r w:rsidRPr="00630EB3">
        <w:rPr>
          <w:lang w:val="en"/>
        </w:rPr>
        <w:t>• Choose materials that invite exploration</w:t>
      </w:r>
    </w:p>
    <w:p w14:paraId="0E94CC79" w14:textId="77777777" w:rsidR="00630EB3" w:rsidRPr="00630EB3" w:rsidRDefault="00630EB3" w:rsidP="00630EB3">
      <w:pPr>
        <w:rPr>
          <w:lang w:val="en"/>
        </w:rPr>
      </w:pPr>
      <w:r w:rsidRPr="00630EB3">
        <w:rPr>
          <w:lang w:val="en"/>
        </w:rPr>
        <w:t>• Organize areas that support movement and rest</w:t>
      </w:r>
    </w:p>
    <w:p w14:paraId="7D74FFD1" w14:textId="77777777" w:rsidR="00630EB3" w:rsidRDefault="00630EB3" w:rsidP="00630EB3">
      <w:pPr>
        <w:rPr>
          <w:lang w:val="en"/>
        </w:rPr>
      </w:pPr>
      <w:r w:rsidRPr="00630EB3">
        <w:rPr>
          <w:lang w:val="en"/>
        </w:rPr>
        <w:t>• Ensure that all children see themselves reflected in the environment</w:t>
      </w:r>
    </w:p>
    <w:p w14:paraId="3EFE6904" w14:textId="77777777" w:rsidR="00630EB3" w:rsidRPr="00630EB3" w:rsidRDefault="00630EB3" w:rsidP="00630EB3">
      <w:pPr>
        <w:rPr>
          <w:lang w:val="en"/>
        </w:rPr>
      </w:pPr>
      <w:r w:rsidRPr="00630EB3">
        <w:rPr>
          <w:lang w:val="en"/>
        </w:rPr>
        <w:t>The Question to Ourselves is:</w:t>
      </w:r>
    </w:p>
    <w:p w14:paraId="410FA029" w14:textId="77777777" w:rsidR="00630EB3" w:rsidRPr="00630EB3" w:rsidRDefault="00630EB3" w:rsidP="00630EB3">
      <w:pPr>
        <w:rPr>
          <w:lang w:val="en"/>
        </w:rPr>
      </w:pPr>
      <w:r w:rsidRPr="00630EB3">
        <w:rPr>
          <w:lang w:val="en"/>
        </w:rPr>
        <w:t>Does this area encourage children to lead their own learning? Does it celebrate their ideas?</w:t>
      </w:r>
    </w:p>
    <w:p w14:paraId="0F801958" w14:textId="77777777" w:rsidR="00630EB3" w:rsidRPr="00630EB3" w:rsidRDefault="00630EB3" w:rsidP="00630EB3">
      <w:pPr>
        <w:rPr>
          <w:lang w:val="en"/>
        </w:rPr>
      </w:pPr>
      <w:r w:rsidRPr="00630EB3">
        <w:rPr>
          <w:lang w:val="en"/>
        </w:rPr>
        <w:t>If the answer is “no”, the area may be speaking in a way that does not reflect our values.</w:t>
      </w:r>
    </w:p>
    <w:p w14:paraId="4058ED48" w14:textId="77777777" w:rsidR="00630EB3" w:rsidRPr="00630EB3" w:rsidRDefault="00630EB3" w:rsidP="00630EB3">
      <w:pPr>
        <w:rPr>
          <w:lang w:val="en"/>
        </w:rPr>
      </w:pPr>
      <w:r w:rsidRPr="00630EB3">
        <w:rPr>
          <w:lang w:val="en"/>
        </w:rPr>
        <w:t>Observation is essential. The way children use an area reveals everything, what they return to, what they avoid, where collaboration flourishes or fails. Machan (no date) noted, small changes, such as a quiet corner or sensory materials, can reignite curiosity.</w:t>
      </w:r>
    </w:p>
    <w:p w14:paraId="2E93B25B" w14:textId="77777777" w:rsidR="00630EB3" w:rsidRPr="00630EB3" w:rsidRDefault="00630EB3" w:rsidP="00630EB3">
      <w:pPr>
        <w:rPr>
          <w:lang w:val="en"/>
        </w:rPr>
      </w:pPr>
      <w:r w:rsidRPr="00630EB3">
        <w:rPr>
          <w:lang w:val="en"/>
        </w:rPr>
        <w:lastRenderedPageBreak/>
        <w:t xml:space="preserve">When thoughtful design is combined with sensitive observation, the area becomes a real co-teacher. Simply put, the aim is not to create an area, but to foster a culture of possibilities. </w:t>
      </w:r>
    </w:p>
    <w:p w14:paraId="732E26AC" w14:textId="77777777" w:rsidR="00630EB3" w:rsidRPr="00630EB3" w:rsidRDefault="00630EB3" w:rsidP="00630EB3">
      <w:pPr>
        <w:rPr>
          <w:lang w:val="en"/>
        </w:rPr>
      </w:pPr>
      <w:r w:rsidRPr="00630EB3">
        <w:rPr>
          <w:lang w:val="en"/>
        </w:rPr>
        <w:t>When Area Speaks, Children Answer</w:t>
      </w:r>
    </w:p>
    <w:p w14:paraId="4C8E779D" w14:textId="77777777" w:rsidR="00630EB3" w:rsidRPr="00630EB3" w:rsidRDefault="00630EB3" w:rsidP="00630EB3">
      <w:r w:rsidRPr="00630EB3">
        <w:rPr>
          <w:lang w:val="en"/>
        </w:rPr>
        <w:t>When we consider learning areas as places that speak, we value their ability to inspire, lead and nurture. When an area has been designed with intention</w:t>
      </w:r>
    </w:p>
    <w:p w14:paraId="7FF96311" w14:textId="77777777" w:rsidR="00630EB3" w:rsidRPr="00630EB3" w:rsidRDefault="00630EB3" w:rsidP="00630EB3">
      <w:pPr>
        <w:rPr>
          <w:lang w:val="en"/>
        </w:rPr>
      </w:pPr>
      <w:r w:rsidRPr="00630EB3">
        <w:rPr>
          <w:lang w:val="en"/>
        </w:rPr>
        <w:t>real, where children's voices are heard, their interests are reflected and their needs are met, the children respond.</w:t>
      </w:r>
    </w:p>
    <w:p w14:paraId="1D5A70E0" w14:textId="77777777" w:rsidR="00630EB3" w:rsidRPr="00630EB3" w:rsidRDefault="00630EB3" w:rsidP="00630EB3">
      <w:pPr>
        <w:rPr>
          <w:lang w:val="en"/>
        </w:rPr>
      </w:pPr>
      <w:r w:rsidRPr="00630EB3">
        <w:rPr>
          <w:lang w:val="en"/>
        </w:rPr>
        <w:t>They explore deeper, take risks, create with confidence. They develop more meaningful connections with the place, with each other and with the content.</w:t>
      </w:r>
    </w:p>
    <w:p w14:paraId="31A8F1DB" w14:textId="77777777" w:rsidR="00630EB3" w:rsidRPr="00630EB3" w:rsidRDefault="00630EB3" w:rsidP="00630EB3">
      <w:pPr>
        <w:rPr>
          <w:lang w:val="en"/>
        </w:rPr>
      </w:pPr>
      <w:r w:rsidRPr="00630EB3">
        <w:rPr>
          <w:lang w:val="en"/>
        </w:rPr>
        <w:t>On the other hand, when areas cannot speak the language of trust and potential, children can feel disloyal, insecure or indifferent. This is detrimental to playful learning, to emotional development, and to a child's natural creativity.</w:t>
      </w:r>
    </w:p>
    <w:p w14:paraId="3953260A" w14:textId="77777777" w:rsidR="00630EB3" w:rsidRPr="00630EB3" w:rsidRDefault="00630EB3" w:rsidP="00630EB3">
      <w:pPr>
        <w:rPr>
          <w:lang w:val="en"/>
        </w:rPr>
      </w:pPr>
      <w:r w:rsidRPr="00630EB3">
        <w:rPr>
          <w:lang w:val="en"/>
        </w:rPr>
        <w:t>Simply put, the aim is not to create an area, but to foster a culture of possibilities.</w:t>
      </w:r>
    </w:p>
    <w:p w14:paraId="45E73269" w14:textId="77777777" w:rsidR="00630EB3" w:rsidRPr="00630EB3" w:rsidRDefault="00630EB3" w:rsidP="00630EB3">
      <w:pPr>
        <w:rPr>
          <w:lang w:val="en"/>
        </w:rPr>
      </w:pPr>
      <w:r w:rsidRPr="00630EB3">
        <w:rPr>
          <w:lang w:val="en"/>
        </w:rPr>
        <w:t>When every detail from the color of the walls to the position of the blocks is considered as part of the learning journey, the environment goes beyond being a background. He becomes a fellow teacher, sharing the same ambition as the practitioners: to nurture curious, confident and imaginative children.</w:t>
      </w:r>
    </w:p>
    <w:p w14:paraId="5185CBBF" w14:textId="77777777" w:rsidR="00630EB3" w:rsidRPr="00630EB3" w:rsidRDefault="00630EB3" w:rsidP="00630EB3">
      <w:r w:rsidRPr="00630EB3">
        <w:rPr>
          <w:lang w:val="en"/>
        </w:rPr>
        <w:t>And when an area speaks, children respond.</w:t>
      </w:r>
    </w:p>
    <w:p w14:paraId="53B05626" w14:textId="77777777" w:rsidR="00630EB3" w:rsidRPr="00630EB3" w:rsidRDefault="00630EB3" w:rsidP="00630EB3"/>
    <w:p w14:paraId="743B1027" w14:textId="77777777" w:rsidR="003E2F0E" w:rsidRDefault="003E2F0E"/>
    <w:sectPr w:rsidR="003E2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EB3"/>
    <w:rsid w:val="003E2F0E"/>
    <w:rsid w:val="00630EB3"/>
    <w:rsid w:val="0079764B"/>
    <w:rsid w:val="00F569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E9ACC"/>
  <w15:chartTrackingRefBased/>
  <w15:docId w15:val="{79D6F5F4-AEBD-49CB-A7CF-A3D4115D1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E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E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0E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E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E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E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E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E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E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E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E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0E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E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E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E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E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E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EB3"/>
    <w:rPr>
      <w:rFonts w:eastAsiaTheme="majorEastAsia" w:cstheme="majorBidi"/>
      <w:color w:val="272727" w:themeColor="text1" w:themeTint="D8"/>
    </w:rPr>
  </w:style>
  <w:style w:type="paragraph" w:styleId="Title">
    <w:name w:val="Title"/>
    <w:basedOn w:val="Normal"/>
    <w:next w:val="Normal"/>
    <w:link w:val="TitleChar"/>
    <w:uiPriority w:val="10"/>
    <w:qFormat/>
    <w:rsid w:val="00630E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E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E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E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EB3"/>
    <w:pPr>
      <w:spacing w:before="160"/>
      <w:jc w:val="center"/>
    </w:pPr>
    <w:rPr>
      <w:i/>
      <w:iCs/>
      <w:color w:val="404040" w:themeColor="text1" w:themeTint="BF"/>
    </w:rPr>
  </w:style>
  <w:style w:type="character" w:customStyle="1" w:styleId="QuoteChar">
    <w:name w:val="Quote Char"/>
    <w:basedOn w:val="DefaultParagraphFont"/>
    <w:link w:val="Quote"/>
    <w:uiPriority w:val="29"/>
    <w:rsid w:val="00630EB3"/>
    <w:rPr>
      <w:i/>
      <w:iCs/>
      <w:color w:val="404040" w:themeColor="text1" w:themeTint="BF"/>
    </w:rPr>
  </w:style>
  <w:style w:type="paragraph" w:styleId="ListParagraph">
    <w:name w:val="List Paragraph"/>
    <w:basedOn w:val="Normal"/>
    <w:uiPriority w:val="34"/>
    <w:qFormat/>
    <w:rsid w:val="00630EB3"/>
    <w:pPr>
      <w:ind w:left="720"/>
      <w:contextualSpacing/>
    </w:pPr>
  </w:style>
  <w:style w:type="character" w:styleId="IntenseEmphasis">
    <w:name w:val="Intense Emphasis"/>
    <w:basedOn w:val="DefaultParagraphFont"/>
    <w:uiPriority w:val="21"/>
    <w:qFormat/>
    <w:rsid w:val="00630EB3"/>
    <w:rPr>
      <w:i/>
      <w:iCs/>
      <w:color w:val="0F4761" w:themeColor="accent1" w:themeShade="BF"/>
    </w:rPr>
  </w:style>
  <w:style w:type="paragraph" w:styleId="IntenseQuote">
    <w:name w:val="Intense Quote"/>
    <w:basedOn w:val="Normal"/>
    <w:next w:val="Normal"/>
    <w:link w:val="IntenseQuoteChar"/>
    <w:uiPriority w:val="30"/>
    <w:qFormat/>
    <w:rsid w:val="00630E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EB3"/>
    <w:rPr>
      <w:i/>
      <w:iCs/>
      <w:color w:val="0F4761" w:themeColor="accent1" w:themeShade="BF"/>
    </w:rPr>
  </w:style>
  <w:style w:type="character" w:styleId="IntenseReference">
    <w:name w:val="Intense Reference"/>
    <w:basedOn w:val="DefaultParagraphFont"/>
    <w:uiPriority w:val="32"/>
    <w:qFormat/>
    <w:rsid w:val="00630EB3"/>
    <w:rPr>
      <w:b/>
      <w:bCs/>
      <w:smallCaps/>
      <w:color w:val="0F4761" w:themeColor="accent1" w:themeShade="BF"/>
      <w:spacing w:val="5"/>
    </w:rPr>
  </w:style>
  <w:style w:type="paragraph" w:styleId="NormalWeb">
    <w:name w:val="Normal (Web)"/>
    <w:basedOn w:val="Normal"/>
    <w:uiPriority w:val="99"/>
    <w:unhideWhenUsed/>
    <w:rsid w:val="00630E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30E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74876">
      <w:bodyDiv w:val="1"/>
      <w:marLeft w:val="0"/>
      <w:marRight w:val="0"/>
      <w:marTop w:val="0"/>
      <w:marBottom w:val="0"/>
      <w:divBdr>
        <w:top w:val="none" w:sz="0" w:space="0" w:color="auto"/>
        <w:left w:val="none" w:sz="0" w:space="0" w:color="auto"/>
        <w:bottom w:val="none" w:sz="0" w:space="0" w:color="auto"/>
        <w:right w:val="none" w:sz="0" w:space="0" w:color="auto"/>
      </w:divBdr>
    </w:div>
    <w:div w:id="70350124">
      <w:bodyDiv w:val="1"/>
      <w:marLeft w:val="0"/>
      <w:marRight w:val="0"/>
      <w:marTop w:val="0"/>
      <w:marBottom w:val="0"/>
      <w:divBdr>
        <w:top w:val="none" w:sz="0" w:space="0" w:color="auto"/>
        <w:left w:val="none" w:sz="0" w:space="0" w:color="auto"/>
        <w:bottom w:val="none" w:sz="0" w:space="0" w:color="auto"/>
        <w:right w:val="none" w:sz="0" w:space="0" w:color="auto"/>
      </w:divBdr>
    </w:div>
    <w:div w:id="131219926">
      <w:bodyDiv w:val="1"/>
      <w:marLeft w:val="0"/>
      <w:marRight w:val="0"/>
      <w:marTop w:val="0"/>
      <w:marBottom w:val="0"/>
      <w:divBdr>
        <w:top w:val="none" w:sz="0" w:space="0" w:color="auto"/>
        <w:left w:val="none" w:sz="0" w:space="0" w:color="auto"/>
        <w:bottom w:val="none" w:sz="0" w:space="0" w:color="auto"/>
        <w:right w:val="none" w:sz="0" w:space="0" w:color="auto"/>
      </w:divBdr>
    </w:div>
    <w:div w:id="231742425">
      <w:bodyDiv w:val="1"/>
      <w:marLeft w:val="0"/>
      <w:marRight w:val="0"/>
      <w:marTop w:val="0"/>
      <w:marBottom w:val="0"/>
      <w:divBdr>
        <w:top w:val="none" w:sz="0" w:space="0" w:color="auto"/>
        <w:left w:val="none" w:sz="0" w:space="0" w:color="auto"/>
        <w:bottom w:val="none" w:sz="0" w:space="0" w:color="auto"/>
        <w:right w:val="none" w:sz="0" w:space="0" w:color="auto"/>
      </w:divBdr>
    </w:div>
    <w:div w:id="476412124">
      <w:bodyDiv w:val="1"/>
      <w:marLeft w:val="0"/>
      <w:marRight w:val="0"/>
      <w:marTop w:val="0"/>
      <w:marBottom w:val="0"/>
      <w:divBdr>
        <w:top w:val="none" w:sz="0" w:space="0" w:color="auto"/>
        <w:left w:val="none" w:sz="0" w:space="0" w:color="auto"/>
        <w:bottom w:val="none" w:sz="0" w:space="0" w:color="auto"/>
        <w:right w:val="none" w:sz="0" w:space="0" w:color="auto"/>
      </w:divBdr>
    </w:div>
    <w:div w:id="515508222">
      <w:bodyDiv w:val="1"/>
      <w:marLeft w:val="0"/>
      <w:marRight w:val="0"/>
      <w:marTop w:val="0"/>
      <w:marBottom w:val="0"/>
      <w:divBdr>
        <w:top w:val="none" w:sz="0" w:space="0" w:color="auto"/>
        <w:left w:val="none" w:sz="0" w:space="0" w:color="auto"/>
        <w:bottom w:val="none" w:sz="0" w:space="0" w:color="auto"/>
        <w:right w:val="none" w:sz="0" w:space="0" w:color="auto"/>
      </w:divBdr>
    </w:div>
    <w:div w:id="517044372">
      <w:bodyDiv w:val="1"/>
      <w:marLeft w:val="0"/>
      <w:marRight w:val="0"/>
      <w:marTop w:val="0"/>
      <w:marBottom w:val="0"/>
      <w:divBdr>
        <w:top w:val="none" w:sz="0" w:space="0" w:color="auto"/>
        <w:left w:val="none" w:sz="0" w:space="0" w:color="auto"/>
        <w:bottom w:val="none" w:sz="0" w:space="0" w:color="auto"/>
        <w:right w:val="none" w:sz="0" w:space="0" w:color="auto"/>
      </w:divBdr>
    </w:div>
    <w:div w:id="616638425">
      <w:bodyDiv w:val="1"/>
      <w:marLeft w:val="0"/>
      <w:marRight w:val="0"/>
      <w:marTop w:val="0"/>
      <w:marBottom w:val="0"/>
      <w:divBdr>
        <w:top w:val="none" w:sz="0" w:space="0" w:color="auto"/>
        <w:left w:val="none" w:sz="0" w:space="0" w:color="auto"/>
        <w:bottom w:val="none" w:sz="0" w:space="0" w:color="auto"/>
        <w:right w:val="none" w:sz="0" w:space="0" w:color="auto"/>
      </w:divBdr>
    </w:div>
    <w:div w:id="859662384">
      <w:bodyDiv w:val="1"/>
      <w:marLeft w:val="0"/>
      <w:marRight w:val="0"/>
      <w:marTop w:val="0"/>
      <w:marBottom w:val="0"/>
      <w:divBdr>
        <w:top w:val="none" w:sz="0" w:space="0" w:color="auto"/>
        <w:left w:val="none" w:sz="0" w:space="0" w:color="auto"/>
        <w:bottom w:val="none" w:sz="0" w:space="0" w:color="auto"/>
        <w:right w:val="none" w:sz="0" w:space="0" w:color="auto"/>
      </w:divBdr>
    </w:div>
    <w:div w:id="1030450959">
      <w:bodyDiv w:val="1"/>
      <w:marLeft w:val="0"/>
      <w:marRight w:val="0"/>
      <w:marTop w:val="0"/>
      <w:marBottom w:val="0"/>
      <w:divBdr>
        <w:top w:val="none" w:sz="0" w:space="0" w:color="auto"/>
        <w:left w:val="none" w:sz="0" w:space="0" w:color="auto"/>
        <w:bottom w:val="none" w:sz="0" w:space="0" w:color="auto"/>
        <w:right w:val="none" w:sz="0" w:space="0" w:color="auto"/>
      </w:divBdr>
    </w:div>
    <w:div w:id="1115902260">
      <w:bodyDiv w:val="1"/>
      <w:marLeft w:val="0"/>
      <w:marRight w:val="0"/>
      <w:marTop w:val="0"/>
      <w:marBottom w:val="0"/>
      <w:divBdr>
        <w:top w:val="none" w:sz="0" w:space="0" w:color="auto"/>
        <w:left w:val="none" w:sz="0" w:space="0" w:color="auto"/>
        <w:bottom w:val="none" w:sz="0" w:space="0" w:color="auto"/>
        <w:right w:val="none" w:sz="0" w:space="0" w:color="auto"/>
      </w:divBdr>
    </w:div>
    <w:div w:id="1347902276">
      <w:bodyDiv w:val="1"/>
      <w:marLeft w:val="0"/>
      <w:marRight w:val="0"/>
      <w:marTop w:val="0"/>
      <w:marBottom w:val="0"/>
      <w:divBdr>
        <w:top w:val="none" w:sz="0" w:space="0" w:color="auto"/>
        <w:left w:val="none" w:sz="0" w:space="0" w:color="auto"/>
        <w:bottom w:val="none" w:sz="0" w:space="0" w:color="auto"/>
        <w:right w:val="none" w:sz="0" w:space="0" w:color="auto"/>
      </w:divBdr>
    </w:div>
    <w:div w:id="1369188049">
      <w:bodyDiv w:val="1"/>
      <w:marLeft w:val="0"/>
      <w:marRight w:val="0"/>
      <w:marTop w:val="0"/>
      <w:marBottom w:val="0"/>
      <w:divBdr>
        <w:top w:val="none" w:sz="0" w:space="0" w:color="auto"/>
        <w:left w:val="none" w:sz="0" w:space="0" w:color="auto"/>
        <w:bottom w:val="none" w:sz="0" w:space="0" w:color="auto"/>
        <w:right w:val="none" w:sz="0" w:space="0" w:color="auto"/>
      </w:divBdr>
    </w:div>
    <w:div w:id="1679849929">
      <w:bodyDiv w:val="1"/>
      <w:marLeft w:val="0"/>
      <w:marRight w:val="0"/>
      <w:marTop w:val="0"/>
      <w:marBottom w:val="0"/>
      <w:divBdr>
        <w:top w:val="none" w:sz="0" w:space="0" w:color="auto"/>
        <w:left w:val="none" w:sz="0" w:space="0" w:color="auto"/>
        <w:bottom w:val="none" w:sz="0" w:space="0" w:color="auto"/>
        <w:right w:val="none" w:sz="0" w:space="0" w:color="auto"/>
      </w:divBdr>
    </w:div>
    <w:div w:id="1849826985">
      <w:bodyDiv w:val="1"/>
      <w:marLeft w:val="0"/>
      <w:marRight w:val="0"/>
      <w:marTop w:val="0"/>
      <w:marBottom w:val="0"/>
      <w:divBdr>
        <w:top w:val="none" w:sz="0" w:space="0" w:color="auto"/>
        <w:left w:val="none" w:sz="0" w:space="0" w:color="auto"/>
        <w:bottom w:val="none" w:sz="0" w:space="0" w:color="auto"/>
        <w:right w:val="none" w:sz="0" w:space="0" w:color="auto"/>
      </w:divBdr>
    </w:div>
    <w:div w:id="1857228035">
      <w:bodyDiv w:val="1"/>
      <w:marLeft w:val="0"/>
      <w:marRight w:val="0"/>
      <w:marTop w:val="0"/>
      <w:marBottom w:val="0"/>
      <w:divBdr>
        <w:top w:val="none" w:sz="0" w:space="0" w:color="auto"/>
        <w:left w:val="none" w:sz="0" w:space="0" w:color="auto"/>
        <w:bottom w:val="none" w:sz="0" w:space="0" w:color="auto"/>
        <w:right w:val="none" w:sz="0" w:space="0" w:color="auto"/>
      </w:divBdr>
    </w:div>
    <w:div w:id="1924872754">
      <w:bodyDiv w:val="1"/>
      <w:marLeft w:val="0"/>
      <w:marRight w:val="0"/>
      <w:marTop w:val="0"/>
      <w:marBottom w:val="0"/>
      <w:divBdr>
        <w:top w:val="none" w:sz="0" w:space="0" w:color="auto"/>
        <w:left w:val="none" w:sz="0" w:space="0" w:color="auto"/>
        <w:bottom w:val="none" w:sz="0" w:space="0" w:color="auto"/>
        <w:right w:val="none" w:sz="0" w:space="0" w:color="auto"/>
      </w:divBdr>
    </w:div>
    <w:div w:id="1940986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853</Words>
  <Characters>4864</Characters>
  <Application>Microsoft Office Word</Application>
  <DocSecurity>0</DocSecurity>
  <Lines>40</Lines>
  <Paragraphs>11</Paragraphs>
  <ScaleCrop>false</ScaleCrop>
  <Company>University of Wales Trinity Saint David</Company>
  <LinksUpToDate>false</LinksUpToDate>
  <CharactersWithSpaces>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2025-06-20T12:17:00Z</dcterms:created>
  <dcterms:modified xsi:type="dcterms:W3CDTF">2025-06-20T12:26:00Z</dcterms:modified>
</cp:coreProperties>
</file>