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EF2191" w:rsidRDefault="00F23A46">
      <w:pPr>
        <w:rPr>
          <w:rFonts w:ascii="Georgia" w:eastAsia="Georgia" w:hAnsi="Georgia" w:cs="Georgia"/>
          <w:color w:val="000000"/>
          <w:sz w:val="21"/>
          <w:szCs w:val="21"/>
          <w:u w:color="000000"/>
        </w:rPr>
      </w:pPr>
      <w:r>
        <w:rPr>
          <w:rFonts w:ascii="Georgia" w:eastAsia="Georgia" w:hAnsi="Georgia" w:cs="Georgia"/>
          <w:noProof/>
          <w:color w:val="000000"/>
          <w:sz w:val="21"/>
          <w:szCs w:val="21"/>
          <w:u w:color="000000"/>
        </w:rPr>
        <w:drawing>
          <wp:inline distT="0" distB="0" distL="0" distR="0" wp14:anchorId="41CE3A01" wp14:editId="07777777">
            <wp:extent cx="1908175" cy="635635"/>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8175" cy="635635"/>
                    </a:xfrm>
                    <a:prstGeom prst="rect">
                      <a:avLst/>
                    </a:prstGeom>
                    <a:noFill/>
                    <a:ln>
                      <a:noFill/>
                    </a:ln>
                    <a:effectLst/>
                  </pic:spPr>
                </pic:pic>
              </a:graphicData>
            </a:graphic>
          </wp:inline>
        </w:drawing>
      </w:r>
    </w:p>
    <w:p w14:paraId="0A37501D" w14:textId="77777777" w:rsidR="00EF2191" w:rsidRDefault="00EF2191">
      <w:pPr>
        <w:rPr>
          <w:rFonts w:ascii="Georgia" w:eastAsia="Georgia" w:hAnsi="Georgia" w:cs="Georgia"/>
          <w:color w:val="000000"/>
          <w:sz w:val="21"/>
          <w:szCs w:val="21"/>
          <w:u w:color="000000"/>
        </w:rPr>
      </w:pPr>
    </w:p>
    <w:p w14:paraId="5DAB6C7B" w14:textId="77777777" w:rsidR="00EF2191" w:rsidRDefault="00EF2191">
      <w:pPr>
        <w:rPr>
          <w:rFonts w:ascii="Georgia" w:eastAsia="Georgia" w:hAnsi="Georgia" w:cs="Georgia"/>
          <w:color w:val="000000"/>
          <w:sz w:val="21"/>
          <w:szCs w:val="21"/>
          <w:u w:color="000000"/>
        </w:rPr>
      </w:pPr>
    </w:p>
    <w:p w14:paraId="17F000BA" w14:textId="77777777" w:rsidR="00EF2191" w:rsidRDefault="00EF2191">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36332060" w14:textId="77777777" w:rsidR="00EF2191" w:rsidRDefault="00EF2191">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02EB378F" w14:textId="77777777" w:rsidR="00EF2191" w:rsidRDefault="00EF2191">
      <w:pPr>
        <w:pStyle w:val="Body"/>
        <w:rPr>
          <w:rFonts w:ascii="Arial" w:eastAsia="Arial" w:hAnsi="Arial" w:cs="Arial"/>
          <w:sz w:val="28"/>
          <w:szCs w:val="28"/>
          <w:u w:color="000000"/>
        </w:rPr>
      </w:pPr>
    </w:p>
    <w:p w14:paraId="7AB5D90B" w14:textId="77777777" w:rsidR="00EF2191" w:rsidRDefault="00EF2191">
      <w:pPr>
        <w:pStyle w:val="Heading31"/>
        <w:pBdr>
          <w:top w:val="none" w:sz="0" w:space="0" w:color="auto"/>
        </w:pBdr>
        <w:spacing w:before="0" w:after="0" w:line="240" w:lineRule="auto"/>
        <w:ind w:left="720"/>
        <w:jc w:val="center"/>
        <w:rPr>
          <w:rFonts w:ascii="Tahoma Bold" w:eastAsia="Tahoma Bold" w:hAnsi="Tahoma Bold" w:cs="Tahoma Bold"/>
          <w:spacing w:val="0"/>
          <w:sz w:val="20"/>
          <w:szCs w:val="20"/>
          <w:u w:color="000000"/>
        </w:rPr>
      </w:pPr>
      <w:r>
        <w:rPr>
          <w:rFonts w:ascii="Tahoma Bold" w:hAnsi="Tahoma Bold"/>
          <w:spacing w:val="0"/>
          <w:sz w:val="20"/>
          <w:szCs w:val="20"/>
          <w:u w:color="000000"/>
        </w:rPr>
        <w:t xml:space="preserve">THIS SHEET MUST BE THE FIRST PAGE OF THE ASSIGNMENT YOU ARE </w:t>
      </w:r>
      <w:proofErr w:type="gramStart"/>
      <w:r>
        <w:rPr>
          <w:rFonts w:ascii="Tahoma Bold" w:hAnsi="Tahoma Bold"/>
          <w:spacing w:val="0"/>
          <w:sz w:val="20"/>
          <w:szCs w:val="20"/>
          <w:u w:color="000000"/>
        </w:rPr>
        <w:t>SUBMITTING  (</w:t>
      </w:r>
      <w:proofErr w:type="gramEnd"/>
      <w:r>
        <w:rPr>
          <w:rFonts w:ascii="Tahoma Bold" w:hAnsi="Tahoma Bold"/>
          <w:spacing w:val="0"/>
          <w:sz w:val="20"/>
          <w:szCs w:val="20"/>
          <w:u w:color="000000"/>
        </w:rPr>
        <w:t>DO NOT SEND AS A SEPARATE FILE)</w:t>
      </w:r>
    </w:p>
    <w:p w14:paraId="6A05A809" w14:textId="77777777" w:rsidR="00EF2191" w:rsidRDefault="00EF2191">
      <w:pPr>
        <w:pStyle w:val="Heading31"/>
        <w:pBdr>
          <w:top w:val="none" w:sz="0" w:space="0" w:color="auto"/>
        </w:pBdr>
        <w:spacing w:before="0" w:after="0" w:line="240" w:lineRule="auto"/>
        <w:ind w:left="720"/>
        <w:jc w:val="center"/>
        <w:rPr>
          <w:rFonts w:ascii="Trebuchet MS" w:eastAsia="Trebuchet MS" w:hAnsi="Trebuchet MS" w:cs="Trebuchet MS"/>
          <w:b/>
          <w:bCs/>
          <w:spacing w:val="0"/>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EF2191" w14:paraId="23DD42A7" w14:textId="77777777" w:rsidTr="13018281">
        <w:trPr>
          <w:cantSplit/>
          <w:trHeight w:val="454"/>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4613A18E" w14:textId="77777777" w:rsidR="00EF2191" w:rsidRDefault="00EF2191">
            <w:pPr>
              <w:ind w:right="34"/>
            </w:pPr>
            <w:r>
              <w:rPr>
                <w:rFonts w:ascii="Arial" w:eastAsia="Arial Unicode MS" w:hAnsi="Arial" w:cs="Arial Unicode MS"/>
                <w:b/>
                <w:bCs/>
                <w:color w:val="000000"/>
                <w:sz w:val="22"/>
                <w:szCs w:val="22"/>
                <w:u w:color="000000"/>
              </w:rPr>
              <w:t>For completion by the student</w:t>
            </w:r>
            <w:r>
              <w:rPr>
                <w:rFonts w:ascii="Arial" w:eastAsia="Arial Unicode MS" w:hAnsi="Arial" w:cs="Arial Unicode MS"/>
                <w:color w:val="000000"/>
                <w:sz w:val="22"/>
                <w:szCs w:val="22"/>
                <w:u w:color="000000"/>
              </w:rPr>
              <w:t>:</w:t>
            </w:r>
          </w:p>
        </w:tc>
      </w:tr>
      <w:tr w:rsidR="00EF2191" w14:paraId="3D06AF7D" w14:textId="77777777" w:rsidTr="13018281">
        <w:trPr>
          <w:cantSplit/>
          <w:trHeight w:val="558"/>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07785F1F" w14:textId="11ABCA17" w:rsidR="00EF2191" w:rsidRDefault="00EF2191" w:rsidP="00A54874">
            <w:pPr>
              <w:ind w:right="34"/>
            </w:pPr>
            <w:r w:rsidRPr="13018281">
              <w:rPr>
                <w:rFonts w:ascii="Arial" w:eastAsia="Arial Unicode MS" w:hAnsi="Arial" w:cs="Arial Unicode MS"/>
                <w:color w:val="000000" w:themeColor="text1"/>
                <w:sz w:val="22"/>
                <w:szCs w:val="22"/>
              </w:rPr>
              <w:t xml:space="preserve">Student Name: </w:t>
            </w:r>
            <w:r w:rsidR="68711E0C" w:rsidRPr="13018281">
              <w:rPr>
                <w:rFonts w:ascii="Arial" w:eastAsia="Arial Unicode MS" w:hAnsi="Arial" w:cs="Arial Unicode MS"/>
                <w:color w:val="000000" w:themeColor="text1"/>
                <w:sz w:val="22"/>
                <w:szCs w:val="22"/>
              </w:rPr>
              <w:t>Fiona Manto</w:t>
            </w:r>
          </w:p>
        </w:tc>
      </w:tr>
      <w:tr w:rsidR="00EF2191" w14:paraId="245E02C5" w14:textId="77777777" w:rsidTr="13018281">
        <w:trPr>
          <w:cantSplit/>
          <w:trHeight w:val="1443"/>
          <w:jc w:val="center"/>
        </w:trPr>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4D3A827E" w14:textId="3F691277"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Module code: </w:t>
            </w:r>
            <w:r w:rsidR="00A54874" w:rsidRPr="13018281">
              <w:rPr>
                <w:rFonts w:ascii="Arial" w:eastAsia="Arial Unicode MS" w:hAnsi="Arial" w:cs="Arial Unicode MS"/>
                <w:color w:val="000000" w:themeColor="text1"/>
                <w:sz w:val="22"/>
                <w:szCs w:val="22"/>
              </w:rPr>
              <w:t xml:space="preserve"> </w:t>
            </w:r>
            <w:r w:rsidR="011C5E41" w:rsidRPr="13018281">
              <w:rPr>
                <w:rFonts w:ascii="Arial" w:eastAsia="Arial Unicode MS" w:hAnsi="Arial" w:cs="Arial Unicode MS"/>
                <w:color w:val="000000" w:themeColor="text1"/>
                <w:sz w:val="22"/>
                <w:szCs w:val="22"/>
              </w:rPr>
              <w:t>HPCA7023</w:t>
            </w:r>
          </w:p>
          <w:p w14:paraId="5A39BBE3" w14:textId="77777777" w:rsidR="00EF2191" w:rsidRDefault="00EF2191">
            <w:pPr>
              <w:ind w:right="34"/>
              <w:rPr>
                <w:rFonts w:ascii="Arial" w:eastAsia="Arial" w:hAnsi="Arial" w:cs="Arial"/>
                <w:color w:val="000000"/>
                <w:sz w:val="22"/>
                <w:szCs w:val="22"/>
                <w:u w:color="000000"/>
              </w:rPr>
            </w:pPr>
          </w:p>
          <w:p w14:paraId="751B4AB8" w14:textId="639EDE8A"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Module title: </w:t>
            </w:r>
            <w:r w:rsidR="00A54874" w:rsidRPr="13018281">
              <w:rPr>
                <w:rFonts w:ascii="Arial" w:eastAsia="Arial Unicode MS" w:hAnsi="Arial" w:cs="Arial Unicode MS"/>
                <w:color w:val="000000" w:themeColor="text1"/>
                <w:sz w:val="22"/>
                <w:szCs w:val="22"/>
              </w:rPr>
              <w:t xml:space="preserve"> </w:t>
            </w:r>
            <w:r w:rsidR="540C8B4B" w:rsidRPr="13018281">
              <w:rPr>
                <w:rFonts w:ascii="Arial" w:eastAsia="Arial Unicode MS" w:hAnsi="Arial" w:cs="Arial Unicode MS"/>
                <w:color w:val="000000" w:themeColor="text1"/>
                <w:sz w:val="22"/>
                <w:szCs w:val="22"/>
              </w:rPr>
              <w:t>Ecology and Spirituality</w:t>
            </w:r>
          </w:p>
          <w:p w14:paraId="41C8F396" w14:textId="77777777" w:rsidR="00EF2191" w:rsidRDefault="00EF2191">
            <w:pPr>
              <w:ind w:right="34"/>
            </w:pPr>
          </w:p>
        </w:tc>
        <w:tc>
          <w:tcPr>
            <w:tcW w:w="226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52B67C2A" w14:textId="6C43A624" w:rsidR="00EF2191" w:rsidRDefault="00EF2191" w:rsidP="00A54874">
            <w:pPr>
              <w:ind w:right="34"/>
            </w:pPr>
            <w:r w:rsidRPr="13018281">
              <w:rPr>
                <w:rFonts w:ascii="Arial" w:eastAsia="Arial Unicode MS" w:hAnsi="Arial" w:cs="Arial Unicode MS"/>
                <w:color w:val="000000" w:themeColor="text1"/>
                <w:sz w:val="22"/>
                <w:szCs w:val="22"/>
              </w:rPr>
              <w:t xml:space="preserve">Student ID number: </w:t>
            </w:r>
          </w:p>
          <w:p w14:paraId="09E51FBB" w14:textId="733494CB" w:rsidR="00EF2191" w:rsidRDefault="1934D6EF" w:rsidP="00A54874">
            <w:pPr>
              <w:ind w:right="34"/>
            </w:pPr>
            <w:r w:rsidRPr="13018281">
              <w:rPr>
                <w:rFonts w:ascii="Arial" w:eastAsia="Arial Unicode MS" w:hAnsi="Arial" w:cs="Arial Unicode MS"/>
                <w:color w:val="000000" w:themeColor="text1"/>
                <w:sz w:val="22"/>
                <w:szCs w:val="22"/>
              </w:rPr>
              <w:t>2115803</w:t>
            </w:r>
          </w:p>
        </w:tc>
        <w:tc>
          <w:tcPr>
            <w:tcW w:w="1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07F419E4" w14:textId="77777777" w:rsidR="00EF2191" w:rsidRDefault="00EF2191">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Educational support needs:</w:t>
            </w:r>
          </w:p>
          <w:p w14:paraId="2FE437C0" w14:textId="61429892" w:rsidR="00EF2191" w:rsidRDefault="00EF2191">
            <w:pPr>
              <w:ind w:right="34"/>
            </w:pPr>
            <w:r w:rsidRPr="13018281">
              <w:rPr>
                <w:rFonts w:ascii="Arial" w:eastAsia="Arial Unicode MS" w:hAnsi="Arial" w:cs="Arial Unicode MS"/>
                <w:color w:val="000000" w:themeColor="text1"/>
                <w:sz w:val="22"/>
                <w:szCs w:val="22"/>
              </w:rPr>
              <w:t>Yes/No</w:t>
            </w:r>
            <w:r w:rsidR="12B1707D" w:rsidRPr="13018281">
              <w:rPr>
                <w:rFonts w:ascii="Arial" w:eastAsia="Arial Unicode MS" w:hAnsi="Arial" w:cs="Arial Unicode MS"/>
                <w:color w:val="000000" w:themeColor="text1"/>
                <w:sz w:val="22"/>
                <w:szCs w:val="22"/>
              </w:rPr>
              <w:t xml:space="preserve"> X</w:t>
            </w:r>
          </w:p>
        </w:tc>
      </w:tr>
      <w:tr w:rsidR="00EF2191" w14:paraId="22403086" w14:textId="77777777" w:rsidTr="13018281">
        <w:trPr>
          <w:cantSplit/>
          <w:trHeight w:val="979"/>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15155F07" w14:textId="0684012F"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Module tutor: </w:t>
            </w:r>
            <w:r w:rsidR="00A54874" w:rsidRPr="13018281">
              <w:rPr>
                <w:rFonts w:ascii="Arial" w:eastAsia="Arial Unicode MS" w:hAnsi="Arial" w:cs="Arial Unicode MS"/>
                <w:color w:val="000000" w:themeColor="text1"/>
                <w:sz w:val="22"/>
                <w:szCs w:val="22"/>
              </w:rPr>
              <w:t xml:space="preserve"> </w:t>
            </w:r>
            <w:r w:rsidR="717FB0F3" w:rsidRPr="13018281">
              <w:rPr>
                <w:rFonts w:ascii="Arial" w:eastAsia="Arial Unicode MS" w:hAnsi="Arial" w:cs="Arial Unicode MS"/>
                <w:color w:val="000000" w:themeColor="text1"/>
                <w:sz w:val="22"/>
                <w:szCs w:val="22"/>
              </w:rPr>
              <w:t>Jack Hunter</w:t>
            </w:r>
          </w:p>
          <w:p w14:paraId="72A3D3EC" w14:textId="77777777" w:rsidR="00EF2191" w:rsidRDefault="00EF2191">
            <w:pPr>
              <w:ind w:right="34"/>
              <w:rPr>
                <w:rFonts w:ascii="Arial" w:eastAsia="Arial" w:hAnsi="Arial" w:cs="Arial"/>
                <w:color w:val="000000"/>
                <w:sz w:val="22"/>
                <w:szCs w:val="22"/>
                <w:u w:color="000000"/>
              </w:rPr>
            </w:pPr>
          </w:p>
          <w:p w14:paraId="0D0B940D" w14:textId="77777777" w:rsidR="00EF2191" w:rsidRDefault="00EF2191">
            <w:pPr>
              <w:ind w:right="34"/>
              <w:rPr>
                <w:rFonts w:ascii="Arial" w:eastAsia="Arial" w:hAnsi="Arial" w:cs="Arial"/>
                <w:color w:val="000000"/>
                <w:sz w:val="22"/>
                <w:szCs w:val="22"/>
                <w:u w:color="000000"/>
              </w:rPr>
            </w:pPr>
          </w:p>
          <w:p w14:paraId="2A90331C" w14:textId="124D44E3" w:rsidR="00EF2191" w:rsidRDefault="00EF2191">
            <w:pPr>
              <w:ind w:right="34"/>
            </w:pPr>
            <w:r w:rsidRPr="13018281">
              <w:rPr>
                <w:rFonts w:ascii="Arial" w:eastAsia="Arial Unicode MS" w:hAnsi="Arial" w:cs="Arial Unicode MS"/>
                <w:color w:val="000000" w:themeColor="text1"/>
                <w:sz w:val="22"/>
                <w:szCs w:val="22"/>
              </w:rPr>
              <w:t>Assignment due date:</w:t>
            </w:r>
            <w:r w:rsidR="605B5793" w:rsidRPr="13018281">
              <w:rPr>
                <w:rFonts w:ascii="Arial" w:eastAsia="Arial Unicode MS" w:hAnsi="Arial" w:cs="Arial Unicode MS"/>
                <w:color w:val="000000" w:themeColor="text1"/>
                <w:sz w:val="22"/>
                <w:szCs w:val="22"/>
              </w:rPr>
              <w:t xml:space="preserve"> 17/11/2021</w:t>
            </w:r>
          </w:p>
        </w:tc>
      </w:tr>
      <w:tr w:rsidR="00EF2191" w14:paraId="39030F72" w14:textId="77777777" w:rsidTr="13018281">
        <w:trPr>
          <w:cantSplit/>
          <w:trHeight w:val="818"/>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3FDD0B" w14:textId="77777777" w:rsidR="00EF2191" w:rsidRDefault="00EF2191">
            <w:pPr>
              <w:pStyle w:val="Body"/>
              <w:rPr>
                <w:rFonts w:ascii="Arial" w:eastAsia="Arial" w:hAnsi="Arial" w:cs="Arial"/>
                <w:u w:color="000000"/>
              </w:rPr>
            </w:pPr>
            <w:r>
              <w:rPr>
                <w:rFonts w:ascii="Arial" w:hAnsi="Arial"/>
                <w:u w:color="000000"/>
                <w:lang w:val="en-US"/>
              </w:rPr>
              <w:t xml:space="preserve">If your module has multiple </w:t>
            </w:r>
            <w:proofErr w:type="gramStart"/>
            <w:r>
              <w:rPr>
                <w:rFonts w:ascii="Arial" w:hAnsi="Arial"/>
                <w:u w:color="000000"/>
                <w:lang w:val="en-US"/>
              </w:rPr>
              <w:t>submissions</w:t>
            </w:r>
            <w:proofErr w:type="gramEnd"/>
            <w:r>
              <w:rPr>
                <w:rFonts w:ascii="Arial" w:hAnsi="Arial"/>
                <w:u w:color="000000"/>
                <w:lang w:val="en-US"/>
              </w:rPr>
              <w:t xml:space="preserve"> please indicate which piece of work this is.</w:t>
            </w:r>
          </w:p>
          <w:p w14:paraId="0E27B00A" w14:textId="77777777" w:rsidR="00EF2191" w:rsidRDefault="00EF2191">
            <w:pPr>
              <w:pStyle w:val="Body"/>
              <w:rPr>
                <w:rFonts w:ascii="Arial" w:eastAsia="Arial" w:hAnsi="Arial" w:cs="Arial"/>
                <w:u w:color="000000"/>
                <w:lang w:val="en-US"/>
              </w:rPr>
            </w:pPr>
          </w:p>
          <w:p w14:paraId="5FBC91E9" w14:textId="59367EA5" w:rsidR="00EF2191" w:rsidRDefault="00EF2191">
            <w:pPr>
              <w:pStyle w:val="Body"/>
              <w:rPr>
                <w:rFonts w:ascii="Arial" w:hAnsi="Arial"/>
                <w:lang w:val="en-US"/>
              </w:rPr>
            </w:pPr>
            <w:r w:rsidRPr="13018281">
              <w:rPr>
                <w:rFonts w:ascii="Arial" w:hAnsi="Arial"/>
                <w:lang w:val="en-US"/>
              </w:rPr>
              <w:t>1</w:t>
            </w:r>
            <w:r w:rsidRPr="13018281">
              <w:rPr>
                <w:rFonts w:ascii="Arial" w:hAnsi="Arial"/>
                <w:vertAlign w:val="superscript"/>
                <w:lang w:val="en-US"/>
              </w:rPr>
              <w:t xml:space="preserve">st </w:t>
            </w:r>
            <w:r w:rsidRPr="13018281">
              <w:rPr>
                <w:rFonts w:ascii="Arial" w:hAnsi="Arial"/>
                <w:lang w:val="en-US"/>
              </w:rPr>
              <w:t xml:space="preserve">  </w:t>
            </w:r>
            <w:r w:rsidR="6556DA45" w:rsidRPr="13018281">
              <w:rPr>
                <w:rFonts w:ascii="Arial" w:hAnsi="Arial"/>
                <w:lang w:val="en-US"/>
              </w:rPr>
              <w:t xml:space="preserve">X </w:t>
            </w:r>
            <w:r w:rsidRPr="13018281">
              <w:rPr>
                <w:rFonts w:ascii="Arial" w:hAnsi="Arial"/>
                <w:lang w:val="en-US"/>
              </w:rPr>
              <w:t xml:space="preserve">  2</w:t>
            </w:r>
            <w:r w:rsidRPr="13018281">
              <w:rPr>
                <w:rFonts w:ascii="Arial" w:hAnsi="Arial"/>
                <w:vertAlign w:val="superscript"/>
                <w:lang w:val="en-US"/>
              </w:rPr>
              <w:t>nd</w:t>
            </w:r>
            <w:r w:rsidRPr="13018281">
              <w:rPr>
                <w:rFonts w:ascii="Arial" w:hAnsi="Arial"/>
                <w:lang w:val="en-US"/>
              </w:rPr>
              <w:t xml:space="preserve">       3</w:t>
            </w:r>
            <w:r w:rsidRPr="13018281">
              <w:rPr>
                <w:rFonts w:ascii="Arial" w:hAnsi="Arial"/>
                <w:vertAlign w:val="superscript"/>
                <w:lang w:val="en-US"/>
              </w:rPr>
              <w:t>rd</w:t>
            </w:r>
            <w:r w:rsidRPr="13018281">
              <w:rPr>
                <w:rFonts w:ascii="Arial" w:hAnsi="Arial"/>
                <w:lang w:val="en-US"/>
              </w:rPr>
              <w:t xml:space="preserve">        4</w:t>
            </w:r>
            <w:r w:rsidRPr="13018281">
              <w:rPr>
                <w:rFonts w:ascii="Arial" w:hAnsi="Arial"/>
                <w:vertAlign w:val="superscript"/>
                <w:lang w:val="en-US"/>
              </w:rPr>
              <w:t>th</w:t>
            </w:r>
            <w:r w:rsidRPr="13018281">
              <w:rPr>
                <w:rFonts w:ascii="Arial" w:hAnsi="Arial"/>
                <w:lang w:val="en-US"/>
              </w:rPr>
              <w:t xml:space="preserve">       5</w:t>
            </w:r>
            <w:r w:rsidRPr="13018281">
              <w:rPr>
                <w:rFonts w:ascii="Arial" w:hAnsi="Arial"/>
                <w:vertAlign w:val="superscript"/>
                <w:lang w:val="en-US"/>
              </w:rPr>
              <w:t>th</w:t>
            </w:r>
            <w:r w:rsidRPr="13018281">
              <w:rPr>
                <w:rFonts w:ascii="Arial" w:hAnsi="Arial"/>
                <w:lang w:val="en-US"/>
              </w:rPr>
              <w:t xml:space="preserve">       6</w:t>
            </w:r>
            <w:r w:rsidRPr="13018281">
              <w:rPr>
                <w:rFonts w:ascii="Arial" w:hAnsi="Arial"/>
                <w:vertAlign w:val="superscript"/>
                <w:lang w:val="en-US"/>
              </w:rPr>
              <w:t>th</w:t>
            </w:r>
            <w:r w:rsidRPr="13018281">
              <w:rPr>
                <w:rFonts w:ascii="Arial" w:hAnsi="Arial"/>
                <w:lang w:val="en-US"/>
              </w:rPr>
              <w:t xml:space="preserve"> </w:t>
            </w:r>
          </w:p>
        </w:tc>
      </w:tr>
      <w:tr w:rsidR="00EF2191" w14:paraId="0B93204F" w14:textId="77777777" w:rsidTr="13018281">
        <w:trPr>
          <w:cantSplit/>
          <w:trHeight w:val="1537"/>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114" w:type="dxa"/>
            </w:tcMar>
          </w:tcPr>
          <w:p w14:paraId="0C02F8FB" w14:textId="77777777" w:rsidR="00EF2191" w:rsidRDefault="00EF2191">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I confirm that this is my original work and that I have adhered to the University policy on plagiarism.</w:t>
            </w:r>
          </w:p>
          <w:p w14:paraId="5C2F9C49" w14:textId="6B047393"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Signed </w:t>
            </w:r>
            <w:r w:rsidR="00A54874" w:rsidRPr="13018281">
              <w:rPr>
                <w:rFonts w:ascii="Arial" w:eastAsia="Arial Unicode MS" w:hAnsi="Arial" w:cs="Arial Unicode MS"/>
                <w:color w:val="000000" w:themeColor="text1"/>
                <w:sz w:val="22"/>
                <w:szCs w:val="22"/>
              </w:rPr>
              <w:t xml:space="preserve">(type your name </w:t>
            </w:r>
            <w:proofErr w:type="gramStart"/>
            <w:r w:rsidR="00A54874" w:rsidRPr="13018281">
              <w:rPr>
                <w:rFonts w:ascii="Arial" w:eastAsia="Arial Unicode MS" w:hAnsi="Arial" w:cs="Arial Unicode MS"/>
                <w:color w:val="000000" w:themeColor="text1"/>
                <w:sz w:val="22"/>
                <w:szCs w:val="22"/>
              </w:rPr>
              <w:t>in)</w:t>
            </w:r>
            <w:r w:rsidRPr="13018281">
              <w:rPr>
                <w:rFonts w:ascii="Arial" w:eastAsia="Arial Unicode MS" w:hAnsi="Arial" w:cs="Arial Unicode MS"/>
                <w:color w:val="000000" w:themeColor="text1"/>
                <w:sz w:val="22"/>
                <w:szCs w:val="22"/>
              </w:rPr>
              <w:t>…</w:t>
            </w:r>
            <w:proofErr w:type="gramEnd"/>
            <w:r w:rsidRPr="13018281">
              <w:rPr>
                <w:rFonts w:ascii="Arial" w:eastAsia="Arial Unicode MS" w:hAnsi="Arial" w:cs="Arial Unicode MS"/>
                <w:color w:val="000000" w:themeColor="text1"/>
                <w:sz w:val="22"/>
                <w:szCs w:val="22"/>
              </w:rPr>
              <w:t>…</w:t>
            </w:r>
            <w:r w:rsidR="323BF9E9" w:rsidRPr="13018281">
              <w:rPr>
                <w:rFonts w:ascii="Arial" w:eastAsia="Arial Unicode MS" w:hAnsi="Arial" w:cs="Arial Unicode MS"/>
                <w:color w:val="000000" w:themeColor="text1"/>
                <w:sz w:val="22"/>
                <w:szCs w:val="22"/>
              </w:rPr>
              <w:t>Fiona Manto</w:t>
            </w:r>
            <w:r w:rsidRPr="13018281">
              <w:rPr>
                <w:rFonts w:ascii="Arial" w:eastAsia="Arial Unicode MS" w:hAnsi="Arial" w:cs="Arial Unicode MS"/>
                <w:color w:val="000000" w:themeColor="text1"/>
                <w:sz w:val="22"/>
                <w:szCs w:val="22"/>
              </w:rPr>
              <w:t>…………………………………………</w:t>
            </w:r>
          </w:p>
          <w:p w14:paraId="01B1BD58" w14:textId="77777777" w:rsidR="00EF2191" w:rsidRDefault="00EF2191">
            <w:pPr>
              <w:ind w:right="34"/>
              <w:rPr>
                <w:rFonts w:ascii="Calibri" w:eastAsia="Calibri" w:hAnsi="Calibri" w:cs="Calibri"/>
                <w:b/>
                <w:bCs/>
                <w:color w:val="000000"/>
                <w:sz w:val="44"/>
                <w:szCs w:val="44"/>
                <w:u w:color="000000"/>
              </w:rPr>
            </w:pPr>
            <w:r>
              <w:rPr>
                <w:rFonts w:ascii="Calibri" w:eastAsia="Arial Unicode MS" w:hAnsi="Calibri" w:cs="Arial Unicode MS"/>
                <w:b/>
                <w:bCs/>
                <w:color w:val="000000"/>
                <w:u w:color="000000"/>
              </w:rPr>
              <w:t xml:space="preserve">Email submission: if you are submitting this form via email, please tick this box </w:t>
            </w:r>
            <w:r>
              <w:rPr>
                <w:rFonts w:ascii="Calibri" w:eastAsia="Arial Unicode MS" w:hAnsi="Calibri" w:cs="Arial Unicode MS"/>
                <w:b/>
                <w:bCs/>
                <w:color w:val="000000"/>
                <w:sz w:val="44"/>
                <w:szCs w:val="44"/>
                <w:u w:color="000000"/>
              </w:rPr>
              <w:t>□</w:t>
            </w:r>
          </w:p>
          <w:p w14:paraId="7340D80B" w14:textId="77777777" w:rsidR="00EF2191" w:rsidRDefault="00EF2191">
            <w:pPr>
              <w:ind w:right="34"/>
            </w:pPr>
            <w:r>
              <w:rPr>
                <w:rFonts w:ascii="Calibri" w:eastAsia="Arial Unicode MS" w:hAnsi="Calibri" w:cs="Arial Unicode MS"/>
                <w:b/>
                <w:bCs/>
                <w:color w:val="000000"/>
                <w:u w:color="000000"/>
              </w:rPr>
              <w:t>(</w:t>
            </w:r>
            <w:proofErr w:type="gramStart"/>
            <w:r>
              <w:rPr>
                <w:rFonts w:ascii="Calibri" w:eastAsia="Arial Unicode MS" w:hAnsi="Calibri" w:cs="Arial Unicode MS"/>
                <w:b/>
                <w:bCs/>
                <w:color w:val="000000"/>
                <w:u w:color="000000"/>
              </w:rPr>
              <w:t>as</w:t>
            </w:r>
            <w:proofErr w:type="gramEnd"/>
            <w:r>
              <w:rPr>
                <w:rFonts w:ascii="Calibri" w:eastAsia="Arial Unicode MS" w:hAnsi="Calibri" w:cs="Arial Unicode MS"/>
                <w:b/>
                <w:bCs/>
                <w:color w:val="000000"/>
                <w:u w:color="000000"/>
              </w:rPr>
              <w:t xml:space="preserve"> a substitute for your signature) to confirm that you agree to the above declaration.</w:t>
            </w:r>
          </w:p>
        </w:tc>
      </w:tr>
      <w:tr w:rsidR="00EF2191" w14:paraId="4FA77B19" w14:textId="77777777" w:rsidTr="13018281">
        <w:trPr>
          <w:cantSplit/>
          <w:trHeight w:val="3812"/>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061E4C" w14:textId="77777777" w:rsidR="00EF2191" w:rsidRDefault="00EF2191">
            <w:pPr>
              <w:pStyle w:val="Body"/>
              <w:rPr>
                <w:rFonts w:ascii="Arial" w:eastAsia="Arial" w:hAnsi="Arial" w:cs="Arial"/>
                <w:b/>
                <w:bCs/>
                <w:u w:color="000000"/>
                <w:lang w:val="en-US"/>
              </w:rPr>
            </w:pPr>
          </w:p>
          <w:p w14:paraId="4383B5F5" w14:textId="77777777" w:rsidR="00EF2191" w:rsidRDefault="00EF2191">
            <w:pPr>
              <w:pStyle w:val="Body"/>
              <w:rPr>
                <w:rFonts w:ascii="Arial" w:eastAsia="Arial" w:hAnsi="Arial" w:cs="Arial"/>
                <w:b/>
                <w:bCs/>
                <w:u w:color="000000"/>
              </w:rPr>
            </w:pPr>
            <w:r>
              <w:rPr>
                <w:rFonts w:ascii="Arial" w:hAnsi="Arial"/>
                <w:b/>
                <w:bCs/>
                <w:u w:color="000000"/>
                <w:lang w:val="en-US"/>
              </w:rPr>
              <w:t>Assignment Mark</w:t>
            </w:r>
          </w:p>
          <w:p w14:paraId="44EAFD9C" w14:textId="77777777" w:rsidR="00EF2191" w:rsidRDefault="00EF2191">
            <w:pPr>
              <w:pStyle w:val="Body"/>
              <w:rPr>
                <w:rFonts w:ascii="Arial" w:eastAsia="Arial" w:hAnsi="Arial" w:cs="Arial"/>
                <w:sz w:val="20"/>
                <w:szCs w:val="20"/>
                <w:u w:color="000000"/>
                <w:lang w:val="en-US"/>
              </w:rPr>
            </w:pPr>
          </w:p>
          <w:p w14:paraId="4A58FDC4" w14:textId="77777777" w:rsidR="00EF2191" w:rsidRDefault="00EF2191">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28127391" w14:textId="77777777" w:rsidR="00EF2191" w:rsidRDefault="00EF2191">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4B94D5A5" w14:textId="77777777" w:rsidR="00EF2191" w:rsidRDefault="00EF2191">
            <w:pPr>
              <w:ind w:left="142" w:right="34"/>
              <w:rPr>
                <w:rFonts w:ascii="Arial" w:eastAsia="Arial" w:hAnsi="Arial" w:cs="Arial"/>
                <w:b/>
                <w:bCs/>
                <w:color w:val="000000"/>
                <w:sz w:val="22"/>
                <w:szCs w:val="22"/>
                <w:u w:color="000000"/>
              </w:rPr>
            </w:pPr>
          </w:p>
          <w:p w14:paraId="6A8CC324" w14:textId="77777777" w:rsidR="00EF2191" w:rsidRDefault="00EF2191">
            <w:pPr>
              <w:ind w:left="142" w:right="34"/>
              <w:rPr>
                <w:rFonts w:ascii="Arial" w:eastAsia="Arial" w:hAnsi="Arial" w:cs="Arial"/>
                <w:color w:val="000000"/>
                <w:sz w:val="22"/>
                <w:szCs w:val="22"/>
                <w:u w:color="000000"/>
              </w:rPr>
            </w:pPr>
            <w:r>
              <w:rPr>
                <w:rFonts w:ascii="Arial" w:eastAsia="Arial Unicode MS" w:hAnsi="Arial" w:cs="Arial Unicode MS"/>
                <w:b/>
                <w:bCs/>
                <w:color w:val="000000"/>
                <w:sz w:val="22"/>
                <w:szCs w:val="22"/>
                <w:u w:color="000000"/>
              </w:rPr>
              <w:t>NB.</w:t>
            </w:r>
            <w:r>
              <w:rPr>
                <w:rFonts w:ascii="Arial" w:eastAsia="Arial Unicode MS" w:hAnsi="Arial" w:cs="Arial Unicode MS"/>
                <w:color w:val="000000"/>
                <w:sz w:val="22"/>
                <w:szCs w:val="22"/>
                <w:u w:color="000000"/>
              </w:rPr>
              <w:t xml:space="preserve">  All marks are provisional until confirmed by the Final Examination Board.</w:t>
            </w:r>
          </w:p>
          <w:p w14:paraId="3DEEC669" w14:textId="77777777" w:rsidR="00EF2191" w:rsidRDefault="00EF2191">
            <w:pPr>
              <w:rPr>
                <w:rFonts w:ascii="Arial" w:eastAsia="Arial" w:hAnsi="Arial" w:cs="Arial"/>
                <w:b/>
                <w:bCs/>
                <w:color w:val="000000"/>
                <w:sz w:val="22"/>
                <w:szCs w:val="22"/>
                <w:u w:color="000000"/>
              </w:rPr>
            </w:pPr>
          </w:p>
          <w:p w14:paraId="5450B870" w14:textId="77777777" w:rsidR="00EF2191" w:rsidRDefault="00EF2191">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PLEASE NOTE: ALL COMMENTS WIL</w:t>
            </w:r>
            <w:r w:rsidR="00A54874">
              <w:rPr>
                <w:rFonts w:ascii="Arial" w:eastAsia="Arial Unicode MS" w:hAnsi="Arial" w:cs="Arial Unicode MS"/>
                <w:b/>
                <w:bCs/>
                <w:color w:val="000000"/>
                <w:sz w:val="22"/>
                <w:szCs w:val="22"/>
                <w:u w:color="000000"/>
              </w:rPr>
              <w:t>L</w:t>
            </w:r>
            <w:r>
              <w:rPr>
                <w:rFonts w:ascii="Arial" w:eastAsia="Arial Unicode MS" w:hAnsi="Arial" w:cs="Arial Unicode MS"/>
                <w:b/>
                <w:bCs/>
                <w:color w:val="000000"/>
                <w:sz w:val="22"/>
                <w:szCs w:val="22"/>
                <w:u w:color="000000"/>
              </w:rPr>
              <w:t xml:space="preserve"> BE POSTED ON TURNITIN</w:t>
            </w:r>
          </w:p>
          <w:p w14:paraId="3656B9AB" w14:textId="77777777" w:rsidR="00EF2191" w:rsidRDefault="00EF2191">
            <w:pPr>
              <w:rPr>
                <w:rFonts w:ascii="Arial" w:eastAsia="Arial" w:hAnsi="Arial" w:cs="Arial"/>
                <w:b/>
                <w:bCs/>
                <w:color w:val="000000"/>
                <w:sz w:val="22"/>
                <w:szCs w:val="22"/>
                <w:u w:color="000000"/>
              </w:rPr>
            </w:pPr>
          </w:p>
          <w:p w14:paraId="45FB0818" w14:textId="77777777" w:rsidR="00EF2191" w:rsidRDefault="00EF2191">
            <w:pPr>
              <w:rPr>
                <w:rFonts w:ascii="Arial" w:eastAsia="Arial" w:hAnsi="Arial" w:cs="Arial"/>
                <w:b/>
                <w:bCs/>
                <w:color w:val="000000"/>
                <w:sz w:val="22"/>
                <w:szCs w:val="22"/>
                <w:u w:color="000000"/>
              </w:rPr>
            </w:pPr>
          </w:p>
          <w:p w14:paraId="60CBF7E4" w14:textId="77777777" w:rsidR="00EF2191" w:rsidRDefault="00EF2191">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 xml:space="preserve">For completion by Marker </w:t>
            </w:r>
            <w:proofErr w:type="gramStart"/>
            <w:r>
              <w:rPr>
                <w:rFonts w:ascii="Arial" w:eastAsia="Arial Unicode MS" w:hAnsi="Arial" w:cs="Arial Unicode MS"/>
                <w:b/>
                <w:bCs/>
                <w:color w:val="000000"/>
                <w:sz w:val="22"/>
                <w:szCs w:val="22"/>
                <w:u w:color="000000"/>
              </w:rPr>
              <w:t>1 :</w:t>
            </w:r>
            <w:proofErr w:type="gramEnd"/>
          </w:p>
          <w:p w14:paraId="2336B5CC" w14:textId="77777777" w:rsidR="00EF2191" w:rsidRDefault="00EF2191">
            <w:pPr>
              <w:spacing w:before="100" w:after="100"/>
            </w:pPr>
            <w:r>
              <w:rPr>
                <w:rFonts w:ascii="Arial" w:eastAsia="Arial Unicode MS" w:hAnsi="Arial" w:cs="Arial Unicode MS"/>
                <w:color w:val="000000"/>
                <w:sz w:val="22"/>
                <w:szCs w:val="22"/>
                <w:u w:color="000000"/>
              </w:rPr>
              <w:t>Comments:</w:t>
            </w:r>
          </w:p>
        </w:tc>
      </w:tr>
      <w:tr w:rsidR="00EF2191" w14:paraId="4DD8B2D3" w14:textId="77777777" w:rsidTr="13018281">
        <w:trPr>
          <w:cantSplit/>
          <w:trHeight w:val="332"/>
          <w:jc w:val="center"/>
        </w:trPr>
        <w:tc>
          <w:tcPr>
            <w:tcW w:w="6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222" w:type="dxa"/>
              <w:bottom w:w="80" w:type="dxa"/>
              <w:right w:w="114" w:type="dxa"/>
            </w:tcMar>
          </w:tcPr>
          <w:p w14:paraId="56E30209" w14:textId="77777777" w:rsidR="00EF2191" w:rsidRDefault="00EF2191">
            <w:pPr>
              <w:spacing w:before="100" w:after="100"/>
              <w:ind w:left="142" w:right="34"/>
            </w:pPr>
            <w:r>
              <w:rPr>
                <w:rFonts w:ascii="Arial" w:eastAsia="Arial Unicode MS" w:hAnsi="Arial" w:cs="Arial Unicode MS"/>
                <w:color w:val="000000"/>
                <w:sz w:val="22"/>
                <w:szCs w:val="22"/>
                <w:u w:color="000000"/>
              </w:rPr>
              <w:t>Marker’s signature:</w:t>
            </w:r>
          </w:p>
        </w:tc>
        <w:tc>
          <w:tcPr>
            <w:tcW w:w="20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222" w:type="dxa"/>
              <w:bottom w:w="80" w:type="dxa"/>
              <w:right w:w="114" w:type="dxa"/>
            </w:tcMar>
          </w:tcPr>
          <w:p w14:paraId="3101716D" w14:textId="77777777" w:rsidR="00EF2191" w:rsidRDefault="00EF2191">
            <w:pPr>
              <w:spacing w:before="100" w:after="100"/>
              <w:ind w:left="142" w:right="34"/>
            </w:pPr>
            <w:r>
              <w:rPr>
                <w:rFonts w:ascii="Arial" w:eastAsia="Arial Unicode MS" w:hAnsi="Arial" w:cs="Arial Unicode MS"/>
                <w:color w:val="000000"/>
                <w:sz w:val="22"/>
                <w:szCs w:val="22"/>
                <w:u w:color="000000"/>
              </w:rPr>
              <w:t>Date:</w:t>
            </w:r>
          </w:p>
        </w:tc>
      </w:tr>
      <w:tr w:rsidR="00EF2191" w14:paraId="53A957F2" w14:textId="77777777" w:rsidTr="13018281">
        <w:trPr>
          <w:cantSplit/>
          <w:trHeight w:val="1683"/>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9F31CB" w14:textId="77777777" w:rsidR="00EF2191" w:rsidRDefault="00EF2191">
            <w:pPr>
              <w:rPr>
                <w:rFonts w:ascii="Arial" w:eastAsia="Arial" w:hAnsi="Arial" w:cs="Arial"/>
                <w:i/>
                <w:iCs/>
                <w:color w:val="000000"/>
                <w:sz w:val="22"/>
                <w:szCs w:val="22"/>
                <w:u w:color="000000"/>
              </w:rPr>
            </w:pPr>
          </w:p>
          <w:p w14:paraId="11B613CA" w14:textId="77777777" w:rsidR="00EF2191" w:rsidRDefault="00EF2191">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For completion by Marker 2/Moderator:</w:t>
            </w:r>
          </w:p>
          <w:p w14:paraId="53128261" w14:textId="77777777" w:rsidR="00EF2191" w:rsidRDefault="00EF2191">
            <w:pPr>
              <w:rPr>
                <w:rFonts w:ascii="Arial" w:eastAsia="Arial" w:hAnsi="Arial" w:cs="Arial"/>
                <w:b/>
                <w:bCs/>
                <w:color w:val="000000"/>
                <w:sz w:val="22"/>
                <w:szCs w:val="22"/>
                <w:u w:color="000000"/>
              </w:rPr>
            </w:pPr>
          </w:p>
          <w:p w14:paraId="06E5450A" w14:textId="77777777" w:rsidR="00EF2191" w:rsidRDefault="00EF2191">
            <w:pPr>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Comments:</w:t>
            </w:r>
          </w:p>
          <w:p w14:paraId="62486C05" w14:textId="77777777" w:rsidR="00EF2191" w:rsidRDefault="00EF2191">
            <w:pPr>
              <w:rPr>
                <w:rFonts w:ascii="Arial" w:eastAsia="Arial" w:hAnsi="Arial" w:cs="Arial"/>
                <w:color w:val="000000"/>
                <w:sz w:val="22"/>
                <w:szCs w:val="22"/>
                <w:u w:color="000000"/>
              </w:rPr>
            </w:pPr>
          </w:p>
          <w:p w14:paraId="4101652C" w14:textId="77777777" w:rsidR="00EF2191" w:rsidRDefault="00EF2191"/>
        </w:tc>
      </w:tr>
      <w:tr w:rsidR="00EF2191" w14:paraId="016C99EF" w14:textId="77777777" w:rsidTr="13018281">
        <w:trPr>
          <w:cantSplit/>
          <w:trHeight w:val="560"/>
          <w:jc w:val="center"/>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99196C2" w14:textId="77777777" w:rsidR="00EF2191" w:rsidRDefault="00EF2191">
            <w:r>
              <w:rPr>
                <w:rFonts w:ascii="Arial" w:eastAsia="Arial Unicode MS" w:hAnsi="Arial" w:cs="Arial Unicode MS"/>
                <w:color w:val="000000"/>
                <w:sz w:val="22"/>
                <w:szCs w:val="22"/>
                <w:u w:color="000000"/>
              </w:rPr>
              <w:t>Marker’s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4EC514" w14:textId="77777777" w:rsidR="00EF2191" w:rsidRDefault="00EF2191">
            <w:r>
              <w:rPr>
                <w:rFonts w:ascii="Arial" w:eastAsia="Arial Unicode MS" w:hAnsi="Arial" w:cs="Arial Unicode MS"/>
                <w:color w:val="000000"/>
                <w:sz w:val="22"/>
                <w:szCs w:val="22"/>
                <w:u w:color="000000"/>
              </w:rPr>
              <w:t>Date:</w:t>
            </w:r>
          </w:p>
        </w:tc>
      </w:tr>
      <w:tr w:rsidR="00EF2191" w14:paraId="4244B0CE" w14:textId="77777777" w:rsidTr="13018281">
        <w:trPr>
          <w:cantSplit/>
          <w:trHeight w:val="2643"/>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D6F199" w14:textId="77777777" w:rsidR="00EF2191" w:rsidRDefault="00EF2191">
            <w:pPr>
              <w:pStyle w:val="Body"/>
              <w:rPr>
                <w:rFonts w:ascii="Arial" w:eastAsia="Arial" w:hAnsi="Arial" w:cs="Arial"/>
                <w:b/>
                <w:bCs/>
                <w:u w:color="000000"/>
              </w:rPr>
            </w:pPr>
            <w:r>
              <w:rPr>
                <w:rFonts w:ascii="Arial" w:hAnsi="Arial"/>
                <w:b/>
                <w:bCs/>
                <w:u w:color="000000"/>
                <w:lang w:val="en-US"/>
              </w:rPr>
              <w:t>AGREED INTERNAL MARK (where necessary):</w:t>
            </w:r>
          </w:p>
          <w:p w14:paraId="4B99056E" w14:textId="77777777" w:rsidR="00EF2191" w:rsidRDefault="00EF2191">
            <w:pPr>
              <w:pStyle w:val="Body"/>
              <w:rPr>
                <w:rFonts w:ascii="Arial" w:eastAsia="Arial" w:hAnsi="Arial" w:cs="Arial"/>
                <w:b/>
                <w:bCs/>
                <w:u w:color="000000"/>
                <w:lang w:val="en-US"/>
              </w:rPr>
            </w:pPr>
          </w:p>
          <w:p w14:paraId="1733997A" w14:textId="77777777" w:rsidR="00EF2191" w:rsidRDefault="00EF2191">
            <w:pPr>
              <w:pStyle w:val="Body"/>
              <w:rPr>
                <w:rFonts w:ascii="Arial" w:eastAsia="Arial" w:hAnsi="Arial" w:cs="Arial"/>
                <w:b/>
                <w:bCs/>
                <w:u w:color="000000"/>
              </w:rPr>
            </w:pPr>
            <w:r>
              <w:rPr>
                <w:rFonts w:ascii="Arial" w:hAnsi="Arial"/>
                <w:b/>
                <w:bCs/>
                <w:u w:color="000000"/>
                <w:lang w:val="en-US"/>
              </w:rPr>
              <w:t>Comment on process of arriving at agreed mark:</w:t>
            </w:r>
          </w:p>
          <w:p w14:paraId="1299C43A" w14:textId="77777777" w:rsidR="00EF2191" w:rsidRDefault="00EF2191">
            <w:pPr>
              <w:pStyle w:val="Body"/>
              <w:rPr>
                <w:rFonts w:ascii="Arial" w:eastAsia="Arial" w:hAnsi="Arial" w:cs="Arial"/>
                <w:b/>
                <w:bCs/>
                <w:u w:color="000000"/>
                <w:lang w:val="en-US"/>
              </w:rPr>
            </w:pPr>
          </w:p>
          <w:p w14:paraId="4DDBEF00" w14:textId="77777777" w:rsidR="00EF2191" w:rsidRDefault="00EF2191">
            <w:pPr>
              <w:pStyle w:val="Body"/>
              <w:rPr>
                <w:rFonts w:ascii="Arial" w:eastAsia="Arial" w:hAnsi="Arial" w:cs="Arial"/>
                <w:b/>
                <w:bCs/>
                <w:u w:color="000000"/>
                <w:lang w:val="en-US"/>
              </w:rPr>
            </w:pPr>
          </w:p>
          <w:p w14:paraId="3461D779" w14:textId="77777777" w:rsidR="00EF2191" w:rsidRDefault="00EF2191">
            <w:pPr>
              <w:pStyle w:val="Body"/>
              <w:rPr>
                <w:rFonts w:ascii="Arial" w:eastAsia="Arial" w:hAnsi="Arial" w:cs="Arial"/>
                <w:b/>
                <w:bCs/>
                <w:u w:color="000000"/>
                <w:lang w:val="en-US"/>
              </w:rPr>
            </w:pPr>
          </w:p>
          <w:p w14:paraId="3CF2D8B6" w14:textId="77777777" w:rsidR="00EF2191" w:rsidRDefault="00EF2191">
            <w:pPr>
              <w:pStyle w:val="Body"/>
              <w:rPr>
                <w:rFonts w:ascii="Arial" w:eastAsia="Arial" w:hAnsi="Arial" w:cs="Arial"/>
                <w:b/>
                <w:bCs/>
                <w:u w:color="000000"/>
                <w:lang w:val="en-US"/>
              </w:rPr>
            </w:pPr>
          </w:p>
          <w:p w14:paraId="0FB78278" w14:textId="77777777" w:rsidR="00EF2191" w:rsidRDefault="00EF2191">
            <w:pPr>
              <w:pStyle w:val="Body"/>
              <w:rPr>
                <w:rFonts w:ascii="Arial" w:eastAsia="Arial" w:hAnsi="Arial" w:cs="Arial"/>
                <w:b/>
                <w:bCs/>
                <w:u w:color="000000"/>
                <w:lang w:val="en-US"/>
              </w:rPr>
            </w:pPr>
          </w:p>
          <w:p w14:paraId="1FC39945" w14:textId="77777777" w:rsidR="00EF2191" w:rsidRDefault="00EF2191">
            <w:pPr>
              <w:pStyle w:val="Body"/>
              <w:rPr>
                <w:rFonts w:ascii="Arial" w:eastAsia="Arial" w:hAnsi="Arial" w:cs="Arial"/>
                <w:b/>
                <w:bCs/>
                <w:u w:color="000000"/>
                <w:lang w:val="en-US"/>
              </w:rPr>
            </w:pPr>
          </w:p>
          <w:p w14:paraId="0562CB0E" w14:textId="77777777" w:rsidR="00EF2191" w:rsidRDefault="00EF2191">
            <w:pPr>
              <w:pStyle w:val="Body"/>
              <w:rPr>
                <w:rFonts w:hint="eastAsia"/>
              </w:rPr>
            </w:pPr>
          </w:p>
        </w:tc>
      </w:tr>
      <w:tr w:rsidR="00EF2191" w14:paraId="338B3770" w14:textId="77777777" w:rsidTr="13018281">
        <w:trPr>
          <w:cantSplit/>
          <w:trHeight w:val="1923"/>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70EFFCB" w14:textId="77777777" w:rsidR="00EF2191" w:rsidRDefault="00EF2191">
            <w:pPr>
              <w:pStyle w:val="Body"/>
              <w:rPr>
                <w:rFonts w:ascii="Arial" w:eastAsia="Arial" w:hAnsi="Arial" w:cs="Arial"/>
                <w:b/>
                <w:bCs/>
                <w:u w:color="000000"/>
              </w:rPr>
            </w:pPr>
            <w:r>
              <w:rPr>
                <w:rFonts w:ascii="Arial" w:hAnsi="Arial"/>
                <w:b/>
                <w:bCs/>
                <w:u w:color="000000"/>
                <w:lang w:val="en-US"/>
              </w:rPr>
              <w:lastRenderedPageBreak/>
              <w:t>External Examiner’s comments (if relevant)</w:t>
            </w:r>
          </w:p>
          <w:p w14:paraId="34CE0A41" w14:textId="77777777" w:rsidR="00EF2191" w:rsidRDefault="00EF2191">
            <w:pPr>
              <w:rPr>
                <w:rFonts w:ascii="Arial" w:eastAsia="Arial" w:hAnsi="Arial" w:cs="Arial"/>
                <w:color w:val="000000"/>
                <w:sz w:val="22"/>
                <w:szCs w:val="22"/>
                <w:u w:color="000000"/>
              </w:rPr>
            </w:pPr>
          </w:p>
          <w:p w14:paraId="62EBF3C5" w14:textId="77777777" w:rsidR="00EF2191" w:rsidRDefault="00EF2191">
            <w:pPr>
              <w:rPr>
                <w:rFonts w:ascii="Arial" w:eastAsia="Arial" w:hAnsi="Arial" w:cs="Arial"/>
                <w:color w:val="000000"/>
                <w:sz w:val="22"/>
                <w:szCs w:val="22"/>
                <w:u w:color="000000"/>
              </w:rPr>
            </w:pPr>
          </w:p>
          <w:p w14:paraId="6D98A12B" w14:textId="77777777" w:rsidR="00EF2191" w:rsidRDefault="00EF2191">
            <w:pPr>
              <w:rPr>
                <w:rFonts w:ascii="Arial" w:eastAsia="Arial" w:hAnsi="Arial" w:cs="Arial"/>
                <w:color w:val="000000"/>
                <w:sz w:val="22"/>
                <w:szCs w:val="22"/>
                <w:u w:color="000000"/>
              </w:rPr>
            </w:pPr>
          </w:p>
          <w:p w14:paraId="2946DB82" w14:textId="77777777" w:rsidR="00EF2191" w:rsidRDefault="00EF2191">
            <w:pPr>
              <w:rPr>
                <w:rFonts w:ascii="Arial" w:eastAsia="Arial" w:hAnsi="Arial" w:cs="Arial"/>
                <w:color w:val="000000"/>
                <w:sz w:val="22"/>
                <w:szCs w:val="22"/>
                <w:u w:color="000000"/>
              </w:rPr>
            </w:pPr>
          </w:p>
          <w:p w14:paraId="5997CC1D" w14:textId="77777777" w:rsidR="00EF2191" w:rsidRDefault="00EF2191">
            <w:pPr>
              <w:rPr>
                <w:rFonts w:ascii="Arial" w:eastAsia="Arial" w:hAnsi="Arial" w:cs="Arial"/>
                <w:color w:val="000000"/>
                <w:sz w:val="22"/>
                <w:szCs w:val="22"/>
                <w:u w:color="000000"/>
              </w:rPr>
            </w:pPr>
          </w:p>
          <w:p w14:paraId="110FFD37" w14:textId="77777777" w:rsidR="00EF2191" w:rsidRDefault="00EF2191"/>
        </w:tc>
      </w:tr>
      <w:tr w:rsidR="00EF2191" w14:paraId="7674F2A5" w14:textId="77777777" w:rsidTr="13018281">
        <w:trPr>
          <w:cantSplit/>
          <w:trHeight w:val="560"/>
          <w:jc w:val="center"/>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CC8FA7" w14:textId="77777777" w:rsidR="00EF2191" w:rsidRDefault="00EF2191">
            <w:pPr>
              <w:pStyle w:val="Body"/>
              <w:rPr>
                <w:rFonts w:hint="eastAsia"/>
              </w:rPr>
            </w:pPr>
            <w:r>
              <w:rPr>
                <w:rFonts w:ascii="Arial" w:hAnsi="Arial"/>
                <w:u w:color="000000"/>
                <w:lang w:val="en-US"/>
              </w:rPr>
              <w:t>External Examiner’s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6817C5" w14:textId="77777777" w:rsidR="00EF2191" w:rsidRDefault="00EF2191">
            <w:pPr>
              <w:pStyle w:val="Body"/>
              <w:rPr>
                <w:rFonts w:hint="eastAsia"/>
              </w:rPr>
            </w:pPr>
            <w:r>
              <w:rPr>
                <w:rFonts w:ascii="Arial" w:hAnsi="Arial"/>
                <w:u w:color="000000"/>
                <w:lang w:val="en-US"/>
              </w:rPr>
              <w:t>Date:</w:t>
            </w:r>
          </w:p>
        </w:tc>
      </w:tr>
    </w:tbl>
    <w:p w14:paraId="6B699379"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3FE9F23F"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1F72F646"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08CE6F91"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61CDCEAD"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6BB9E253"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23DE523C"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1090E96C" w14:textId="77777777" w:rsidR="008865F5" w:rsidRDefault="008865F5">
      <w:pPr>
        <w:spacing w:before="240" w:after="240" w:line="360" w:lineRule="auto"/>
        <w:ind w:left="-283"/>
        <w:rPr>
          <w:b/>
        </w:rPr>
      </w:pPr>
    </w:p>
    <w:p w14:paraId="120CADA8" w14:textId="77777777" w:rsidR="008865F5" w:rsidRDefault="008865F5">
      <w:pPr>
        <w:spacing w:before="240" w:after="240" w:line="360" w:lineRule="auto"/>
        <w:ind w:left="-283"/>
        <w:rPr>
          <w:b/>
        </w:rPr>
      </w:pPr>
    </w:p>
    <w:p w14:paraId="31E0C120" w14:textId="77777777" w:rsidR="008865F5" w:rsidRDefault="008865F5">
      <w:pPr>
        <w:spacing w:before="240" w:after="240" w:line="360" w:lineRule="auto"/>
        <w:ind w:left="-283"/>
        <w:rPr>
          <w:b/>
        </w:rPr>
      </w:pPr>
    </w:p>
    <w:p w14:paraId="22344C5C" w14:textId="77777777" w:rsidR="008865F5" w:rsidRDefault="008865F5">
      <w:pPr>
        <w:spacing w:before="240" w:after="240" w:line="360" w:lineRule="auto"/>
        <w:ind w:left="-283"/>
        <w:rPr>
          <w:b/>
        </w:rPr>
      </w:pPr>
    </w:p>
    <w:p w14:paraId="0DDABBCC" w14:textId="77777777" w:rsidR="008865F5" w:rsidRDefault="008865F5">
      <w:pPr>
        <w:spacing w:before="240" w:after="240" w:line="360" w:lineRule="auto"/>
        <w:ind w:left="-283"/>
        <w:rPr>
          <w:b/>
        </w:rPr>
      </w:pPr>
    </w:p>
    <w:p w14:paraId="4AA2909C" w14:textId="77777777" w:rsidR="008865F5" w:rsidRDefault="008865F5">
      <w:pPr>
        <w:spacing w:before="240" w:after="240" w:line="360" w:lineRule="auto"/>
        <w:ind w:left="-283"/>
        <w:rPr>
          <w:b/>
        </w:rPr>
      </w:pPr>
    </w:p>
    <w:p w14:paraId="6490E401" w14:textId="77777777" w:rsidR="008865F5" w:rsidRDefault="008865F5">
      <w:pPr>
        <w:spacing w:before="240" w:after="240" w:line="360" w:lineRule="auto"/>
        <w:ind w:left="-283"/>
        <w:rPr>
          <w:b/>
        </w:rPr>
      </w:pPr>
    </w:p>
    <w:p w14:paraId="683D910B" w14:textId="77777777" w:rsidR="008865F5" w:rsidRDefault="008865F5">
      <w:pPr>
        <w:spacing w:before="240" w:after="240" w:line="360" w:lineRule="auto"/>
        <w:ind w:left="-283"/>
        <w:rPr>
          <w:b/>
        </w:rPr>
      </w:pPr>
    </w:p>
    <w:p w14:paraId="123E98F3" w14:textId="77777777" w:rsidR="008865F5" w:rsidRDefault="008865F5">
      <w:pPr>
        <w:spacing w:before="240" w:after="240" w:line="360" w:lineRule="auto"/>
        <w:ind w:left="-283"/>
        <w:rPr>
          <w:b/>
        </w:rPr>
      </w:pPr>
    </w:p>
    <w:p w14:paraId="3B38F5EB" w14:textId="77777777" w:rsidR="008865F5" w:rsidRDefault="008865F5">
      <w:pPr>
        <w:spacing w:before="240" w:after="240" w:line="360" w:lineRule="auto"/>
        <w:ind w:left="-283"/>
        <w:rPr>
          <w:b/>
        </w:rPr>
      </w:pPr>
    </w:p>
    <w:p w14:paraId="75E9B071" w14:textId="77777777" w:rsidR="008865F5" w:rsidRDefault="008865F5">
      <w:pPr>
        <w:spacing w:before="240" w:after="240" w:line="360" w:lineRule="auto"/>
        <w:ind w:left="-283"/>
        <w:rPr>
          <w:b/>
        </w:rPr>
      </w:pPr>
    </w:p>
    <w:p w14:paraId="4FB3AB31" w14:textId="77777777" w:rsidR="008865F5" w:rsidRDefault="008865F5">
      <w:pPr>
        <w:spacing w:before="240" w:after="240" w:line="360" w:lineRule="auto"/>
        <w:ind w:left="-283"/>
        <w:rPr>
          <w:b/>
        </w:rPr>
      </w:pPr>
    </w:p>
    <w:p w14:paraId="3DE3A2D4" w14:textId="77777777" w:rsidR="008865F5" w:rsidRDefault="008865F5">
      <w:pPr>
        <w:spacing w:before="240" w:after="240" w:line="360" w:lineRule="auto"/>
        <w:ind w:left="-283"/>
        <w:rPr>
          <w:b/>
        </w:rPr>
      </w:pPr>
    </w:p>
    <w:p w14:paraId="1FB50984" w14:textId="77777777" w:rsidR="008865F5" w:rsidRDefault="008865F5">
      <w:pPr>
        <w:spacing w:before="240" w:after="240" w:line="360" w:lineRule="auto"/>
        <w:ind w:left="-283"/>
        <w:rPr>
          <w:b/>
        </w:rPr>
      </w:pPr>
    </w:p>
    <w:p w14:paraId="0D849BA9" w14:textId="77777777" w:rsidR="008865F5" w:rsidRDefault="008865F5">
      <w:pPr>
        <w:spacing w:before="240" w:after="240" w:line="360" w:lineRule="auto"/>
        <w:ind w:left="-283"/>
        <w:rPr>
          <w:b/>
        </w:rPr>
      </w:pPr>
    </w:p>
    <w:p w14:paraId="4A0D0FA6" w14:textId="77777777" w:rsidR="008865F5" w:rsidRDefault="008865F5" w:rsidP="007B7F16">
      <w:pPr>
        <w:spacing w:before="240" w:after="240" w:line="360" w:lineRule="auto"/>
        <w:rPr>
          <w:b/>
        </w:rPr>
      </w:pPr>
    </w:p>
    <w:p w14:paraId="4D72165B" w14:textId="50F45FD3" w:rsidR="008865F5" w:rsidRPr="008865F5" w:rsidRDefault="008865F5">
      <w:pPr>
        <w:spacing w:before="240" w:after="240" w:line="360" w:lineRule="auto"/>
        <w:ind w:left="-283"/>
        <w:rPr>
          <w:rFonts w:ascii="Arial" w:hAnsi="Arial" w:cs="Arial"/>
        </w:rPr>
      </w:pPr>
      <w:r w:rsidRPr="008865F5">
        <w:rPr>
          <w:rFonts w:ascii="Arial" w:hAnsi="Arial" w:cs="Arial"/>
          <w:b/>
        </w:rPr>
        <w:t>A Critical Comparison of Two Secondary Sources</w:t>
      </w:r>
    </w:p>
    <w:p w14:paraId="2CD09220" w14:textId="77777777" w:rsidR="008865F5" w:rsidRPr="008865F5" w:rsidRDefault="008865F5">
      <w:pPr>
        <w:spacing w:before="240" w:after="240" w:line="360" w:lineRule="auto"/>
        <w:ind w:left="-283"/>
        <w:rPr>
          <w:rFonts w:ascii="Arial" w:hAnsi="Arial" w:cs="Arial"/>
        </w:rPr>
      </w:pPr>
    </w:p>
    <w:p w14:paraId="5882B322" w14:textId="77777777" w:rsidR="008865F5" w:rsidRPr="008865F5" w:rsidRDefault="008865F5">
      <w:pPr>
        <w:spacing w:before="240" w:after="240" w:line="360" w:lineRule="auto"/>
        <w:ind w:left="-283"/>
        <w:rPr>
          <w:rFonts w:ascii="Arial" w:hAnsi="Arial" w:cs="Arial"/>
          <w:u w:val="single"/>
        </w:rPr>
      </w:pPr>
      <w:r w:rsidRPr="008865F5">
        <w:rPr>
          <w:rFonts w:ascii="Arial" w:hAnsi="Arial" w:cs="Arial"/>
        </w:rPr>
        <w:t>This essay compares and contrasts</w:t>
      </w:r>
      <w:r w:rsidRPr="008865F5">
        <w:rPr>
          <w:rFonts w:ascii="Arial" w:hAnsi="Arial" w:cs="Arial"/>
          <w:i/>
        </w:rPr>
        <w:t xml:space="preserve"> </w:t>
      </w:r>
      <w:r w:rsidRPr="008865F5">
        <w:rPr>
          <w:rFonts w:ascii="Arial" w:hAnsi="Arial" w:cs="Arial"/>
        </w:rPr>
        <w:t xml:space="preserve">Robin Wall Kimmerer’s article ‘Weaving Technological Knowledge into Biological Education: A Call to Action’ published in 2002 in the American Institute of Biological Sciences’ journal </w:t>
      </w:r>
      <w:r w:rsidRPr="008865F5">
        <w:rPr>
          <w:rFonts w:ascii="Arial" w:hAnsi="Arial" w:cs="Arial"/>
          <w:i/>
        </w:rPr>
        <w:t>Bioscience</w:t>
      </w:r>
      <w:r w:rsidRPr="008865F5">
        <w:rPr>
          <w:rFonts w:ascii="Arial" w:hAnsi="Arial" w:cs="Arial"/>
          <w:i/>
          <w:vertAlign w:val="superscript"/>
        </w:rPr>
        <w:footnoteReference w:id="1"/>
      </w:r>
      <w:r w:rsidRPr="008865F5">
        <w:rPr>
          <w:rFonts w:ascii="Arial" w:hAnsi="Arial" w:cs="Arial"/>
          <w:i/>
        </w:rPr>
        <w:t>,</w:t>
      </w:r>
      <w:r w:rsidRPr="008865F5">
        <w:rPr>
          <w:rFonts w:ascii="Arial" w:hAnsi="Arial" w:cs="Arial"/>
        </w:rPr>
        <w:t xml:space="preserve"> with Maria Izabel Vieira Botelho, Irene Maria Cardoso and Kei Otsuki’s article ”I made a pact with God, with nature, and with myself”: exploring deep agroecology’</w:t>
      </w:r>
      <w:r w:rsidRPr="008865F5">
        <w:rPr>
          <w:rFonts w:ascii="Arial" w:hAnsi="Arial" w:cs="Arial"/>
          <w:i/>
        </w:rPr>
        <w:t xml:space="preserve"> </w:t>
      </w:r>
      <w:r w:rsidRPr="008865F5">
        <w:rPr>
          <w:rFonts w:ascii="Arial" w:hAnsi="Arial" w:cs="Arial"/>
        </w:rPr>
        <w:t xml:space="preserve">published in 2016 in </w:t>
      </w:r>
      <w:r w:rsidRPr="008865F5">
        <w:rPr>
          <w:rFonts w:ascii="Arial" w:hAnsi="Arial" w:cs="Arial"/>
          <w:i/>
        </w:rPr>
        <w:t>Agroecology and Sustainable Food Systems</w:t>
      </w:r>
      <w:r w:rsidRPr="008865F5">
        <w:rPr>
          <w:rFonts w:ascii="Arial" w:hAnsi="Arial" w:cs="Arial"/>
        </w:rPr>
        <w:t>.</w:t>
      </w:r>
      <w:r w:rsidRPr="008865F5">
        <w:rPr>
          <w:rFonts w:ascii="Arial" w:hAnsi="Arial" w:cs="Arial"/>
          <w:vertAlign w:val="superscript"/>
        </w:rPr>
        <w:footnoteReference w:id="2"/>
      </w:r>
      <w:r w:rsidRPr="008865F5">
        <w:rPr>
          <w:rFonts w:ascii="Arial" w:hAnsi="Arial" w:cs="Arial"/>
        </w:rPr>
        <w:t xml:space="preserve"> Both publications are well established and peer reviewed, making a comparison between the two articles viable and meaningful. As the subject matter of the two articles has some overlap, with both linked to aspects of indigenous or localised traditional ecological knowledge (TEK), the aim of this essay is to consider just how many similarities there are.</w:t>
      </w:r>
    </w:p>
    <w:p w14:paraId="291F1391" w14:textId="77777777" w:rsidR="008865F5" w:rsidRPr="008865F5" w:rsidRDefault="008865F5">
      <w:pPr>
        <w:spacing w:line="360" w:lineRule="auto"/>
        <w:ind w:left="-283"/>
        <w:rPr>
          <w:rFonts w:ascii="Arial" w:hAnsi="Arial" w:cs="Arial"/>
        </w:rPr>
      </w:pPr>
      <w:r w:rsidRPr="008865F5">
        <w:rPr>
          <w:rFonts w:ascii="Arial" w:hAnsi="Arial" w:cs="Arial"/>
        </w:rPr>
        <w:t>Dr Kimmerer, an enrolled member of the Citizen Potawatomi Nation, is a plant ecologist, author and Professor at the State University of New York College of Environmental Science and Forestry. She co-founded the Traditional Ecological Knowledge section of the Ecological Society of America.</w:t>
      </w:r>
      <w:r w:rsidRPr="008865F5">
        <w:rPr>
          <w:rFonts w:ascii="Arial" w:hAnsi="Arial" w:cs="Arial"/>
          <w:vertAlign w:val="superscript"/>
        </w:rPr>
        <w:footnoteReference w:id="3"/>
      </w:r>
      <w:r w:rsidRPr="008865F5">
        <w:rPr>
          <w:rFonts w:ascii="Arial" w:hAnsi="Arial" w:cs="Arial"/>
        </w:rPr>
        <w:t xml:space="preserve"> Prof Botelho is a sociologist and professor at the </w:t>
      </w:r>
      <w:r w:rsidRPr="008865F5">
        <w:rPr>
          <w:rFonts w:ascii="Arial" w:hAnsi="Arial" w:cs="Arial"/>
          <w:color w:val="1E1E1E"/>
          <w:highlight w:val="white"/>
        </w:rPr>
        <w:t xml:space="preserve">Federal University of Viçosa, Brazil, in the Department of Rural Economics. Prof Cardoso is professor of Soil Science at the same institution. </w:t>
      </w:r>
      <w:r w:rsidRPr="008865F5">
        <w:rPr>
          <w:rFonts w:ascii="Arial" w:hAnsi="Arial" w:cs="Arial"/>
        </w:rPr>
        <w:t xml:space="preserve"> Prof Otsuki is also a sociologist, currently at Utrecht University, with a special interest in the field of human geography. The interests of Botelho et al seem to be more purely scientific than those of Dr Kimmerer who appears to have a more holistic approach to her research, both scientific and humanities based, with literary awards for her nature writing alongside academic recognition for scientific papers.</w:t>
      </w:r>
    </w:p>
    <w:p w14:paraId="7E7FFADB" w14:textId="45CD509A" w:rsidR="008865F5" w:rsidRPr="008865F5" w:rsidRDefault="008865F5" w:rsidP="008865F5">
      <w:pPr>
        <w:spacing w:before="240" w:after="240" w:line="360" w:lineRule="auto"/>
        <w:ind w:left="-283"/>
        <w:jc w:val="both"/>
        <w:rPr>
          <w:rFonts w:ascii="Arial" w:hAnsi="Arial" w:cs="Arial"/>
        </w:rPr>
      </w:pPr>
      <w:r w:rsidRPr="008865F5">
        <w:rPr>
          <w:rFonts w:ascii="Arial" w:hAnsi="Arial" w:cs="Arial"/>
        </w:rPr>
        <w:t xml:space="preserve"> Kimmerer jumps straight into her article with no abstract to clearly position her argument. Her style flows well, and although much scientific detail is included, Kimmerer’s imaginative and descriptive technique in 2002 corresponds with her later, creative nonfiction writing, blending traditional indigenous storytelling with ethnobiology.</w:t>
      </w:r>
      <w:r w:rsidRPr="008865F5">
        <w:rPr>
          <w:rFonts w:ascii="Arial" w:hAnsi="Arial" w:cs="Arial"/>
          <w:vertAlign w:val="superscript"/>
        </w:rPr>
        <w:footnoteReference w:id="4"/>
      </w:r>
      <w:r w:rsidRPr="008865F5">
        <w:rPr>
          <w:rFonts w:ascii="Arial" w:hAnsi="Arial" w:cs="Arial"/>
        </w:rPr>
        <w:t xml:space="preserve"> Her presentation is aimed at academics </w:t>
      </w:r>
      <w:r w:rsidRPr="008865F5">
        <w:rPr>
          <w:rFonts w:ascii="Arial" w:hAnsi="Arial" w:cs="Arial"/>
        </w:rPr>
        <w:lastRenderedPageBreak/>
        <w:t xml:space="preserve">and the public alike, and although it was written in 2002, almost two decades ago, much of the content seems contemporary and fresh. Kimmerer includes a short academic biography at the bottom of the article’s first page. </w:t>
      </w:r>
      <w:r w:rsidRPr="008865F5">
        <w:rPr>
          <w:rFonts w:ascii="Arial" w:hAnsi="Arial" w:cs="Arial"/>
          <w:color w:val="333333"/>
        </w:rPr>
        <w:t>In contrast, Botelho et al include an abstract and their academic credentials right at the beginning of their article. From the outset, this appears to be a more scientific and quantitative paper, written for scholars in the field of agroecology. It was published in 2016, making it more contemporary than the Kimmerer article.</w:t>
      </w:r>
    </w:p>
    <w:p w14:paraId="0EC7A8EF" w14:textId="77777777" w:rsidR="008865F5" w:rsidRPr="008865F5" w:rsidRDefault="008865F5">
      <w:pPr>
        <w:spacing w:before="240" w:after="240" w:line="360" w:lineRule="auto"/>
        <w:ind w:left="-283"/>
        <w:jc w:val="both"/>
        <w:rPr>
          <w:rFonts w:ascii="Arial" w:hAnsi="Arial" w:cs="Arial"/>
          <w:color w:val="333333"/>
        </w:rPr>
      </w:pPr>
      <w:r w:rsidRPr="008865F5">
        <w:rPr>
          <w:rFonts w:ascii="Arial" w:hAnsi="Arial" w:cs="Arial"/>
          <w:color w:val="333333"/>
        </w:rPr>
        <w:t>Kimmerer opens her paper by giving some data on indigenous peoples specifically in America, but also globally, and goes on to define traditional ecological knowledge using interpretations from several sources, including her own definition of people ‘materially and spiritually integrated with their landscape’</w:t>
      </w:r>
      <w:r w:rsidRPr="008865F5">
        <w:rPr>
          <w:rFonts w:ascii="Arial" w:hAnsi="Arial" w:cs="Arial"/>
          <w:color w:val="333333"/>
          <w:vertAlign w:val="superscript"/>
        </w:rPr>
        <w:footnoteReference w:id="5"/>
      </w:r>
      <w:r w:rsidRPr="008865F5">
        <w:rPr>
          <w:rFonts w:ascii="Arial" w:hAnsi="Arial" w:cs="Arial"/>
          <w:color w:val="333333"/>
        </w:rPr>
        <w:t>, and that of Mauro and Hardison which states that TEK is ‘rational and reliable knowledge that has been developed through generations of intimate contact by native peoples with their lands’.</w:t>
      </w:r>
      <w:r w:rsidRPr="008865F5">
        <w:rPr>
          <w:rFonts w:ascii="Arial" w:hAnsi="Arial" w:cs="Arial"/>
          <w:color w:val="333333"/>
          <w:vertAlign w:val="superscript"/>
        </w:rPr>
        <w:footnoteReference w:id="6"/>
      </w:r>
      <w:r w:rsidRPr="008865F5">
        <w:rPr>
          <w:rFonts w:ascii="Arial" w:hAnsi="Arial" w:cs="Arial"/>
          <w:color w:val="333333"/>
        </w:rPr>
        <w:t xml:space="preserve"> This is a typical depiction, and there also appears to be a consensus among scholars that TEK exists alongside scientific ecological knowledge (SEK), but has been typically marginalised by scientists.</w:t>
      </w:r>
      <w:r w:rsidRPr="008865F5">
        <w:rPr>
          <w:rFonts w:ascii="Arial" w:hAnsi="Arial" w:cs="Arial"/>
          <w:color w:val="333333"/>
          <w:vertAlign w:val="superscript"/>
        </w:rPr>
        <w:footnoteReference w:id="7"/>
      </w:r>
      <w:r w:rsidRPr="008865F5">
        <w:rPr>
          <w:rFonts w:ascii="Arial" w:hAnsi="Arial" w:cs="Arial"/>
          <w:color w:val="333333"/>
        </w:rPr>
        <w:t xml:space="preserve"> Kimmerer’s aim in this work is not mentioned until the end of the first page, and with no abstract, the title of the piece is the only detail that makes clear her goal from the start: the argument that TEK has a well-founded role within more mainstream biological education. </w:t>
      </w:r>
    </w:p>
    <w:p w14:paraId="1CA89897" w14:textId="77777777" w:rsidR="008865F5" w:rsidRPr="008865F5" w:rsidRDefault="008865F5">
      <w:pPr>
        <w:spacing w:before="240" w:after="240" w:line="360" w:lineRule="auto"/>
        <w:ind w:left="-283"/>
        <w:jc w:val="both"/>
        <w:rPr>
          <w:rFonts w:ascii="Arial" w:hAnsi="Arial" w:cs="Arial"/>
          <w:color w:val="333333"/>
        </w:rPr>
      </w:pPr>
      <w:r w:rsidRPr="008865F5">
        <w:rPr>
          <w:rFonts w:ascii="Arial" w:hAnsi="Arial" w:cs="Arial"/>
          <w:color w:val="333333"/>
        </w:rPr>
        <w:t xml:space="preserve">Just as the title gives an indication of the direction of the article, sub-headings keep the article focussed and well signposted to enable the reader to follow Kimmerer’s rationale: comparing TEK with SEK, discussing why and how TEK should be included in biological education, and the positives to be found in engaging with traditional knowledge for Western and Native American students and practitioners alike. The headings are also useful to break up the narrative flow of the piece. Kimmerer ventures towards the end of the article into the appropriate use of TEK and touches on cultural appropriation, the importance of indigenous control, and warning against the possibility of exploitation. Here is where the article finishes, with no distinct conclusion to wrap everything up, which reinforces the more expressive style of the piece. There is a lack of technical jargon, and Kimmerer’s structure is clear enough for a non-specialist to follow easily. She uses secondary sources throughout from scientific peer reviewed journals and other scientific publications which help to balance her own </w:t>
      </w:r>
      <w:r w:rsidRPr="008865F5">
        <w:rPr>
          <w:rFonts w:ascii="Arial" w:hAnsi="Arial" w:cs="Arial"/>
          <w:color w:val="333333"/>
        </w:rPr>
        <w:lastRenderedPageBreak/>
        <w:t>understandable bias, being passionate about her own indigenous community and her ecological work in the TEK field. She is clearly adopting an emic approach to her study.</w:t>
      </w:r>
    </w:p>
    <w:p w14:paraId="0AF2A270" w14:textId="60CEE0FD" w:rsidR="008865F5" w:rsidRPr="008865F5" w:rsidRDefault="008865F5">
      <w:pPr>
        <w:spacing w:before="240" w:after="240" w:line="360" w:lineRule="auto"/>
        <w:ind w:left="-283"/>
        <w:jc w:val="both"/>
        <w:rPr>
          <w:rFonts w:ascii="Arial" w:hAnsi="Arial" w:cs="Arial"/>
          <w:color w:val="333333"/>
        </w:rPr>
      </w:pPr>
      <w:r w:rsidRPr="008865F5">
        <w:rPr>
          <w:rFonts w:ascii="Arial" w:hAnsi="Arial" w:cs="Arial"/>
          <w:color w:val="333333"/>
        </w:rPr>
        <w:t>The Botelho et al article in contrast adopts an etic viewpoint. It is more precise and structured than Kimmerer’s piece, with keywords, abstract, introduction, methodology, discussion, and definite conclusions, making the article more appropriate for scholarly application. Botelho’s thesis, that the technical practice of agroecology to maximise productivity while simultaneously  reducing environmental impact can, as a consequence, inspire personal religious or spiritual experiences for the humans immersed in nature, appears, despite its scientific layout, more intriguing and spiritual than the less overtly spiritual writing of Kimmerer who, although refraining from mentioning monotheistic, mainstream religion, does refer to ‘the dominant consumptive values of Western societies’</w:t>
      </w:r>
      <w:r w:rsidRPr="008865F5">
        <w:rPr>
          <w:rFonts w:ascii="Arial" w:hAnsi="Arial" w:cs="Arial"/>
          <w:color w:val="333333"/>
          <w:vertAlign w:val="superscript"/>
        </w:rPr>
        <w:footnoteReference w:id="8"/>
      </w:r>
      <w:r w:rsidRPr="008865F5">
        <w:rPr>
          <w:rFonts w:ascii="Arial" w:hAnsi="Arial" w:cs="Arial"/>
          <w:color w:val="333333"/>
        </w:rPr>
        <w:t xml:space="preserve"> which ties in with Lynn White Jr’s 1967 paper ‘The Historical Roots of Our Ecologic Crisis’ where he describes science as ‘tinctured with orthodox Christian arrogance toward nature’.</w:t>
      </w:r>
      <w:r w:rsidRPr="008865F5">
        <w:rPr>
          <w:rFonts w:ascii="Arial" w:hAnsi="Arial" w:cs="Arial"/>
          <w:color w:val="333333"/>
          <w:vertAlign w:val="superscript"/>
        </w:rPr>
        <w:footnoteReference w:id="9"/>
      </w:r>
      <w:r w:rsidRPr="008865F5">
        <w:rPr>
          <w:rFonts w:ascii="Arial" w:hAnsi="Arial" w:cs="Arial"/>
          <w:color w:val="333333"/>
        </w:rPr>
        <w:t xml:space="preserve"> </w:t>
      </w:r>
    </w:p>
    <w:p w14:paraId="194E6467" w14:textId="77777777" w:rsidR="008865F5" w:rsidRPr="008865F5" w:rsidRDefault="008865F5">
      <w:pPr>
        <w:spacing w:before="240" w:after="240" w:line="360" w:lineRule="auto"/>
        <w:ind w:left="-283"/>
        <w:jc w:val="both"/>
        <w:rPr>
          <w:rFonts w:ascii="Arial" w:hAnsi="Arial" w:cs="Arial"/>
          <w:color w:val="333333"/>
        </w:rPr>
      </w:pPr>
      <w:r w:rsidRPr="008865F5">
        <w:rPr>
          <w:rFonts w:ascii="Arial" w:hAnsi="Arial" w:cs="Arial"/>
          <w:color w:val="333333"/>
        </w:rPr>
        <w:t>Botelho’s application of subheadings again guides the reader, and the use of a map of the area of Zona da Mata helps a little in visualising the setting. While the map is somewhat helpful, it is minimalist, hard to read and lacks useful detail. With the amount of information in the article, there may have been room for more charts, maps or tables to clarify data more obviously. In contrast, the Kimmerer article includes two large, vibrant and colourful pictures which, although relevant to Native American horticulture, add very little to the discussion.</w:t>
      </w:r>
    </w:p>
    <w:p w14:paraId="6F6E825B" w14:textId="77777777" w:rsidR="008865F5" w:rsidRPr="008865F5" w:rsidRDefault="008865F5">
      <w:pPr>
        <w:spacing w:before="240" w:after="240" w:line="360" w:lineRule="auto"/>
        <w:ind w:left="-283"/>
        <w:jc w:val="both"/>
        <w:rPr>
          <w:rFonts w:ascii="Arial" w:hAnsi="Arial" w:cs="Arial"/>
          <w:color w:val="FF9900"/>
        </w:rPr>
      </w:pPr>
      <w:r w:rsidRPr="008865F5">
        <w:rPr>
          <w:rFonts w:ascii="Arial" w:hAnsi="Arial" w:cs="Arial"/>
          <w:color w:val="333333"/>
        </w:rPr>
        <w:t>In comparison to Kimmerer’s personal viewpoint, Botelho et al adopt a more systematic approach to the study of the personal experiences of Brazilian smallholders. The article reports on the importance of agroecology and also agroforestry, where crop farming is combined with tree plantation and other natural resources, for small scale farmers in Zona da Mata. It is packed with historical, sociological and political data to familiarise the reader with background information on the chronology of the introduction of the approach, which countered the large-scale and more destructive agriculture that went before. Other statistics included are climate details, altitudes and soil types, which when covered within the commentary, blending scientific detail with social and historical records, perhaps complicate the narrative, further indicating the possibility of the incorporation of more useful tables or charts.</w:t>
      </w:r>
    </w:p>
    <w:p w14:paraId="6F253F36" w14:textId="299955BF" w:rsidR="008865F5" w:rsidRPr="008865F5" w:rsidRDefault="008865F5" w:rsidP="008865F5">
      <w:pPr>
        <w:spacing w:before="240" w:after="240" w:line="360" w:lineRule="auto"/>
        <w:ind w:left="-283"/>
        <w:jc w:val="both"/>
        <w:rPr>
          <w:rFonts w:ascii="Arial" w:hAnsi="Arial" w:cs="Arial"/>
          <w:color w:val="FF0000"/>
        </w:rPr>
      </w:pPr>
      <w:r w:rsidRPr="008865F5">
        <w:rPr>
          <w:rFonts w:ascii="Arial" w:hAnsi="Arial" w:cs="Arial"/>
          <w:color w:val="333333"/>
        </w:rPr>
        <w:lastRenderedPageBreak/>
        <w:t>The methodology used to explore agroecology and its impact in Zona da Mata involved interviews with scientists, nongovernmental extension workers and the farmers themselves, which were carried out over several years. Observation of the activities of the farmers in their homes and smallholdings, being in their land over time, allowed the scientists to evaluate in depth the experience of many of these peasant farmers, although it must be noted this is only one study in one area.</w:t>
      </w:r>
      <w:r w:rsidRPr="008865F5">
        <w:rPr>
          <w:rFonts w:ascii="Arial" w:hAnsi="Arial" w:cs="Arial"/>
          <w:color w:val="FF0000"/>
        </w:rPr>
        <w:t xml:space="preserve"> </w:t>
      </w:r>
      <w:r w:rsidRPr="008865F5">
        <w:rPr>
          <w:rFonts w:ascii="Arial" w:hAnsi="Arial" w:cs="Arial"/>
          <w:color w:val="333333"/>
        </w:rPr>
        <w:t>Kimmerer’s more personal and subjective study differs in that although it draws on a range of secondary sources to back up her claim that TEK is central to the promotion of diversity within biological studies, it largely evolved from her experience in teaching environmental biology in a conventional scientific way alongside her traditional, cross-cultural instruction.</w:t>
      </w:r>
      <w:r w:rsidRPr="008865F5">
        <w:rPr>
          <w:rFonts w:ascii="Arial" w:hAnsi="Arial" w:cs="Arial"/>
          <w:color w:val="FF0000"/>
        </w:rPr>
        <w:t xml:space="preserve">  </w:t>
      </w:r>
    </w:p>
    <w:p w14:paraId="02F6F295" w14:textId="2182E000" w:rsidR="008865F5" w:rsidRPr="008865F5" w:rsidRDefault="008865F5">
      <w:pPr>
        <w:spacing w:before="240" w:after="240" w:line="360" w:lineRule="auto"/>
        <w:ind w:left="-283"/>
        <w:jc w:val="both"/>
        <w:rPr>
          <w:rFonts w:ascii="Arial" w:hAnsi="Arial" w:cs="Arial"/>
          <w:color w:val="333333"/>
        </w:rPr>
      </w:pPr>
      <w:r w:rsidRPr="008865F5">
        <w:rPr>
          <w:rFonts w:ascii="Arial" w:hAnsi="Arial" w:cs="Arial"/>
          <w:color w:val="333333"/>
        </w:rPr>
        <w:t xml:space="preserve">A noteworthy connection between the two papers can be seen when bearing in mind the history of European empires within North and South America. Botelho et al describe the non-native exploitation of the region around Zona da Mata dating back to the </w:t>
      </w:r>
      <w:r w:rsidR="00D420B8" w:rsidRPr="008865F5">
        <w:rPr>
          <w:rFonts w:ascii="Arial" w:hAnsi="Arial" w:cs="Arial"/>
          <w:color w:val="333333"/>
        </w:rPr>
        <w:t>mid-19th</w:t>
      </w:r>
      <w:r w:rsidRPr="008865F5">
        <w:rPr>
          <w:rFonts w:ascii="Arial" w:hAnsi="Arial" w:cs="Arial"/>
          <w:color w:val="333333"/>
        </w:rPr>
        <w:t xml:space="preserve"> century when the Portuguese Empire controlled the area, with migrants from the gold mining areas in Minas</w:t>
      </w:r>
      <w:r w:rsidRPr="008865F5">
        <w:rPr>
          <w:rFonts w:ascii="Arial" w:hAnsi="Arial" w:cs="Arial"/>
          <w:i/>
          <w:color w:val="333333"/>
        </w:rPr>
        <w:t xml:space="preserve"> </w:t>
      </w:r>
      <w:r w:rsidRPr="008865F5">
        <w:rPr>
          <w:rFonts w:ascii="Arial" w:hAnsi="Arial" w:cs="Arial"/>
          <w:color w:val="333333"/>
        </w:rPr>
        <w:t xml:space="preserve">Gerais moving into coffee plantations and becoming wealthy and powerful on the back of large-scale slave and land ownership. Not only was the social landscape changed with the dominion of empire, </w:t>
      </w:r>
      <w:r w:rsidR="00D420B8" w:rsidRPr="008865F5">
        <w:rPr>
          <w:rFonts w:ascii="Arial" w:hAnsi="Arial" w:cs="Arial"/>
          <w:color w:val="333333"/>
        </w:rPr>
        <w:t>but the natural landscape was also</w:t>
      </w:r>
      <w:r w:rsidRPr="008865F5">
        <w:rPr>
          <w:rFonts w:ascii="Arial" w:hAnsi="Arial" w:cs="Arial"/>
          <w:color w:val="333333"/>
        </w:rPr>
        <w:t xml:space="preserve"> changed with deforestation linked to coffee cultivation, creating soil erosion and land degradation. This is reflected in Lynn White Jr’s article ‘The Historical Roots of Our Ecologic Crisis’ when he talks about Europe as ‘small, mutually hostile nations [who] could spill out over all the rest of the world, conquering, looting, and colonizing’</w:t>
      </w:r>
      <w:r w:rsidRPr="008865F5">
        <w:rPr>
          <w:rFonts w:ascii="Arial" w:hAnsi="Arial" w:cs="Arial"/>
          <w:color w:val="333333"/>
          <w:vertAlign w:val="superscript"/>
        </w:rPr>
        <w:footnoteReference w:id="10"/>
      </w:r>
      <w:r w:rsidRPr="008865F5">
        <w:rPr>
          <w:rFonts w:ascii="Arial" w:hAnsi="Arial" w:cs="Arial"/>
          <w:color w:val="333333"/>
        </w:rPr>
        <w:t xml:space="preserve"> when examining the effect science, in combination with religion, has had on the natural world. </w:t>
      </w:r>
    </w:p>
    <w:p w14:paraId="56C4EA43" w14:textId="77777777" w:rsidR="008865F5" w:rsidRPr="008865F5" w:rsidRDefault="008865F5">
      <w:pPr>
        <w:spacing w:before="240" w:after="240" w:line="360" w:lineRule="auto"/>
        <w:ind w:left="-283"/>
        <w:jc w:val="both"/>
        <w:rPr>
          <w:rFonts w:ascii="Arial" w:hAnsi="Arial" w:cs="Arial"/>
        </w:rPr>
      </w:pPr>
      <w:r w:rsidRPr="008865F5">
        <w:rPr>
          <w:rFonts w:ascii="Arial" w:hAnsi="Arial" w:cs="Arial"/>
          <w:color w:val="333333"/>
        </w:rPr>
        <w:t>Similarly, British and Spanish colonisation of North America saw entire ethnic groups destroyed by disease and violence.</w:t>
      </w:r>
      <w:r w:rsidRPr="008865F5">
        <w:rPr>
          <w:rFonts w:ascii="Arial" w:hAnsi="Arial" w:cs="Arial"/>
          <w:color w:val="333333"/>
          <w:vertAlign w:val="superscript"/>
        </w:rPr>
        <w:footnoteReference w:id="11"/>
      </w:r>
      <w:r w:rsidRPr="008865F5">
        <w:rPr>
          <w:rFonts w:ascii="Arial" w:hAnsi="Arial" w:cs="Arial"/>
          <w:color w:val="333333"/>
        </w:rPr>
        <w:t xml:space="preserve"> Kimmerer laments the near extinction of many native languages which hold important ecological information.</w:t>
      </w:r>
      <w:r w:rsidRPr="008865F5">
        <w:rPr>
          <w:rFonts w:ascii="Arial" w:hAnsi="Arial" w:cs="Arial"/>
          <w:color w:val="333333"/>
          <w:vertAlign w:val="superscript"/>
        </w:rPr>
        <w:footnoteReference w:id="12"/>
      </w:r>
      <w:r w:rsidRPr="008865F5">
        <w:rPr>
          <w:rFonts w:ascii="Arial" w:hAnsi="Arial" w:cs="Arial"/>
          <w:color w:val="333333"/>
        </w:rPr>
        <w:t xml:space="preserve"> She names plants, fruits, seeds and natural phenomena in her book </w:t>
      </w:r>
      <w:r w:rsidRPr="008865F5">
        <w:rPr>
          <w:rFonts w:ascii="Arial" w:hAnsi="Arial" w:cs="Arial"/>
          <w:i/>
          <w:color w:val="333333"/>
        </w:rPr>
        <w:t xml:space="preserve">Braiding Sweetgrass, </w:t>
      </w:r>
      <w:r w:rsidRPr="008865F5">
        <w:rPr>
          <w:rFonts w:ascii="Arial" w:hAnsi="Arial" w:cs="Arial"/>
          <w:color w:val="333333"/>
        </w:rPr>
        <w:t>but she also reveals that ‘only 30 percent of English words are verbs, but in Potawatomi that proportion is 70 percent’.</w:t>
      </w:r>
      <w:r w:rsidRPr="008865F5">
        <w:rPr>
          <w:rFonts w:ascii="Arial" w:hAnsi="Arial" w:cs="Arial"/>
          <w:color w:val="333333"/>
          <w:vertAlign w:val="superscript"/>
        </w:rPr>
        <w:footnoteReference w:id="13"/>
      </w:r>
      <w:r w:rsidRPr="008865F5">
        <w:rPr>
          <w:rFonts w:ascii="Arial" w:hAnsi="Arial" w:cs="Arial"/>
          <w:color w:val="333333"/>
        </w:rPr>
        <w:t xml:space="preserve"> suggesting perhaps that for this indigenous tribe at least, life is experiential and active, and nature and spirituality </w:t>
      </w:r>
      <w:r w:rsidRPr="008865F5">
        <w:rPr>
          <w:rFonts w:ascii="Arial" w:hAnsi="Arial" w:cs="Arial"/>
          <w:color w:val="333333"/>
        </w:rPr>
        <w:lastRenderedPageBreak/>
        <w:t>is something that they just do as part of everyday life, as folk or vernacular religion, rather than western dogmatic faith.</w:t>
      </w:r>
      <w:r w:rsidRPr="008865F5">
        <w:rPr>
          <w:rFonts w:ascii="Arial" w:hAnsi="Arial" w:cs="Arial"/>
          <w:color w:val="333333"/>
          <w:vertAlign w:val="superscript"/>
        </w:rPr>
        <w:footnoteReference w:id="14"/>
      </w:r>
    </w:p>
    <w:p w14:paraId="5B5BE5A8" w14:textId="616D0C9D" w:rsidR="008865F5" w:rsidRPr="008865F5" w:rsidRDefault="008865F5">
      <w:pPr>
        <w:spacing w:before="240" w:after="240" w:line="360" w:lineRule="auto"/>
        <w:ind w:left="-283"/>
        <w:jc w:val="both"/>
        <w:rPr>
          <w:rFonts w:ascii="Arial" w:hAnsi="Arial" w:cs="Arial"/>
        </w:rPr>
      </w:pPr>
      <w:r w:rsidRPr="008865F5">
        <w:rPr>
          <w:rFonts w:ascii="Arial" w:hAnsi="Arial" w:cs="Arial"/>
        </w:rPr>
        <w:t xml:space="preserve">In Botelho’s article, mainstream, corporate religion is important in the </w:t>
      </w:r>
      <w:r w:rsidR="00D420B8" w:rsidRPr="008865F5">
        <w:rPr>
          <w:rFonts w:ascii="Arial" w:hAnsi="Arial" w:cs="Arial"/>
        </w:rPr>
        <w:t>setup</w:t>
      </w:r>
      <w:r w:rsidRPr="008865F5">
        <w:rPr>
          <w:rFonts w:ascii="Arial" w:hAnsi="Arial" w:cs="Arial"/>
        </w:rPr>
        <w:t xml:space="preserve"> of agroecology in Zona da Mata. The Catholic Church aimed to assist in rethinking land use by implementing Grassroots Ecclesial Communities (CEBs) in the 1960s. This followed the significant deforestation that had gone before which had almost financially destroyed the smallholders who could not afford the support or resources needed to improve their land. In this instance the top-down involvement of the Catholic Church as a response to an ecological crisis could be thought of as an early ‘greening of religion’. It was part of the liberation theology movement popular in Latin America which used religion as a way of helping the oppressed by involving itself in political affairs. The Church along with unions, syndicates and nongovernmental organisations formed a network of connections that saw farmers begin to take charge of their land and to have a say in what problems needed to be addressed to be able to access assistance. This part of the article is difficult to follow at times; the sheer volume of acronyms, dates, and complicated social and political history make the text feel cumbersome. The data heavy content of Botelho’s article differs greatly from Kimmerer’s more lyrical style.</w:t>
      </w:r>
    </w:p>
    <w:p w14:paraId="6F863C4A" w14:textId="4C32A558" w:rsidR="008865F5" w:rsidRPr="008865F5" w:rsidRDefault="008865F5">
      <w:pPr>
        <w:spacing w:before="240" w:after="240" w:line="360" w:lineRule="auto"/>
        <w:ind w:left="-283"/>
        <w:jc w:val="both"/>
        <w:rPr>
          <w:rFonts w:ascii="Arial" w:hAnsi="Arial" w:cs="Arial"/>
          <w:highlight w:val="white"/>
        </w:rPr>
      </w:pPr>
      <w:r w:rsidRPr="008865F5">
        <w:rPr>
          <w:rFonts w:ascii="Arial" w:hAnsi="Arial" w:cs="Arial"/>
        </w:rPr>
        <w:t xml:space="preserve">Where Kimmerer talks of TEK as developing deeply over generations of contact and intimacy with the earth, the farmers of Zona da Mata </w:t>
      </w:r>
      <w:proofErr w:type="gramStart"/>
      <w:r w:rsidRPr="008865F5">
        <w:rPr>
          <w:rFonts w:ascii="Arial" w:hAnsi="Arial" w:cs="Arial"/>
        </w:rPr>
        <w:t>began to notice</w:t>
      </w:r>
      <w:proofErr w:type="gramEnd"/>
      <w:r w:rsidRPr="008865F5">
        <w:rPr>
          <w:rFonts w:ascii="Arial" w:hAnsi="Arial" w:cs="Arial"/>
        </w:rPr>
        <w:t xml:space="preserve"> a connection after only two decades of agroforestry experiments,</w:t>
      </w:r>
      <w:r w:rsidRPr="008865F5">
        <w:rPr>
          <w:rFonts w:ascii="Arial" w:hAnsi="Arial" w:cs="Arial"/>
          <w:vertAlign w:val="superscript"/>
        </w:rPr>
        <w:footnoteReference w:id="15"/>
      </w:r>
      <w:r w:rsidRPr="008865F5">
        <w:rPr>
          <w:rFonts w:ascii="Arial" w:hAnsi="Arial" w:cs="Arial"/>
        </w:rPr>
        <w:t xml:space="preserve"> which changed their belief systems, giving them the </w:t>
      </w:r>
      <w:r w:rsidR="00D420B8">
        <w:rPr>
          <w:rFonts w:ascii="Arial" w:hAnsi="Arial" w:cs="Arial"/>
        </w:rPr>
        <w:t>beginnings</w:t>
      </w:r>
      <w:r w:rsidRPr="008865F5">
        <w:rPr>
          <w:rFonts w:ascii="Arial" w:hAnsi="Arial" w:cs="Arial"/>
        </w:rPr>
        <w:t xml:space="preserve"> of traditional ecological knowledge again, and unexpectedly rediscovering for themselves a new tradition, changing their relationship with nature and with God. Grim explains ‘</w:t>
      </w:r>
      <w:r w:rsidRPr="008865F5">
        <w:rPr>
          <w:rFonts w:ascii="Arial" w:hAnsi="Arial" w:cs="Arial"/>
          <w:highlight w:val="white"/>
        </w:rPr>
        <w:t>Indigenous knowledge is traditional because transmitted from generation to generation’.</w:t>
      </w:r>
      <w:r w:rsidRPr="008865F5">
        <w:rPr>
          <w:rFonts w:ascii="Arial" w:hAnsi="Arial" w:cs="Arial"/>
          <w:highlight w:val="white"/>
          <w:vertAlign w:val="superscript"/>
        </w:rPr>
        <w:footnoteReference w:id="16"/>
      </w:r>
      <w:r w:rsidRPr="008865F5">
        <w:rPr>
          <w:rFonts w:ascii="Arial" w:hAnsi="Arial" w:cs="Arial"/>
          <w:highlight w:val="white"/>
        </w:rPr>
        <w:t xml:space="preserve"> but he goes on to say it </w:t>
      </w:r>
      <w:r w:rsidR="00D420B8" w:rsidRPr="008865F5">
        <w:rPr>
          <w:rFonts w:ascii="Arial" w:hAnsi="Arial" w:cs="Arial"/>
          <w:highlight w:val="white"/>
        </w:rPr>
        <w:t>is ‘</w:t>
      </w:r>
      <w:r w:rsidRPr="008865F5">
        <w:rPr>
          <w:rFonts w:ascii="Arial" w:hAnsi="Arial" w:cs="Arial"/>
          <w:highlight w:val="white"/>
        </w:rPr>
        <w:t xml:space="preserve">a dynamic, lived knowing that grows and adapts to </w:t>
      </w:r>
      <w:proofErr w:type="gramStart"/>
      <w:r w:rsidRPr="008865F5">
        <w:rPr>
          <w:rFonts w:ascii="Arial" w:hAnsi="Arial" w:cs="Arial"/>
          <w:highlight w:val="white"/>
        </w:rPr>
        <w:t>changes’</w:t>
      </w:r>
      <w:proofErr w:type="gramEnd"/>
      <w:r w:rsidRPr="008865F5">
        <w:rPr>
          <w:rFonts w:ascii="Arial" w:hAnsi="Arial" w:cs="Arial"/>
          <w:highlight w:val="white"/>
        </w:rPr>
        <w:t>.</w:t>
      </w:r>
      <w:r w:rsidRPr="008865F5">
        <w:rPr>
          <w:rFonts w:ascii="Arial" w:hAnsi="Arial" w:cs="Arial"/>
          <w:highlight w:val="white"/>
          <w:vertAlign w:val="superscript"/>
        </w:rPr>
        <w:footnoteReference w:id="17"/>
      </w:r>
      <w:r w:rsidRPr="008865F5">
        <w:rPr>
          <w:rFonts w:ascii="Arial" w:hAnsi="Arial" w:cs="Arial"/>
          <w:highlight w:val="white"/>
        </w:rPr>
        <w:t xml:space="preserve"> This suggests that TEK is more fluid, that it can be rediscovered. Souza et al are cited in the Botelho et al article when talking of selecting native trees to complement the coffee crop, where trees can supply organic materials to enrich the soil as well as for food production. The farmers had forgotten but been reminded of how their grandfathers had once used this method in the past.</w:t>
      </w:r>
      <w:r w:rsidRPr="008865F5">
        <w:rPr>
          <w:rFonts w:ascii="Arial" w:hAnsi="Arial" w:cs="Arial"/>
          <w:highlight w:val="white"/>
          <w:vertAlign w:val="superscript"/>
        </w:rPr>
        <w:footnoteReference w:id="18"/>
      </w:r>
      <w:r w:rsidRPr="008865F5">
        <w:rPr>
          <w:rFonts w:ascii="Arial" w:hAnsi="Arial" w:cs="Arial"/>
          <w:highlight w:val="white"/>
        </w:rPr>
        <w:t xml:space="preserve"> </w:t>
      </w:r>
    </w:p>
    <w:p w14:paraId="0BC3D00F" w14:textId="77777777" w:rsidR="008865F5" w:rsidRPr="008865F5" w:rsidRDefault="008865F5">
      <w:pPr>
        <w:spacing w:before="240" w:after="240" w:line="360" w:lineRule="auto"/>
        <w:ind w:left="-283"/>
        <w:jc w:val="both"/>
        <w:rPr>
          <w:rFonts w:ascii="Arial" w:hAnsi="Arial" w:cs="Arial"/>
        </w:rPr>
      </w:pPr>
      <w:r w:rsidRPr="008865F5">
        <w:rPr>
          <w:rFonts w:ascii="Arial" w:hAnsi="Arial" w:cs="Arial"/>
        </w:rPr>
        <w:lastRenderedPageBreak/>
        <w:t xml:space="preserve">The observation over time of natural farming methods, originally inspired by the top-down involvement of the Catholic Church, had, by placing the farmers in nature, brought about a spiritual and mystical experience where nature became as important as humans. The greening of religion within the Church had transformed into a form of dark green religion, the anthropocentrism of organised religion becoming more biocentric, causing a positive feedback loop. Kimmerer’s article meanwhile expresses the importance of indigenous spirituality and deep connection with place which is bottom-up, not relying on any hierarchy. </w:t>
      </w:r>
    </w:p>
    <w:p w14:paraId="72117596" w14:textId="77777777" w:rsidR="008865F5" w:rsidRPr="008865F5" w:rsidRDefault="008865F5">
      <w:pPr>
        <w:spacing w:before="240" w:after="240" w:line="360" w:lineRule="auto"/>
        <w:ind w:left="-283"/>
        <w:jc w:val="both"/>
        <w:rPr>
          <w:rFonts w:ascii="Arial" w:hAnsi="Arial" w:cs="Arial"/>
        </w:rPr>
      </w:pPr>
      <w:proofErr w:type="spellStart"/>
      <w:r w:rsidRPr="008865F5">
        <w:rPr>
          <w:rFonts w:ascii="Arial" w:hAnsi="Arial" w:cs="Arial"/>
        </w:rPr>
        <w:t>Trigwell</w:t>
      </w:r>
      <w:proofErr w:type="spellEnd"/>
      <w:r w:rsidRPr="008865F5">
        <w:rPr>
          <w:rFonts w:ascii="Arial" w:hAnsi="Arial" w:cs="Arial"/>
        </w:rPr>
        <w:t xml:space="preserve"> et al in the 2014 paper in </w:t>
      </w:r>
      <w:r w:rsidRPr="008865F5">
        <w:rPr>
          <w:rFonts w:ascii="Arial" w:hAnsi="Arial" w:cs="Arial"/>
          <w:i/>
        </w:rPr>
        <w:t>Ecopsychology</w:t>
      </w:r>
      <w:r w:rsidRPr="008865F5">
        <w:rPr>
          <w:rFonts w:ascii="Arial" w:hAnsi="Arial" w:cs="Arial"/>
        </w:rPr>
        <w:t xml:space="preserve"> journal ‘Nature Connectedness and Eudaimonic Well-Being: Spirituality as a Potential Mediator’, state that ‘people who feel an emotional resonance with the natural world tend to experience greater psychological functioning.’</w:t>
      </w:r>
      <w:r w:rsidRPr="008865F5">
        <w:rPr>
          <w:rFonts w:ascii="Arial" w:hAnsi="Arial" w:cs="Arial"/>
          <w:vertAlign w:val="superscript"/>
        </w:rPr>
        <w:footnoteReference w:id="19"/>
      </w:r>
      <w:r w:rsidRPr="008865F5">
        <w:rPr>
          <w:rFonts w:ascii="Arial" w:hAnsi="Arial" w:cs="Arial"/>
        </w:rPr>
        <w:t xml:space="preserve"> Botelho talks of the ‘care’ and ‘love’ the farmers began to feel for the earth in their connection to nature. Alexandre, a farmer interviewed in the study, talks of his spiritual re-engagement, leading to the title of the article, ‘I made a pact with God, with nature, and with myself’’.</w:t>
      </w:r>
      <w:r w:rsidRPr="008865F5">
        <w:rPr>
          <w:rFonts w:ascii="Arial" w:hAnsi="Arial" w:cs="Arial"/>
          <w:vertAlign w:val="superscript"/>
        </w:rPr>
        <w:footnoteReference w:id="20"/>
      </w:r>
      <w:r w:rsidRPr="008865F5">
        <w:rPr>
          <w:rFonts w:ascii="Arial" w:hAnsi="Arial" w:cs="Arial"/>
        </w:rPr>
        <w:t xml:space="preserve"> Kimmerer in her article too found that her students were ‘hungry for an approach to nature that includes both science and cultural values and spirituality’.</w:t>
      </w:r>
      <w:r w:rsidRPr="008865F5">
        <w:rPr>
          <w:rFonts w:ascii="Arial" w:hAnsi="Arial" w:cs="Arial"/>
          <w:vertAlign w:val="superscript"/>
        </w:rPr>
        <w:footnoteReference w:id="21"/>
      </w:r>
      <w:r w:rsidRPr="008865F5">
        <w:rPr>
          <w:rFonts w:ascii="Arial" w:hAnsi="Arial" w:cs="Arial"/>
        </w:rPr>
        <w:t xml:space="preserve"> and emphasises how while ecosystems are under threat, everything must be done to encourage the harmony between science and spirituality for the enrichment of society. Both articles combine science and spirituality and place equal importance on both fields.</w:t>
      </w:r>
    </w:p>
    <w:p w14:paraId="22D8E6CB" w14:textId="77777777" w:rsidR="008865F5" w:rsidRPr="008865F5" w:rsidRDefault="008865F5">
      <w:pPr>
        <w:spacing w:before="240" w:after="240" w:line="360" w:lineRule="auto"/>
        <w:ind w:left="-283"/>
        <w:jc w:val="both"/>
        <w:rPr>
          <w:rFonts w:ascii="Arial" w:hAnsi="Arial" w:cs="Arial"/>
        </w:rPr>
      </w:pPr>
      <w:r w:rsidRPr="008865F5">
        <w:rPr>
          <w:rFonts w:ascii="Arial" w:hAnsi="Arial" w:cs="Arial"/>
        </w:rPr>
        <w:t xml:space="preserve">The Botelho article finally addresses the most up to date studies on how small farmers who are engaged with nature and use agroecology compare with farmers who use the more conventional, but less moral methods. It has emerged that ecologically conscious markets have </w:t>
      </w:r>
      <w:proofErr w:type="gramStart"/>
      <w:r w:rsidRPr="008865F5">
        <w:rPr>
          <w:rFonts w:ascii="Arial" w:hAnsi="Arial" w:cs="Arial"/>
        </w:rPr>
        <w:t>opened up</w:t>
      </w:r>
      <w:proofErr w:type="gramEnd"/>
      <w:r w:rsidRPr="008865F5">
        <w:rPr>
          <w:rFonts w:ascii="Arial" w:hAnsi="Arial" w:cs="Arial"/>
        </w:rPr>
        <w:t xml:space="preserve"> that are happy to pay for ethically sourced and socially progressive coffee. Agroecology, though linked to sustainable production and the importance of reducing the impact on the environment, is still a branch of agriculture, and still a business that </w:t>
      </w:r>
      <w:proofErr w:type="gramStart"/>
      <w:r w:rsidRPr="008865F5">
        <w:rPr>
          <w:rFonts w:ascii="Arial" w:hAnsi="Arial" w:cs="Arial"/>
        </w:rPr>
        <w:t>has to</w:t>
      </w:r>
      <w:proofErr w:type="gramEnd"/>
      <w:r w:rsidRPr="008865F5">
        <w:rPr>
          <w:rFonts w:ascii="Arial" w:hAnsi="Arial" w:cs="Arial"/>
        </w:rPr>
        <w:t xml:space="preserve"> be profitable in order for farmers and their families to live.</w:t>
      </w:r>
    </w:p>
    <w:p w14:paraId="761AB16A" w14:textId="24E1B97C" w:rsidR="008865F5" w:rsidRPr="008865F5" w:rsidRDefault="008865F5">
      <w:pPr>
        <w:spacing w:before="240" w:after="240" w:line="360" w:lineRule="auto"/>
        <w:ind w:left="-283"/>
        <w:jc w:val="both"/>
        <w:rPr>
          <w:rFonts w:ascii="Arial" w:hAnsi="Arial" w:cs="Arial"/>
        </w:rPr>
      </w:pPr>
      <w:r w:rsidRPr="008865F5">
        <w:rPr>
          <w:rFonts w:ascii="Arial" w:hAnsi="Arial" w:cs="Arial"/>
        </w:rPr>
        <w:t xml:space="preserve">In considering TEK too, traditional ecological knowledge </w:t>
      </w:r>
      <w:proofErr w:type="gramStart"/>
      <w:r w:rsidRPr="008865F5">
        <w:rPr>
          <w:rFonts w:ascii="Arial" w:hAnsi="Arial" w:cs="Arial"/>
        </w:rPr>
        <w:t>has to</w:t>
      </w:r>
      <w:proofErr w:type="gramEnd"/>
      <w:r w:rsidRPr="008865F5">
        <w:rPr>
          <w:rFonts w:ascii="Arial" w:hAnsi="Arial" w:cs="Arial"/>
        </w:rPr>
        <w:t xml:space="preserve"> be effective to find a home in modern biology. </w:t>
      </w:r>
      <w:proofErr w:type="spellStart"/>
      <w:r w:rsidRPr="008865F5">
        <w:rPr>
          <w:rFonts w:ascii="Arial" w:hAnsi="Arial" w:cs="Arial"/>
        </w:rPr>
        <w:t>Gadgil</w:t>
      </w:r>
      <w:proofErr w:type="spellEnd"/>
      <w:r w:rsidRPr="008865F5">
        <w:rPr>
          <w:rFonts w:ascii="Arial" w:hAnsi="Arial" w:cs="Arial"/>
        </w:rPr>
        <w:t xml:space="preserve"> et al, cited in Kimmerer, said that although SEK ‘with </w:t>
      </w:r>
      <w:r w:rsidR="00D420B8" w:rsidRPr="008865F5">
        <w:rPr>
          <w:rFonts w:ascii="Arial" w:hAnsi="Arial" w:cs="Arial"/>
        </w:rPr>
        <w:t>its</w:t>
      </w:r>
      <w:r w:rsidRPr="008865F5">
        <w:rPr>
          <w:rFonts w:ascii="Arial" w:hAnsi="Arial" w:cs="Arial"/>
        </w:rPr>
        <w:t xml:space="preserve"> accompanying worldview of human beings apart from and above the natural world’</w:t>
      </w:r>
      <w:r w:rsidRPr="008865F5">
        <w:rPr>
          <w:rFonts w:ascii="Arial" w:hAnsi="Arial" w:cs="Arial"/>
          <w:vertAlign w:val="superscript"/>
        </w:rPr>
        <w:footnoteReference w:id="22"/>
      </w:r>
      <w:r w:rsidRPr="008865F5">
        <w:rPr>
          <w:rFonts w:ascii="Arial" w:hAnsi="Arial" w:cs="Arial"/>
        </w:rPr>
        <w:t xml:space="preserve"> has worked when dealing </w:t>
      </w:r>
      <w:r w:rsidRPr="008865F5">
        <w:rPr>
          <w:rFonts w:ascii="Arial" w:hAnsi="Arial" w:cs="Arial"/>
        </w:rPr>
        <w:lastRenderedPageBreak/>
        <w:t>with nature and the human understanding of it, the world is still dealing with incredibly complicated ecosystems and damage to the environment, and that traditional ecological knowledge could be an answer. As Lynn White Jr agrees, ‘since the roots of our trouble are so largely religious, the remedy must also be essentially religious’,</w:t>
      </w:r>
      <w:r w:rsidRPr="008865F5">
        <w:rPr>
          <w:rFonts w:ascii="Arial" w:hAnsi="Arial" w:cs="Arial"/>
          <w:vertAlign w:val="superscript"/>
        </w:rPr>
        <w:footnoteReference w:id="23"/>
      </w:r>
      <w:r w:rsidRPr="008865F5">
        <w:rPr>
          <w:rFonts w:ascii="Arial" w:hAnsi="Arial" w:cs="Arial"/>
        </w:rPr>
        <w:t xml:space="preserve"> Since scientific ecological knowledge with its culturally Christian arrogance has not solved complex problems, a different, more spiritual, way forward might be necessary. </w:t>
      </w:r>
    </w:p>
    <w:p w14:paraId="79152E22" w14:textId="77777777" w:rsidR="008865F5" w:rsidRPr="008865F5" w:rsidRDefault="008865F5">
      <w:pPr>
        <w:spacing w:before="240" w:after="240" w:line="360" w:lineRule="auto"/>
        <w:ind w:left="-283"/>
        <w:jc w:val="both"/>
        <w:rPr>
          <w:rFonts w:ascii="Arial" w:hAnsi="Arial" w:cs="Arial"/>
        </w:rPr>
      </w:pPr>
      <w:r w:rsidRPr="008865F5">
        <w:rPr>
          <w:rFonts w:ascii="Arial" w:hAnsi="Arial" w:cs="Arial"/>
        </w:rPr>
        <w:t>Western domination of nature has been evident in both articles, with echoes of empire, slavery and inequality in both North and South America. Kimmerer pushes for the inclusion of indigenous students and practitioners in ‘providing useful models’</w:t>
      </w:r>
      <w:r w:rsidRPr="008865F5">
        <w:rPr>
          <w:rFonts w:ascii="Arial" w:hAnsi="Arial" w:cs="Arial"/>
          <w:vertAlign w:val="superscript"/>
        </w:rPr>
        <w:footnoteReference w:id="24"/>
      </w:r>
      <w:r w:rsidRPr="008865F5">
        <w:rPr>
          <w:rFonts w:ascii="Arial" w:hAnsi="Arial" w:cs="Arial"/>
        </w:rPr>
        <w:t xml:space="preserve"> to push ecological routes forward in the 21st century. Botelho et al have shown that there is now a commercial market for ethically sourced products which, in accentuating economic disharmony has highlighted some remaining inequalities. Traditional gender roles have developed and moved on as quickly as the social roles of the farmers who now have some autonomy over their business, household finances and family. Gender, as well as generational, conflict is an issue and will need to be addressed. The care and love for nature that has been discovered through agroecology should extend to all of humanity.</w:t>
      </w:r>
    </w:p>
    <w:p w14:paraId="3C97CDA8" w14:textId="77777777" w:rsidR="008865F5" w:rsidRPr="008865F5" w:rsidRDefault="008865F5">
      <w:pPr>
        <w:spacing w:before="240" w:after="240" w:line="360" w:lineRule="auto"/>
        <w:ind w:left="-283"/>
        <w:jc w:val="both"/>
        <w:rPr>
          <w:rFonts w:ascii="Arial" w:hAnsi="Arial" w:cs="Arial"/>
        </w:rPr>
      </w:pPr>
      <w:r w:rsidRPr="008865F5">
        <w:rPr>
          <w:rFonts w:ascii="Arial" w:hAnsi="Arial" w:cs="Arial"/>
        </w:rPr>
        <w:t>Where Kimmerer does not formally conclude, she still ties things up neatly. Her article flowed from beginning to end in a style that did not appear overly academic, which was surprising in an academic journal. Botelho et al concluded by summarising the points made, concentrating on what was set out in the abstract: that agroecology causes deep experiences and renewed traditional knowledge; the Catholic Church was instrumental in the inception of the agroecology campaign, which transformed the relationship between farmers and nature into a more spiritual one; and that remaining inequalities need to be focussed on.</w:t>
      </w:r>
    </w:p>
    <w:p w14:paraId="26B970E3" w14:textId="61EF7C71" w:rsidR="008865F5" w:rsidRPr="008865F5" w:rsidRDefault="008865F5">
      <w:pPr>
        <w:spacing w:before="240" w:after="240" w:line="360" w:lineRule="auto"/>
        <w:ind w:left="-283"/>
        <w:jc w:val="both"/>
        <w:rPr>
          <w:rFonts w:ascii="Arial" w:hAnsi="Arial" w:cs="Arial"/>
        </w:rPr>
      </w:pPr>
      <w:r w:rsidRPr="008865F5">
        <w:rPr>
          <w:rFonts w:ascii="Arial" w:hAnsi="Arial" w:cs="Arial"/>
        </w:rPr>
        <w:t>In conclusion, Robin Wall Kimmerer’s article ‘Weaving Technological Knowledge into Biological Education: A Call to Action’</w:t>
      </w:r>
      <w:r w:rsidRPr="008865F5">
        <w:rPr>
          <w:rFonts w:ascii="Arial" w:hAnsi="Arial" w:cs="Arial"/>
          <w:vertAlign w:val="superscript"/>
        </w:rPr>
        <w:footnoteReference w:id="25"/>
      </w:r>
      <w:r w:rsidRPr="008865F5">
        <w:rPr>
          <w:rFonts w:ascii="Arial" w:hAnsi="Arial" w:cs="Arial"/>
        </w:rPr>
        <w:t xml:space="preserve"> and Maria Izabel Vieira Botelho, Irene Maria Cardoso and Kei Otsuki’s article </w:t>
      </w:r>
      <w:proofErr w:type="gramStart"/>
      <w:r w:rsidR="00D420B8">
        <w:rPr>
          <w:rFonts w:ascii="Arial" w:hAnsi="Arial" w:cs="Arial"/>
        </w:rPr>
        <w:t>‘</w:t>
      </w:r>
      <w:r w:rsidRPr="008865F5">
        <w:rPr>
          <w:rFonts w:ascii="Arial" w:hAnsi="Arial" w:cs="Arial"/>
        </w:rPr>
        <w:t>”I</w:t>
      </w:r>
      <w:proofErr w:type="gramEnd"/>
      <w:r w:rsidRPr="008865F5">
        <w:rPr>
          <w:rFonts w:ascii="Arial" w:hAnsi="Arial" w:cs="Arial"/>
        </w:rPr>
        <w:t xml:space="preserve"> made a pact with God, with nature, and with myself”: exploring deep agroecology’</w:t>
      </w:r>
      <w:r w:rsidRPr="008865F5">
        <w:rPr>
          <w:rFonts w:ascii="Arial" w:hAnsi="Arial" w:cs="Arial"/>
          <w:vertAlign w:val="superscript"/>
        </w:rPr>
        <w:footnoteReference w:id="26"/>
      </w:r>
      <w:r w:rsidRPr="008865F5">
        <w:rPr>
          <w:rFonts w:ascii="Arial" w:hAnsi="Arial" w:cs="Arial"/>
          <w:i/>
        </w:rPr>
        <w:t xml:space="preserve"> </w:t>
      </w:r>
      <w:r w:rsidRPr="008865F5">
        <w:rPr>
          <w:rFonts w:ascii="Arial" w:hAnsi="Arial" w:cs="Arial"/>
        </w:rPr>
        <w:t xml:space="preserve">do contain similarities. Both articles address the importance of traditional ecological knowledge and the significance of place and belonging on the earth and the local connections made with it. There are echoes of Lynn White Jr’s article and his description of </w:t>
      </w:r>
      <w:r w:rsidRPr="008865F5">
        <w:rPr>
          <w:rFonts w:ascii="Arial" w:hAnsi="Arial" w:cs="Arial"/>
        </w:rPr>
        <w:lastRenderedPageBreak/>
        <w:t xml:space="preserve">cultural arrogance in the western or white privilege still inherent in American science, and likewise in the manipulation by more powerful landowners of peasant farmers and slaves. Man’s dominion over animals and nature is something deeply ingrained. On the other hand, the articles are also different in </w:t>
      </w:r>
      <w:proofErr w:type="gramStart"/>
      <w:r w:rsidRPr="008865F5">
        <w:rPr>
          <w:rFonts w:ascii="Arial" w:hAnsi="Arial" w:cs="Arial"/>
        </w:rPr>
        <w:t>a number of</w:t>
      </w:r>
      <w:proofErr w:type="gramEnd"/>
      <w:r w:rsidRPr="008865F5">
        <w:rPr>
          <w:rFonts w:ascii="Arial" w:hAnsi="Arial" w:cs="Arial"/>
        </w:rPr>
        <w:t xml:space="preserve"> respects. Kimmerer’s emic viewpoint and personal and holistic style of writing contrasts with Botelho et al and the more detached, data heavy reporting in the agroecology article. The absence of any mention of organised religion in Kimmerer’s paper, instead portraying science at odds with culture or undefined spirituality, </w:t>
      </w:r>
      <w:proofErr w:type="gramStart"/>
      <w:r w:rsidRPr="008865F5">
        <w:rPr>
          <w:rFonts w:ascii="Arial" w:hAnsi="Arial" w:cs="Arial"/>
        </w:rPr>
        <w:t>is in contrast to</w:t>
      </w:r>
      <w:proofErr w:type="gramEnd"/>
      <w:r w:rsidRPr="008865F5">
        <w:rPr>
          <w:rFonts w:ascii="Arial" w:hAnsi="Arial" w:cs="Arial"/>
        </w:rPr>
        <w:t xml:space="preserve"> the depiction of the Catholic Church towards the beginning of the Botelho article, and mention of ‘God’ after the spiritual experiences of the farmers in nature. </w:t>
      </w:r>
    </w:p>
    <w:p w14:paraId="332C798D" w14:textId="1902B7F8" w:rsidR="008865F5" w:rsidRPr="008865F5" w:rsidRDefault="008865F5">
      <w:pPr>
        <w:spacing w:before="240" w:after="240" w:line="360" w:lineRule="auto"/>
        <w:ind w:left="-283"/>
        <w:jc w:val="both"/>
        <w:rPr>
          <w:rFonts w:ascii="Arial" w:eastAsia="Calibri" w:hAnsi="Arial" w:cs="Arial"/>
        </w:rPr>
      </w:pPr>
      <w:r w:rsidRPr="008865F5">
        <w:rPr>
          <w:rFonts w:ascii="Arial" w:hAnsi="Arial" w:cs="Arial"/>
        </w:rPr>
        <w:t>Above all, the two articles, though differing in style, are hopeful. Both concluded by looking to the future. Bron Taylor notes that ‘to protect and defend those peoples considered the best remaining stewards of the critically important spiritual and ecological knowledge’ is an important aspect of dark green religion.</w:t>
      </w:r>
      <w:r w:rsidRPr="008865F5">
        <w:rPr>
          <w:rFonts w:ascii="Arial" w:hAnsi="Arial" w:cs="Arial"/>
          <w:vertAlign w:val="superscript"/>
        </w:rPr>
        <w:footnoteReference w:id="27"/>
      </w:r>
      <w:r w:rsidRPr="008865F5">
        <w:rPr>
          <w:rFonts w:ascii="Arial" w:hAnsi="Arial" w:cs="Arial"/>
        </w:rPr>
        <w:t xml:space="preserve"> Kimmerer and Botelho, Cardoso and Otsuki appreciate the need for the protection and defence of indigenous peoples and their links to the land. They acknowledge difficulties and obstacles that are still to be overcome, but recognise the positive steps already made in addressing the promotion of traditional ecological knowledge and </w:t>
      </w:r>
      <w:r w:rsidR="00D420B8" w:rsidRPr="008865F5">
        <w:rPr>
          <w:rFonts w:ascii="Arial" w:hAnsi="Arial" w:cs="Arial"/>
        </w:rPr>
        <w:t>the ongoing</w:t>
      </w:r>
      <w:r w:rsidRPr="008865F5">
        <w:rPr>
          <w:rFonts w:ascii="Arial" w:hAnsi="Arial" w:cs="Arial"/>
        </w:rPr>
        <w:t xml:space="preserve"> deep experiences that occur while working intimately with nature. Kimmerer looks forward to the redefinition of the west’s evolving relationship with nature, as an immigrant culture rather than a conquering one. She describes traditional ecological knowledge as both scientifically and culturally valuable particularly in terms of ‘respect, reciprocity, and responsibility’.</w:t>
      </w:r>
      <w:r w:rsidRPr="008865F5">
        <w:rPr>
          <w:rFonts w:ascii="Arial" w:hAnsi="Arial" w:cs="Arial"/>
          <w:vertAlign w:val="superscript"/>
        </w:rPr>
        <w:footnoteReference w:id="28"/>
      </w:r>
      <w:r w:rsidRPr="008865F5">
        <w:rPr>
          <w:rFonts w:ascii="Arial" w:hAnsi="Arial" w:cs="Arial"/>
        </w:rPr>
        <w:t xml:space="preserve"> Botelho et al contemplate the need to ‘consolidate and deepen agroecology’</w:t>
      </w:r>
      <w:r w:rsidRPr="008865F5">
        <w:rPr>
          <w:rFonts w:ascii="Arial" w:hAnsi="Arial" w:cs="Arial"/>
          <w:vertAlign w:val="superscript"/>
        </w:rPr>
        <w:footnoteReference w:id="29"/>
      </w:r>
      <w:r w:rsidRPr="008865F5">
        <w:rPr>
          <w:rFonts w:ascii="Arial" w:hAnsi="Arial" w:cs="Arial"/>
        </w:rPr>
        <w:t xml:space="preserve"> and commit to contribute to further approaches to support agroecological farmers as a part of nature and the divine.</w:t>
      </w:r>
    </w:p>
    <w:p w14:paraId="52E56223" w14:textId="77777777" w:rsidR="00EF2191" w:rsidRPr="008865F5" w:rsidRDefault="00EF2191">
      <w:pPr>
        <w:pStyle w:val="Heading31"/>
        <w:widowControl w:val="0"/>
        <w:pBdr>
          <w:top w:val="none" w:sz="0" w:space="0" w:color="auto"/>
        </w:pBdr>
        <w:spacing w:before="0" w:after="0" w:line="240" w:lineRule="auto"/>
        <w:jc w:val="center"/>
        <w:rPr>
          <w:rFonts w:ascii="Arial" w:eastAsia="Trebuchet MS" w:hAnsi="Arial" w:cs="Arial"/>
          <w:b/>
          <w:bCs/>
          <w:spacing w:val="0"/>
          <w:sz w:val="24"/>
          <w:szCs w:val="24"/>
          <w:u w:color="000000"/>
          <w:lang w:val="en-US"/>
        </w:rPr>
      </w:pPr>
    </w:p>
    <w:p w14:paraId="07547A01" w14:textId="77777777" w:rsidR="00EF2191" w:rsidRPr="008865F5" w:rsidRDefault="00EF2191">
      <w:pPr>
        <w:pStyle w:val="Heading31"/>
        <w:widowControl w:val="0"/>
        <w:pBdr>
          <w:top w:val="none" w:sz="0" w:space="0" w:color="auto"/>
        </w:pBdr>
        <w:spacing w:before="0" w:after="0" w:line="240" w:lineRule="auto"/>
        <w:jc w:val="center"/>
        <w:rPr>
          <w:rFonts w:ascii="Arial" w:eastAsia="Trebuchet MS" w:hAnsi="Arial" w:cs="Arial"/>
          <w:b/>
          <w:bCs/>
          <w:spacing w:val="0"/>
          <w:sz w:val="24"/>
          <w:szCs w:val="24"/>
          <w:u w:color="000000"/>
          <w:lang w:val="en-US"/>
        </w:rPr>
      </w:pPr>
    </w:p>
    <w:p w14:paraId="5043CB0F" w14:textId="77777777" w:rsidR="00EF2191" w:rsidRPr="008865F5" w:rsidRDefault="00EF2191">
      <w:pPr>
        <w:pStyle w:val="Heading31"/>
        <w:widowControl w:val="0"/>
        <w:pBdr>
          <w:top w:val="none" w:sz="0" w:space="0" w:color="auto"/>
        </w:pBdr>
        <w:spacing w:before="0" w:after="0" w:line="240" w:lineRule="auto"/>
        <w:jc w:val="center"/>
        <w:rPr>
          <w:rFonts w:ascii="Arial" w:eastAsia="Trebuchet MS" w:hAnsi="Arial" w:cs="Arial"/>
          <w:b/>
          <w:bCs/>
          <w:spacing w:val="0"/>
          <w:sz w:val="24"/>
          <w:szCs w:val="24"/>
          <w:u w:color="000000"/>
          <w:lang w:val="en-US"/>
        </w:rPr>
      </w:pPr>
    </w:p>
    <w:p w14:paraId="07459315" w14:textId="556418FA" w:rsidR="00EF2191" w:rsidRPr="008865F5" w:rsidRDefault="007B7F16">
      <w:pPr>
        <w:pStyle w:val="Body"/>
        <w:rPr>
          <w:rFonts w:ascii="Arial" w:eastAsia="Times New Roman" w:hAnsi="Arial" w:cs="Arial"/>
        </w:rPr>
      </w:pPr>
      <w:r>
        <w:rPr>
          <w:rFonts w:ascii="Arial" w:eastAsia="Times New Roman" w:hAnsi="Arial" w:cs="Arial"/>
        </w:rPr>
        <w:t>Word count - 2970</w:t>
      </w:r>
    </w:p>
    <w:sectPr w:rsidR="00EF2191" w:rsidRPr="008865F5">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B358F" w14:textId="77777777" w:rsidR="003D06AE" w:rsidRDefault="003D06AE" w:rsidP="00EF2191">
      <w:r>
        <w:separator/>
      </w:r>
    </w:p>
  </w:endnote>
  <w:endnote w:type="continuationSeparator" w:id="0">
    <w:p w14:paraId="70C3843A" w14:textId="77777777" w:rsidR="003D06AE" w:rsidRDefault="003D06AE" w:rsidP="00EF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499655"/>
      <w:docPartObj>
        <w:docPartGallery w:val="Page Numbers (Bottom of Page)"/>
        <w:docPartUnique/>
      </w:docPartObj>
    </w:sdtPr>
    <w:sdtEndPr>
      <w:rPr>
        <w:noProof/>
      </w:rPr>
    </w:sdtEndPr>
    <w:sdtContent>
      <w:p w14:paraId="2B5FDCA0" w14:textId="64F64B06" w:rsidR="008865F5" w:rsidRDefault="008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7F28F" w14:textId="77777777" w:rsidR="00EF2191" w:rsidRDefault="00EF2191">
    <w:pPr>
      <w:rPr>
        <w:rFonts w:eastAsia="Arial Unicode M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ABAF1" w14:textId="77777777" w:rsidR="003D06AE" w:rsidRDefault="003D06AE" w:rsidP="00EF2191">
      <w:r>
        <w:separator/>
      </w:r>
    </w:p>
  </w:footnote>
  <w:footnote w:type="continuationSeparator" w:id="0">
    <w:p w14:paraId="6E920D5D" w14:textId="77777777" w:rsidR="003D06AE" w:rsidRDefault="003D06AE" w:rsidP="00EF2191">
      <w:r>
        <w:continuationSeparator/>
      </w:r>
    </w:p>
  </w:footnote>
  <w:footnote w:id="1">
    <w:p w14:paraId="4C3FDBD5" w14:textId="77777777" w:rsidR="008865F5" w:rsidRDefault="008865F5">
      <w:pPr>
        <w:rPr>
          <w:sz w:val="20"/>
          <w:szCs w:val="20"/>
        </w:rPr>
      </w:pPr>
      <w:r>
        <w:rPr>
          <w:vertAlign w:val="superscript"/>
        </w:rPr>
        <w:footnoteRef/>
      </w:r>
      <w:r>
        <w:rPr>
          <w:sz w:val="20"/>
          <w:szCs w:val="20"/>
        </w:rPr>
        <w:t xml:space="preserve"> </w:t>
      </w:r>
    </w:p>
  </w:footnote>
  <w:footnote w:id="2">
    <w:p w14:paraId="48E14A67" w14:textId="77777777" w:rsidR="008865F5" w:rsidRDefault="008865F5">
      <w:pPr>
        <w:rPr>
          <w:sz w:val="20"/>
          <w:szCs w:val="20"/>
        </w:rPr>
      </w:pPr>
      <w:r>
        <w:rPr>
          <w:vertAlign w:val="superscript"/>
        </w:rPr>
        <w:footnoteRef/>
      </w:r>
      <w:r>
        <w:rPr>
          <w:sz w:val="20"/>
          <w:szCs w:val="20"/>
        </w:rPr>
        <w:t xml:space="preserve"> Maria Izabel Vieira Botelho, Irene Maria Cardoso &amp; Kei Otsuki (2016) “I made a pact with God, with nature, and with myself”: exploring deep agroecology, Agroecology and Sustainable Food Systems, 40:2, 116-131, DOI: 10.1080/21683565.2015.1115798</w:t>
      </w:r>
    </w:p>
  </w:footnote>
  <w:footnote w:id="3">
    <w:p w14:paraId="05F02AF6" w14:textId="77777777" w:rsidR="008865F5" w:rsidRDefault="008865F5">
      <w:pPr>
        <w:rPr>
          <w:color w:val="1155CC"/>
          <w:sz w:val="20"/>
          <w:szCs w:val="20"/>
          <w:u w:val="single"/>
        </w:rPr>
      </w:pPr>
      <w:r>
        <w:rPr>
          <w:vertAlign w:val="superscript"/>
        </w:rPr>
        <w:footnoteRef/>
      </w:r>
      <w:r>
        <w:rPr>
          <w:sz w:val="20"/>
          <w:szCs w:val="20"/>
        </w:rPr>
        <w:t xml:space="preserve"> </w:t>
      </w:r>
      <w:hyperlink r:id="rId1">
        <w:r>
          <w:rPr>
            <w:color w:val="1155CC"/>
            <w:sz w:val="20"/>
            <w:szCs w:val="20"/>
            <w:u w:val="single"/>
          </w:rPr>
          <w:t>https://www.esf.edu/faculty/kimmerer/</w:t>
        </w:r>
      </w:hyperlink>
    </w:p>
    <w:p w14:paraId="69ACD52A" w14:textId="77777777" w:rsidR="008865F5" w:rsidRDefault="008865F5">
      <w:pPr>
        <w:rPr>
          <w:sz w:val="20"/>
          <w:szCs w:val="20"/>
        </w:rPr>
      </w:pPr>
    </w:p>
  </w:footnote>
  <w:footnote w:id="4">
    <w:p w14:paraId="267A9622" w14:textId="77777777" w:rsidR="008865F5" w:rsidRDefault="008865F5">
      <w:pPr>
        <w:rPr>
          <w:sz w:val="20"/>
          <w:szCs w:val="20"/>
        </w:rPr>
      </w:pPr>
      <w:r>
        <w:rPr>
          <w:vertAlign w:val="superscript"/>
        </w:rPr>
        <w:footnoteRef/>
      </w:r>
      <w:r>
        <w:rPr>
          <w:sz w:val="20"/>
          <w:szCs w:val="20"/>
        </w:rPr>
        <w:t xml:space="preserve"> Braiding sweetgrass moss</w:t>
      </w:r>
    </w:p>
  </w:footnote>
  <w:footnote w:id="5">
    <w:p w14:paraId="47DE6314" w14:textId="77777777" w:rsidR="008865F5" w:rsidRDefault="008865F5">
      <w:pPr>
        <w:rPr>
          <w:sz w:val="20"/>
          <w:szCs w:val="20"/>
        </w:rPr>
      </w:pPr>
      <w:r>
        <w:rPr>
          <w:vertAlign w:val="superscript"/>
        </w:rPr>
        <w:footnoteRef/>
      </w:r>
      <w:r>
        <w:rPr>
          <w:sz w:val="20"/>
          <w:szCs w:val="20"/>
        </w:rPr>
        <w:t xml:space="preserve"> Article p.433</w:t>
      </w:r>
    </w:p>
  </w:footnote>
  <w:footnote w:id="6">
    <w:p w14:paraId="398BD01B" w14:textId="77777777" w:rsidR="008865F5" w:rsidRDefault="008865F5">
      <w:pPr>
        <w:rPr>
          <w:sz w:val="20"/>
          <w:szCs w:val="20"/>
        </w:rPr>
      </w:pPr>
      <w:r>
        <w:rPr>
          <w:vertAlign w:val="superscript"/>
        </w:rPr>
        <w:footnoteRef/>
      </w:r>
      <w:r>
        <w:rPr>
          <w:sz w:val="20"/>
          <w:szCs w:val="20"/>
        </w:rPr>
        <w:t xml:space="preserve"> Mauro and </w:t>
      </w:r>
      <w:proofErr w:type="spellStart"/>
      <w:r>
        <w:rPr>
          <w:sz w:val="20"/>
          <w:szCs w:val="20"/>
        </w:rPr>
        <w:t>hardison</w:t>
      </w:r>
      <w:proofErr w:type="spellEnd"/>
      <w:r>
        <w:rPr>
          <w:sz w:val="20"/>
          <w:szCs w:val="20"/>
        </w:rPr>
        <w:t xml:space="preserve"> 2000</w:t>
      </w:r>
    </w:p>
  </w:footnote>
  <w:footnote w:id="7">
    <w:p w14:paraId="43BB6D7B" w14:textId="77777777" w:rsidR="008865F5" w:rsidRDefault="008865F5">
      <w:pPr>
        <w:rPr>
          <w:sz w:val="20"/>
          <w:szCs w:val="20"/>
        </w:rPr>
      </w:pPr>
      <w:r>
        <w:rPr>
          <w:vertAlign w:val="superscript"/>
        </w:rPr>
        <w:footnoteRef/>
      </w:r>
      <w:r>
        <w:rPr>
          <w:sz w:val="20"/>
          <w:szCs w:val="20"/>
        </w:rPr>
        <w:t xml:space="preserve"> Salmon 1996</w:t>
      </w:r>
    </w:p>
  </w:footnote>
  <w:footnote w:id="8">
    <w:p w14:paraId="0863E114" w14:textId="77777777" w:rsidR="008865F5" w:rsidRDefault="008865F5">
      <w:pPr>
        <w:rPr>
          <w:sz w:val="20"/>
          <w:szCs w:val="20"/>
        </w:rPr>
      </w:pPr>
      <w:r>
        <w:rPr>
          <w:vertAlign w:val="superscript"/>
        </w:rPr>
        <w:footnoteRef/>
      </w:r>
      <w:r>
        <w:rPr>
          <w:sz w:val="20"/>
          <w:szCs w:val="20"/>
        </w:rPr>
        <w:t xml:space="preserve"> </w:t>
      </w:r>
      <w:proofErr w:type="spellStart"/>
      <w:r>
        <w:rPr>
          <w:sz w:val="20"/>
          <w:szCs w:val="20"/>
        </w:rPr>
        <w:t>Berkes</w:t>
      </w:r>
      <w:proofErr w:type="spellEnd"/>
      <w:r>
        <w:rPr>
          <w:sz w:val="20"/>
          <w:szCs w:val="20"/>
        </w:rPr>
        <w:t xml:space="preserve"> 1999 </w:t>
      </w:r>
      <w:proofErr w:type="spellStart"/>
      <w:r>
        <w:rPr>
          <w:sz w:val="20"/>
          <w:szCs w:val="20"/>
        </w:rPr>
        <w:t>hunn</w:t>
      </w:r>
      <w:proofErr w:type="spellEnd"/>
      <w:r>
        <w:rPr>
          <w:sz w:val="20"/>
          <w:szCs w:val="20"/>
        </w:rPr>
        <w:t xml:space="preserve"> 1999 p.434</w:t>
      </w:r>
    </w:p>
  </w:footnote>
  <w:footnote w:id="9">
    <w:p w14:paraId="7ABE6420" w14:textId="77777777" w:rsidR="008865F5" w:rsidRDefault="008865F5">
      <w:pPr>
        <w:rPr>
          <w:sz w:val="20"/>
          <w:szCs w:val="20"/>
        </w:rPr>
      </w:pPr>
      <w:r>
        <w:rPr>
          <w:vertAlign w:val="superscript"/>
        </w:rPr>
        <w:footnoteRef/>
      </w:r>
      <w:r>
        <w:rPr>
          <w:sz w:val="20"/>
          <w:szCs w:val="20"/>
        </w:rPr>
        <w:t xml:space="preserve"> Lynn white </w:t>
      </w:r>
      <w:proofErr w:type="spellStart"/>
      <w:r>
        <w:rPr>
          <w:sz w:val="20"/>
          <w:szCs w:val="20"/>
        </w:rPr>
        <w:t>jr</w:t>
      </w:r>
      <w:proofErr w:type="spellEnd"/>
    </w:p>
  </w:footnote>
  <w:footnote w:id="10">
    <w:p w14:paraId="751411BD" w14:textId="77777777" w:rsidR="008865F5" w:rsidRDefault="008865F5">
      <w:pPr>
        <w:rPr>
          <w:sz w:val="20"/>
          <w:szCs w:val="20"/>
        </w:rPr>
      </w:pPr>
      <w:r>
        <w:rPr>
          <w:vertAlign w:val="superscript"/>
        </w:rPr>
        <w:footnoteRef/>
      </w:r>
      <w:r>
        <w:rPr>
          <w:sz w:val="20"/>
          <w:szCs w:val="20"/>
        </w:rPr>
        <w:t xml:space="preserve"> Lynn white </w:t>
      </w:r>
      <w:proofErr w:type="spellStart"/>
      <w:r>
        <w:rPr>
          <w:sz w:val="20"/>
          <w:szCs w:val="20"/>
        </w:rPr>
        <w:t>jr</w:t>
      </w:r>
      <w:proofErr w:type="spellEnd"/>
    </w:p>
  </w:footnote>
  <w:footnote w:id="11">
    <w:p w14:paraId="1DF97214" w14:textId="77777777" w:rsidR="008865F5" w:rsidRDefault="008865F5">
      <w:pPr>
        <w:rPr>
          <w:sz w:val="20"/>
          <w:szCs w:val="20"/>
        </w:rPr>
      </w:pPr>
      <w:r>
        <w:rPr>
          <w:vertAlign w:val="superscript"/>
        </w:rPr>
        <w:footnoteRef/>
      </w:r>
      <w:r>
        <w:rPr>
          <w:sz w:val="20"/>
          <w:szCs w:val="20"/>
        </w:rPr>
        <w:t xml:space="preserve"> https://doi.org/10.1093/acrefore/9780199329175.013.3</w:t>
      </w:r>
    </w:p>
  </w:footnote>
  <w:footnote w:id="12">
    <w:p w14:paraId="059A2AD5" w14:textId="77777777" w:rsidR="008865F5" w:rsidRDefault="008865F5">
      <w:pPr>
        <w:rPr>
          <w:sz w:val="20"/>
          <w:szCs w:val="20"/>
        </w:rPr>
      </w:pPr>
      <w:r>
        <w:rPr>
          <w:vertAlign w:val="superscript"/>
        </w:rPr>
        <w:footnoteRef/>
      </w:r>
      <w:r>
        <w:rPr>
          <w:sz w:val="20"/>
          <w:szCs w:val="20"/>
        </w:rPr>
        <w:t xml:space="preserve"> p.434</w:t>
      </w:r>
    </w:p>
  </w:footnote>
  <w:footnote w:id="13">
    <w:p w14:paraId="0669DE63" w14:textId="77777777" w:rsidR="008865F5" w:rsidRDefault="008865F5">
      <w:pPr>
        <w:rPr>
          <w:sz w:val="20"/>
          <w:szCs w:val="20"/>
        </w:rPr>
      </w:pPr>
      <w:r>
        <w:rPr>
          <w:vertAlign w:val="superscript"/>
        </w:rPr>
        <w:footnoteRef/>
      </w:r>
      <w:r>
        <w:rPr>
          <w:sz w:val="20"/>
          <w:szCs w:val="20"/>
        </w:rPr>
        <w:t xml:space="preserve"> Braiding p53</w:t>
      </w:r>
    </w:p>
  </w:footnote>
  <w:footnote w:id="14">
    <w:p w14:paraId="26852780" w14:textId="77777777" w:rsidR="008865F5" w:rsidRDefault="008865F5">
      <w:pPr>
        <w:rPr>
          <w:sz w:val="20"/>
          <w:szCs w:val="20"/>
        </w:rPr>
      </w:pPr>
      <w:r>
        <w:rPr>
          <w:vertAlign w:val="superscript"/>
        </w:rPr>
        <w:footnoteRef/>
      </w:r>
      <w:r>
        <w:rPr>
          <w:sz w:val="20"/>
          <w:szCs w:val="20"/>
        </w:rPr>
        <w:t xml:space="preserve"> Marion bowman</w:t>
      </w:r>
    </w:p>
  </w:footnote>
  <w:footnote w:id="15">
    <w:p w14:paraId="5D49216E" w14:textId="77777777" w:rsidR="008865F5" w:rsidRDefault="008865F5">
      <w:pPr>
        <w:rPr>
          <w:sz w:val="20"/>
          <w:szCs w:val="20"/>
        </w:rPr>
      </w:pPr>
      <w:r>
        <w:rPr>
          <w:vertAlign w:val="superscript"/>
        </w:rPr>
        <w:footnoteRef/>
      </w:r>
      <w:r>
        <w:rPr>
          <w:sz w:val="20"/>
          <w:szCs w:val="20"/>
        </w:rPr>
        <w:t xml:space="preserve"> p123</w:t>
      </w:r>
    </w:p>
  </w:footnote>
  <w:footnote w:id="16">
    <w:p w14:paraId="5994612F" w14:textId="77777777" w:rsidR="008865F5" w:rsidRDefault="008865F5">
      <w:pPr>
        <w:rPr>
          <w:sz w:val="20"/>
          <w:szCs w:val="20"/>
        </w:rPr>
      </w:pPr>
      <w:r>
        <w:rPr>
          <w:vertAlign w:val="superscript"/>
        </w:rPr>
        <w:footnoteRef/>
      </w:r>
      <w:r>
        <w:rPr>
          <w:sz w:val="20"/>
          <w:szCs w:val="20"/>
        </w:rPr>
        <w:t xml:space="preserve"> </w:t>
      </w:r>
    </w:p>
  </w:footnote>
  <w:footnote w:id="17">
    <w:p w14:paraId="2C613B51" w14:textId="77777777" w:rsidR="008865F5" w:rsidRDefault="008865F5">
      <w:pPr>
        <w:rPr>
          <w:sz w:val="20"/>
          <w:szCs w:val="20"/>
        </w:rPr>
      </w:pPr>
      <w:r>
        <w:rPr>
          <w:vertAlign w:val="superscript"/>
        </w:rPr>
        <w:footnoteRef/>
      </w:r>
      <w:r>
        <w:rPr>
          <w:sz w:val="20"/>
          <w:szCs w:val="20"/>
        </w:rPr>
        <w:t xml:space="preserve"> https://www-oxfordhandbooks-com.ezproxy.uwtsd.ac.uk/view/10.1093/oxfordhb/9780195178722.001.0001/oxfordhb-9780195178722-e-13</w:t>
      </w:r>
    </w:p>
  </w:footnote>
  <w:footnote w:id="18">
    <w:p w14:paraId="292D53D7" w14:textId="77777777" w:rsidR="008865F5" w:rsidRDefault="008865F5">
      <w:pPr>
        <w:rPr>
          <w:sz w:val="20"/>
          <w:szCs w:val="20"/>
        </w:rPr>
      </w:pPr>
      <w:r>
        <w:rPr>
          <w:vertAlign w:val="superscript"/>
        </w:rPr>
        <w:footnoteRef/>
      </w:r>
      <w:r>
        <w:rPr>
          <w:sz w:val="20"/>
          <w:szCs w:val="20"/>
        </w:rPr>
        <w:t xml:space="preserve"> p124</w:t>
      </w:r>
    </w:p>
  </w:footnote>
  <w:footnote w:id="19">
    <w:p w14:paraId="4AF62889" w14:textId="77777777" w:rsidR="008865F5" w:rsidRDefault="008865F5">
      <w:pPr>
        <w:rPr>
          <w:sz w:val="20"/>
          <w:szCs w:val="20"/>
        </w:rPr>
      </w:pPr>
      <w:r>
        <w:rPr>
          <w:vertAlign w:val="superscript"/>
        </w:rPr>
        <w:footnoteRef/>
      </w:r>
      <w:r>
        <w:rPr>
          <w:sz w:val="20"/>
          <w:szCs w:val="20"/>
        </w:rPr>
        <w:t xml:space="preserve"> https://www.academia.edu/10403230/Nature_Connectedness_and_Eudaimonic_Well-Being_Spirituality_as_a_Potential_Mediator</w:t>
      </w:r>
    </w:p>
  </w:footnote>
  <w:footnote w:id="20">
    <w:p w14:paraId="607DE9E8" w14:textId="77777777" w:rsidR="008865F5" w:rsidRDefault="008865F5">
      <w:pPr>
        <w:rPr>
          <w:sz w:val="20"/>
          <w:szCs w:val="20"/>
        </w:rPr>
      </w:pPr>
      <w:r>
        <w:rPr>
          <w:vertAlign w:val="superscript"/>
        </w:rPr>
        <w:footnoteRef/>
      </w:r>
      <w:r>
        <w:rPr>
          <w:sz w:val="20"/>
          <w:szCs w:val="20"/>
        </w:rPr>
        <w:t xml:space="preserve"> title</w:t>
      </w:r>
    </w:p>
  </w:footnote>
  <w:footnote w:id="21">
    <w:p w14:paraId="598356D3" w14:textId="77777777" w:rsidR="008865F5" w:rsidRDefault="008865F5">
      <w:pPr>
        <w:rPr>
          <w:sz w:val="20"/>
          <w:szCs w:val="20"/>
        </w:rPr>
      </w:pPr>
      <w:r>
        <w:rPr>
          <w:vertAlign w:val="superscript"/>
        </w:rPr>
        <w:footnoteRef/>
      </w:r>
      <w:r>
        <w:rPr>
          <w:sz w:val="20"/>
          <w:szCs w:val="20"/>
        </w:rPr>
        <w:t xml:space="preserve"> p437</w:t>
      </w:r>
    </w:p>
  </w:footnote>
  <w:footnote w:id="22">
    <w:p w14:paraId="1EA6CBEC" w14:textId="77777777" w:rsidR="008865F5" w:rsidRDefault="008865F5">
      <w:pPr>
        <w:rPr>
          <w:sz w:val="20"/>
          <w:szCs w:val="20"/>
        </w:rPr>
      </w:pPr>
      <w:r>
        <w:rPr>
          <w:vertAlign w:val="superscript"/>
        </w:rPr>
        <w:footnoteRef/>
      </w:r>
      <w:r>
        <w:rPr>
          <w:sz w:val="20"/>
          <w:szCs w:val="20"/>
        </w:rPr>
        <w:t xml:space="preserve"> </w:t>
      </w:r>
      <w:proofErr w:type="spellStart"/>
      <w:r>
        <w:rPr>
          <w:sz w:val="20"/>
          <w:szCs w:val="20"/>
        </w:rPr>
        <w:t>Gadgil</w:t>
      </w:r>
      <w:proofErr w:type="spellEnd"/>
      <w:r>
        <w:rPr>
          <w:sz w:val="20"/>
          <w:szCs w:val="20"/>
        </w:rPr>
        <w:t xml:space="preserve"> 434</w:t>
      </w:r>
    </w:p>
  </w:footnote>
  <w:footnote w:id="23">
    <w:p w14:paraId="7FE9EC74" w14:textId="77777777" w:rsidR="008865F5" w:rsidRDefault="008865F5">
      <w:pPr>
        <w:rPr>
          <w:sz w:val="20"/>
          <w:szCs w:val="20"/>
        </w:rPr>
      </w:pPr>
      <w:r>
        <w:rPr>
          <w:vertAlign w:val="superscript"/>
        </w:rPr>
        <w:footnoteRef/>
      </w:r>
      <w:r>
        <w:rPr>
          <w:sz w:val="20"/>
          <w:szCs w:val="20"/>
        </w:rPr>
        <w:t xml:space="preserve"> </w:t>
      </w:r>
      <w:proofErr w:type="spellStart"/>
      <w:r>
        <w:rPr>
          <w:sz w:val="20"/>
          <w:szCs w:val="20"/>
        </w:rPr>
        <w:t>Lyyn</w:t>
      </w:r>
      <w:proofErr w:type="spellEnd"/>
      <w:r>
        <w:rPr>
          <w:sz w:val="20"/>
          <w:szCs w:val="20"/>
        </w:rPr>
        <w:t xml:space="preserve"> white</w:t>
      </w:r>
    </w:p>
  </w:footnote>
  <w:footnote w:id="24">
    <w:p w14:paraId="4C212888" w14:textId="77777777" w:rsidR="008865F5" w:rsidRDefault="008865F5">
      <w:pPr>
        <w:rPr>
          <w:sz w:val="20"/>
          <w:szCs w:val="20"/>
        </w:rPr>
      </w:pPr>
      <w:r>
        <w:rPr>
          <w:vertAlign w:val="superscript"/>
        </w:rPr>
        <w:footnoteRef/>
      </w:r>
      <w:r>
        <w:rPr>
          <w:sz w:val="20"/>
          <w:szCs w:val="20"/>
        </w:rPr>
        <w:t xml:space="preserve"> Last page</w:t>
      </w:r>
    </w:p>
  </w:footnote>
  <w:footnote w:id="25">
    <w:p w14:paraId="2F1CD621" w14:textId="77777777" w:rsidR="008865F5" w:rsidRDefault="008865F5">
      <w:pPr>
        <w:rPr>
          <w:sz w:val="20"/>
          <w:szCs w:val="20"/>
        </w:rPr>
      </w:pPr>
      <w:r>
        <w:rPr>
          <w:vertAlign w:val="superscript"/>
        </w:rPr>
        <w:footnoteRef/>
      </w:r>
      <w:r>
        <w:rPr>
          <w:sz w:val="20"/>
          <w:szCs w:val="20"/>
        </w:rPr>
        <w:t xml:space="preserve"> </w:t>
      </w:r>
    </w:p>
  </w:footnote>
  <w:footnote w:id="26">
    <w:p w14:paraId="004F78F9" w14:textId="77777777" w:rsidR="008865F5" w:rsidRDefault="008865F5">
      <w:pPr>
        <w:rPr>
          <w:sz w:val="20"/>
          <w:szCs w:val="20"/>
        </w:rPr>
      </w:pPr>
      <w:r>
        <w:rPr>
          <w:vertAlign w:val="superscript"/>
        </w:rPr>
        <w:footnoteRef/>
      </w:r>
      <w:r>
        <w:rPr>
          <w:sz w:val="20"/>
          <w:szCs w:val="20"/>
        </w:rPr>
        <w:t xml:space="preserve"> </w:t>
      </w:r>
    </w:p>
  </w:footnote>
  <w:footnote w:id="27">
    <w:p w14:paraId="03E098CA" w14:textId="77777777" w:rsidR="008865F5" w:rsidRDefault="008865F5">
      <w:pPr>
        <w:rPr>
          <w:sz w:val="20"/>
          <w:szCs w:val="20"/>
        </w:rPr>
      </w:pPr>
      <w:r>
        <w:rPr>
          <w:vertAlign w:val="superscript"/>
        </w:rPr>
        <w:footnoteRef/>
      </w:r>
      <w:r>
        <w:rPr>
          <w:sz w:val="20"/>
          <w:szCs w:val="20"/>
        </w:rPr>
        <w:t xml:space="preserve"> P154 </w:t>
      </w:r>
      <w:proofErr w:type="spellStart"/>
      <w:r>
        <w:rPr>
          <w:sz w:val="20"/>
          <w:szCs w:val="20"/>
        </w:rPr>
        <w:t>bron</w:t>
      </w:r>
      <w:proofErr w:type="spellEnd"/>
      <w:r>
        <w:rPr>
          <w:sz w:val="20"/>
          <w:szCs w:val="20"/>
        </w:rPr>
        <w:t xml:space="preserve"> book</w:t>
      </w:r>
    </w:p>
  </w:footnote>
  <w:footnote w:id="28">
    <w:p w14:paraId="5A5236EE" w14:textId="77777777" w:rsidR="008865F5" w:rsidRDefault="008865F5">
      <w:pPr>
        <w:rPr>
          <w:sz w:val="20"/>
          <w:szCs w:val="20"/>
        </w:rPr>
      </w:pPr>
      <w:r>
        <w:rPr>
          <w:vertAlign w:val="superscript"/>
        </w:rPr>
        <w:footnoteRef/>
      </w:r>
      <w:r>
        <w:rPr>
          <w:sz w:val="20"/>
          <w:szCs w:val="20"/>
        </w:rPr>
        <w:t xml:space="preserve"> </w:t>
      </w:r>
    </w:p>
  </w:footnote>
  <w:footnote w:id="29">
    <w:p w14:paraId="1F121D7E" w14:textId="77777777" w:rsidR="008865F5" w:rsidRDefault="008865F5">
      <w:pPr>
        <w:rPr>
          <w:sz w:val="20"/>
          <w:szCs w:val="20"/>
        </w:rPr>
      </w:pPr>
      <w:r>
        <w:rPr>
          <w:vertAlign w:val="superscript"/>
        </w:rPr>
        <w:footnoteRef/>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E8DE" w14:textId="470D9E6F" w:rsidR="007B7F16" w:rsidRDefault="007B7F16">
    <w:pPr>
      <w:pStyle w:val="Header"/>
    </w:pPr>
    <w:r>
      <w:t>Fiona Manto – HCPA7023 – Essay 1</w:t>
    </w:r>
  </w:p>
  <w:p w14:paraId="6DFB9E20" w14:textId="77777777" w:rsidR="00EF2191" w:rsidRDefault="00EF2191">
    <w:pPr>
      <w:pStyle w:val="HeaderFooter"/>
      <w:tabs>
        <w:tab w:val="clear" w:pos="9020"/>
        <w:tab w:val="center" w:pos="4819"/>
        <w:tab w:val="right" w:pos="9638"/>
      </w:tabs>
      <w:rPr>
        <w:rFonts w:ascii="Times New Roman" w:hAnsi="Times New Roman" w:cs="Times New Roman"/>
        <w:color w:val="auto"/>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v-text-anchor:middle" fillcolor="black">
      <v:fill color="black"/>
      <v:stroke weight="2pt" miterlimit="4"/>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CB2"/>
    <w:rsid w:val="003D06AE"/>
    <w:rsid w:val="006D563C"/>
    <w:rsid w:val="007B7F16"/>
    <w:rsid w:val="008865F5"/>
    <w:rsid w:val="00A54874"/>
    <w:rsid w:val="00B80CB2"/>
    <w:rsid w:val="00D420B8"/>
    <w:rsid w:val="00EF2191"/>
    <w:rsid w:val="00F23A46"/>
    <w:rsid w:val="011C5E41"/>
    <w:rsid w:val="063C27D6"/>
    <w:rsid w:val="0FC9E1BF"/>
    <w:rsid w:val="12B1707D"/>
    <w:rsid w:val="13018281"/>
    <w:rsid w:val="1934D6EF"/>
    <w:rsid w:val="323BF9E9"/>
    <w:rsid w:val="540C8B4B"/>
    <w:rsid w:val="605B5793"/>
    <w:rsid w:val="6556DA45"/>
    <w:rsid w:val="68711E0C"/>
    <w:rsid w:val="717FB0F3"/>
    <w:rsid w:val="753241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fillcolor="black">
      <v:fill color="black"/>
      <v:stroke weight="2pt" miterlimit="4"/>
      <v:textbox style="mso-column-margin:3pt;mso-fit-shape-to-text:t" inset="4pt,4pt,4pt,4pt"/>
    </o:shapedefaults>
    <o:shapelayout v:ext="edit">
      <o:idmap v:ext="edit" data="2"/>
    </o:shapelayout>
  </w:shapeDefaults>
  <w:doNotEmbedSmartTags/>
  <w:decimalSymbol w:val="."/>
  <w:listSeparator w:val=","/>
  <w14:docId w14:val="5ACA0A46"/>
  <w15:chartTrackingRefBased/>
  <w15:docId w15:val="{10E833D1-49F8-403B-93C8-509E622C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1">
    <w:name w:val="Heading 31"/>
    <w:next w:val="Body"/>
    <w:qFormat/>
    <w:pPr>
      <w:keepNext/>
      <w:pBdr>
        <w:top w:val="single" w:sz="4" w:space="0" w:color="515151"/>
      </w:pBdr>
      <w:spacing w:before="360" w:after="40" w:line="288" w:lineRule="auto"/>
      <w:outlineLvl w:val="2"/>
    </w:pPr>
    <w:rPr>
      <w:rFonts w:ascii="Helvetica Neue" w:eastAsia="Arial Unicode MS" w:hAnsi="Helvetica Neue" w:cs="Arial Unicode MS"/>
      <w:color w:val="000000"/>
      <w:spacing w:val="5"/>
      <w:sz w:val="28"/>
      <w:szCs w:val="28"/>
      <w:lang w:eastAsia="en-GB"/>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sz w:val="24"/>
      <w:szCs w:val="24"/>
      <w:lang w:eastAsia="en-GB"/>
    </w:rPr>
  </w:style>
  <w:style w:type="paragraph" w:customStyle="1" w:styleId="Body">
    <w:name w:val="Body"/>
    <w:pPr>
      <w:spacing w:before="160"/>
    </w:pPr>
    <w:rPr>
      <w:rFonts w:ascii="Helvetica Neue" w:eastAsia="Arial Unicode MS" w:hAnsi="Helvetica Neue" w:cs="Arial Unicode MS"/>
      <w:color w:val="000000"/>
      <w:sz w:val="24"/>
      <w:szCs w:val="24"/>
      <w:lang w:eastAsia="en-GB"/>
    </w:rPr>
  </w:style>
  <w:style w:type="paragraph" w:customStyle="1" w:styleId="Footnote">
    <w:name w:val="Footnote"/>
    <w:rPr>
      <w:rFonts w:ascii="Helvetica Neue" w:eastAsia="Helvetica Neue" w:hAnsi="Helvetica Neue" w:cs="Helvetica Neue"/>
      <w:color w:val="000000"/>
      <w:sz w:val="22"/>
      <w:szCs w:val="22"/>
      <w:lang w:eastAsia="en-GB"/>
    </w:rPr>
  </w:style>
  <w:style w:type="paragraph" w:styleId="Header">
    <w:name w:val="header"/>
    <w:basedOn w:val="Normal"/>
    <w:link w:val="HeaderChar"/>
    <w:uiPriority w:val="99"/>
    <w:locked/>
    <w:rsid w:val="008865F5"/>
    <w:pPr>
      <w:tabs>
        <w:tab w:val="center" w:pos="4513"/>
        <w:tab w:val="right" w:pos="9026"/>
      </w:tabs>
    </w:pPr>
  </w:style>
  <w:style w:type="character" w:customStyle="1" w:styleId="HeaderChar">
    <w:name w:val="Header Char"/>
    <w:basedOn w:val="DefaultParagraphFont"/>
    <w:link w:val="Header"/>
    <w:uiPriority w:val="99"/>
    <w:rsid w:val="008865F5"/>
    <w:rPr>
      <w:sz w:val="24"/>
      <w:szCs w:val="24"/>
      <w:lang w:val="en-US" w:eastAsia="en-US"/>
    </w:rPr>
  </w:style>
  <w:style w:type="paragraph" w:styleId="Footer">
    <w:name w:val="footer"/>
    <w:basedOn w:val="Normal"/>
    <w:link w:val="FooterChar"/>
    <w:uiPriority w:val="99"/>
    <w:locked/>
    <w:rsid w:val="008865F5"/>
    <w:pPr>
      <w:tabs>
        <w:tab w:val="center" w:pos="4513"/>
        <w:tab w:val="right" w:pos="9026"/>
      </w:tabs>
    </w:pPr>
  </w:style>
  <w:style w:type="character" w:customStyle="1" w:styleId="FooterChar">
    <w:name w:val="Footer Char"/>
    <w:basedOn w:val="DefaultParagraphFont"/>
    <w:link w:val="Footer"/>
    <w:uiPriority w:val="99"/>
    <w:rsid w:val="008865F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sf.edu/faculty/kimme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dc:creator>
  <cp:keywords/>
  <cp:lastModifiedBy>Fiona Mary Manto (2115803)</cp:lastModifiedBy>
  <cp:revision>2</cp:revision>
  <dcterms:created xsi:type="dcterms:W3CDTF">2021-11-16T00:31:00Z</dcterms:created>
  <dcterms:modified xsi:type="dcterms:W3CDTF">2021-11-16T00:31:00Z</dcterms:modified>
</cp:coreProperties>
</file>