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9EC9C53" w14:textId="1744D5ED"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r w:rsidR="00114199">
        <w:rPr>
          <w:rFonts w:ascii="Times New Roman" w:hAnsi="Times New Roman"/>
          <w:b/>
          <w:bCs/>
          <w:sz w:val="32"/>
          <w:szCs w:val="32"/>
        </w:rPr>
        <w:t xml:space="preserve">Questions and Guidelines for </w:t>
      </w:r>
      <w:r w:rsidR="00114199" w:rsidRPr="009F64B3">
        <w:rPr>
          <w:rFonts w:ascii="Times New Roman" w:hAnsi="Times New Roman"/>
          <w:b/>
          <w:bCs/>
          <w:sz w:val="32"/>
          <w:szCs w:val="32"/>
        </w:rPr>
        <w:t>Assessment Component 1</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77777777" w:rsidR="00D46920" w:rsidRDefault="00D469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58EAA200" w14:textId="77777777" w:rsidR="00D46920" w:rsidRDefault="00D46920" w:rsidP="00D46920">
      <w:pPr>
        <w:spacing w:line="360" w:lineRule="auto"/>
        <w:rPr>
          <w:rStyle w:val="Strong"/>
          <w:rFonts w:ascii="Arial" w:hAnsi="Arial" w:cs="Arial"/>
          <w:color w:val="1D2125"/>
          <w:sz w:val="32"/>
          <w:szCs w:val="32"/>
        </w:rPr>
      </w:pPr>
    </w:p>
    <w:p w14:paraId="3B11AA71" w14:textId="2FC476CF" w:rsidR="00E73C57"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E73C57">
        <w:rPr>
          <w:rStyle w:val="Strong"/>
          <w:rFonts w:ascii="Arial" w:hAnsi="Arial" w:cs="Arial"/>
          <w:color w:val="1D2125"/>
          <w:sz w:val="32"/>
          <w:szCs w:val="32"/>
        </w:rPr>
        <w:t xml:space="preserve"> Michala Peterova</w:t>
      </w:r>
    </w:p>
    <w:p w14:paraId="3DCFFD10" w14:textId="31DCCBDE"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E73C57">
        <w:rPr>
          <w:rStyle w:val="Strong"/>
          <w:rFonts w:ascii="Arial" w:hAnsi="Arial" w:cs="Arial"/>
          <w:color w:val="1D2125"/>
          <w:sz w:val="32"/>
          <w:szCs w:val="32"/>
        </w:rPr>
        <w:t xml:space="preserve"> 2418841</w:t>
      </w:r>
    </w:p>
    <w:p w14:paraId="6F2C3011" w14:textId="5916C04A"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45203E">
        <w:rPr>
          <w:rStyle w:val="Strong"/>
          <w:rFonts w:ascii="Arial" w:hAnsi="Arial" w:cs="Arial"/>
          <w:color w:val="1D2125"/>
          <w:sz w:val="32"/>
          <w:szCs w:val="32"/>
        </w:rPr>
        <w:t xml:space="preserve"> Brian Mashumba</w:t>
      </w:r>
    </w:p>
    <w:p w14:paraId="0D3CF38A" w14:textId="77777777" w:rsidR="00D46920" w:rsidRDefault="00D46920"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1DF762CF" w14:textId="77777777" w:rsidR="00D46920" w:rsidRDefault="00D46920" w:rsidP="00D46920">
      <w:pPr>
        <w:spacing w:line="360" w:lineRule="auto"/>
        <w:rPr>
          <w:rFonts w:ascii="Arial" w:hAnsi="Arial" w:cs="Arial"/>
          <w:sz w:val="36"/>
          <w:szCs w:val="36"/>
        </w:rPr>
      </w:pPr>
    </w:p>
    <w:p w14:paraId="36966376" w14:textId="77777777" w:rsidR="00D46920" w:rsidRDefault="00D46920" w:rsidP="00D46920">
      <w:pPr>
        <w:spacing w:line="360" w:lineRule="auto"/>
        <w:rPr>
          <w:rFonts w:ascii="Arial" w:hAnsi="Arial" w:cs="Arial"/>
          <w:sz w:val="36"/>
          <w:szCs w:val="36"/>
        </w:rPr>
      </w:pPr>
    </w:p>
    <w:p w14:paraId="42726B8D" w14:textId="77777777" w:rsidR="00D46920" w:rsidRPr="00B52F82" w:rsidRDefault="00D46920" w:rsidP="00D46920">
      <w:pPr>
        <w:pStyle w:val="NormalWeb"/>
        <w:spacing w:line="360" w:lineRule="auto"/>
        <w:rPr>
          <w:rFonts w:ascii="Arial" w:hAnsi="Arial" w:cs="Arial"/>
          <w:b/>
          <w:bCs/>
          <w:color w:val="000000"/>
          <w:sz w:val="32"/>
          <w:szCs w:val="32"/>
        </w:rPr>
      </w:pPr>
      <w:r w:rsidRPr="00B52F82">
        <w:rPr>
          <w:rFonts w:ascii="Arial" w:hAnsi="Arial" w:cs="Arial"/>
          <w:b/>
          <w:bCs/>
          <w:color w:val="000000"/>
          <w:sz w:val="32"/>
          <w:szCs w:val="32"/>
        </w:rPr>
        <w:t>Table of contents</w:t>
      </w:r>
    </w:p>
    <w:p w14:paraId="3F482122" w14:textId="77777777" w:rsidR="00B52F82" w:rsidRPr="00B52F82" w:rsidRDefault="00B52F82" w:rsidP="00B52F82">
      <w:pPr>
        <w:pStyle w:val="pdq2pgselectionanchorcontainer"/>
        <w:rPr>
          <w:color w:val="000000"/>
          <w:sz w:val="32"/>
          <w:szCs w:val="32"/>
        </w:rPr>
      </w:pPr>
      <w:r w:rsidRPr="00B52F82">
        <w:rPr>
          <w:rStyle w:val="Strong"/>
          <w:color w:val="000000"/>
          <w:sz w:val="32"/>
          <w:szCs w:val="32"/>
        </w:rPr>
        <w:t>Introduction</w:t>
      </w:r>
    </w:p>
    <w:p w14:paraId="4D2BFAA7" w14:textId="77777777" w:rsidR="00B52F82" w:rsidRPr="00B52F82" w:rsidRDefault="00B52F82" w:rsidP="00B52F82">
      <w:pPr>
        <w:pStyle w:val="NormalWeb"/>
        <w:rPr>
          <w:color w:val="000000"/>
          <w:sz w:val="32"/>
          <w:szCs w:val="32"/>
        </w:rPr>
      </w:pPr>
      <w:r w:rsidRPr="00B52F82">
        <w:rPr>
          <w:rStyle w:val="Strong"/>
          <w:color w:val="000000"/>
          <w:sz w:val="32"/>
          <w:szCs w:val="32"/>
        </w:rPr>
        <w:t>Task 1 – Defining Key Concepts in Practice</w:t>
      </w:r>
    </w:p>
    <w:p w14:paraId="2B3BC8B0" w14:textId="77777777" w:rsidR="00B52F82" w:rsidRPr="00B52F82" w:rsidRDefault="00B52F82" w:rsidP="00B52F82">
      <w:pPr>
        <w:pStyle w:val="NormalWeb"/>
        <w:rPr>
          <w:color w:val="000000"/>
          <w:sz w:val="32"/>
          <w:szCs w:val="32"/>
        </w:rPr>
      </w:pPr>
      <w:r w:rsidRPr="00B52F82">
        <w:rPr>
          <w:rStyle w:val="Strong"/>
          <w:color w:val="000000"/>
          <w:sz w:val="32"/>
          <w:szCs w:val="32"/>
        </w:rPr>
        <w:t>Task 2 – Mind Map</w:t>
      </w:r>
    </w:p>
    <w:p w14:paraId="2F8ED09F" w14:textId="77777777" w:rsidR="00B52F82" w:rsidRPr="00B52F82" w:rsidRDefault="00B52F82" w:rsidP="00B52F82">
      <w:pPr>
        <w:pStyle w:val="NormalWeb"/>
        <w:rPr>
          <w:color w:val="000000"/>
          <w:sz w:val="32"/>
          <w:szCs w:val="32"/>
        </w:rPr>
      </w:pPr>
      <w:r w:rsidRPr="00B52F82">
        <w:rPr>
          <w:rStyle w:val="Strong"/>
          <w:color w:val="000000"/>
          <w:sz w:val="32"/>
          <w:szCs w:val="32"/>
        </w:rPr>
        <w:t>Task 3 – Self-Reflection of Group Activity</w:t>
      </w:r>
    </w:p>
    <w:p w14:paraId="14E61E95" w14:textId="77777777" w:rsidR="00B52F82" w:rsidRPr="00B52F82" w:rsidRDefault="00B52F82" w:rsidP="00B52F82">
      <w:pPr>
        <w:pStyle w:val="NormalWeb"/>
        <w:rPr>
          <w:color w:val="000000"/>
          <w:sz w:val="32"/>
          <w:szCs w:val="32"/>
        </w:rPr>
      </w:pPr>
      <w:r w:rsidRPr="00B52F82">
        <w:rPr>
          <w:rStyle w:val="Strong"/>
          <w:color w:val="000000"/>
          <w:sz w:val="32"/>
          <w:szCs w:val="32"/>
        </w:rPr>
        <w:t>Task 4 – Case Study Analysis of a UK Innovation</w:t>
      </w:r>
    </w:p>
    <w:p w14:paraId="5B300428" w14:textId="77777777" w:rsidR="00B52F82" w:rsidRPr="00B52F82" w:rsidRDefault="00B52F82" w:rsidP="00B52F82">
      <w:pPr>
        <w:pStyle w:val="NormalWeb"/>
        <w:rPr>
          <w:color w:val="000000"/>
          <w:sz w:val="32"/>
          <w:szCs w:val="32"/>
        </w:rPr>
      </w:pPr>
      <w:r w:rsidRPr="00B52F82">
        <w:rPr>
          <w:rStyle w:val="Strong"/>
          <w:color w:val="000000"/>
          <w:sz w:val="32"/>
          <w:szCs w:val="32"/>
        </w:rPr>
        <w:t>Task 5 – Research Task</w:t>
      </w:r>
    </w:p>
    <w:p w14:paraId="5C1C5E0D" w14:textId="77777777" w:rsidR="00B52F82" w:rsidRPr="00B52F82" w:rsidRDefault="00B52F82" w:rsidP="00B52F82">
      <w:pPr>
        <w:pStyle w:val="NormalWeb"/>
        <w:rPr>
          <w:color w:val="000000"/>
          <w:sz w:val="32"/>
          <w:szCs w:val="32"/>
        </w:rPr>
      </w:pPr>
      <w:r w:rsidRPr="00B52F82">
        <w:rPr>
          <w:rStyle w:val="Strong"/>
          <w:color w:val="000000"/>
          <w:sz w:val="32"/>
          <w:szCs w:val="32"/>
        </w:rPr>
        <w:t>Task 6 – Exploring Digital Innovation in Health and Social Care</w:t>
      </w:r>
    </w:p>
    <w:p w14:paraId="47510BAA" w14:textId="77777777" w:rsidR="00B52F82" w:rsidRPr="00B52F82" w:rsidRDefault="00B52F82" w:rsidP="00B52F82">
      <w:pPr>
        <w:pStyle w:val="NormalWeb"/>
        <w:rPr>
          <w:color w:val="000000"/>
          <w:sz w:val="32"/>
          <w:szCs w:val="32"/>
        </w:rPr>
      </w:pPr>
      <w:r w:rsidRPr="00B52F82">
        <w:rPr>
          <w:rStyle w:val="Strong"/>
          <w:color w:val="000000"/>
          <w:sz w:val="32"/>
          <w:szCs w:val="32"/>
        </w:rPr>
        <w:t>Task 7 – Understanding the NHS Leadership Framework</w:t>
      </w:r>
    </w:p>
    <w:p w14:paraId="0B3944AA" w14:textId="77777777" w:rsidR="00B52F82" w:rsidRPr="00B52F82" w:rsidRDefault="00B52F82" w:rsidP="00B52F82">
      <w:pPr>
        <w:pStyle w:val="NormalWeb"/>
        <w:rPr>
          <w:color w:val="000000"/>
          <w:sz w:val="32"/>
          <w:szCs w:val="32"/>
        </w:rPr>
      </w:pPr>
      <w:r w:rsidRPr="00B52F82">
        <w:rPr>
          <w:rStyle w:val="Strong"/>
          <w:color w:val="000000"/>
          <w:sz w:val="32"/>
          <w:szCs w:val="32"/>
        </w:rPr>
        <w:t>Task 8 – Self-Reflection Journal Entry</w:t>
      </w:r>
    </w:p>
    <w:p w14:paraId="2F0BE14F" w14:textId="77777777" w:rsidR="00B52F82" w:rsidRPr="00B52F82" w:rsidRDefault="00B52F82" w:rsidP="00B52F82">
      <w:pPr>
        <w:pStyle w:val="NormalWeb"/>
        <w:rPr>
          <w:color w:val="000000"/>
          <w:sz w:val="32"/>
          <w:szCs w:val="32"/>
        </w:rPr>
      </w:pPr>
      <w:r w:rsidRPr="00B52F82">
        <w:rPr>
          <w:rStyle w:val="Strong"/>
          <w:color w:val="000000"/>
          <w:sz w:val="32"/>
          <w:szCs w:val="32"/>
        </w:rPr>
        <w:t>Reference List</w:t>
      </w:r>
    </w:p>
    <w:p w14:paraId="3A94D737" w14:textId="7101D0E8" w:rsidR="00D46920" w:rsidRDefault="00D46920" w:rsidP="00D46920">
      <w:pPr>
        <w:pStyle w:val="NormalWeb"/>
        <w:spacing w:line="360" w:lineRule="auto"/>
        <w:rPr>
          <w:rFonts w:ascii="Arial" w:hAnsi="Arial" w:cs="Arial"/>
          <w:b/>
          <w:bCs/>
          <w:color w:val="000000"/>
        </w:rPr>
      </w:pPr>
    </w:p>
    <w:p w14:paraId="23E97EEA" w14:textId="77777777" w:rsidR="00D46920" w:rsidRDefault="00D46920" w:rsidP="005C28E8">
      <w:pPr>
        <w:spacing w:line="360" w:lineRule="auto"/>
        <w:rPr>
          <w:rFonts w:ascii="Times New Roman" w:hAnsi="Times New Roman"/>
          <w:b/>
          <w:bCs/>
          <w:sz w:val="32"/>
          <w:szCs w:val="32"/>
        </w:rPr>
      </w:pPr>
    </w:p>
    <w:p w14:paraId="2BB188C7" w14:textId="77777777" w:rsidR="00D46920" w:rsidRDefault="00D46920" w:rsidP="005C28E8">
      <w:pPr>
        <w:spacing w:line="360" w:lineRule="auto"/>
        <w:rPr>
          <w:rFonts w:ascii="Times New Roman" w:hAnsi="Times New Roman"/>
          <w:b/>
          <w:bCs/>
          <w:sz w:val="32"/>
          <w:szCs w:val="32"/>
        </w:rPr>
      </w:pPr>
    </w:p>
    <w:p w14:paraId="23C4321B" w14:textId="77777777" w:rsidR="00D46920" w:rsidRDefault="00D46920" w:rsidP="005C28E8">
      <w:pPr>
        <w:spacing w:line="360" w:lineRule="auto"/>
        <w:rPr>
          <w:rFonts w:ascii="Times New Roman" w:hAnsi="Times New Roman"/>
          <w:b/>
          <w:bCs/>
          <w:sz w:val="32"/>
          <w:szCs w:val="32"/>
        </w:rPr>
      </w:pPr>
    </w:p>
    <w:p w14:paraId="2DFFC7B2" w14:textId="77777777" w:rsidR="00D46920" w:rsidRDefault="00D46920" w:rsidP="005C28E8">
      <w:pPr>
        <w:spacing w:line="360" w:lineRule="auto"/>
        <w:rPr>
          <w:rFonts w:ascii="Times New Roman" w:hAnsi="Times New Roman"/>
          <w:b/>
          <w:bCs/>
          <w:sz w:val="32"/>
          <w:szCs w:val="32"/>
        </w:rPr>
      </w:pPr>
    </w:p>
    <w:p w14:paraId="3EC5A596" w14:textId="77777777" w:rsidR="00D46920" w:rsidRDefault="00D46920" w:rsidP="005C28E8">
      <w:pPr>
        <w:spacing w:line="360" w:lineRule="auto"/>
        <w:rPr>
          <w:rFonts w:ascii="Times New Roman" w:hAnsi="Times New Roman"/>
          <w:b/>
          <w:bCs/>
          <w:sz w:val="32"/>
          <w:szCs w:val="32"/>
        </w:rPr>
      </w:pPr>
    </w:p>
    <w:p w14:paraId="01DFDCA7" w14:textId="77777777" w:rsidR="00D46920" w:rsidRDefault="00D46920" w:rsidP="005C28E8">
      <w:pPr>
        <w:spacing w:line="360" w:lineRule="auto"/>
        <w:rPr>
          <w:rFonts w:ascii="Times New Roman" w:hAnsi="Times New Roman"/>
          <w:b/>
          <w:bCs/>
          <w:sz w:val="32"/>
          <w:szCs w:val="32"/>
        </w:rPr>
      </w:pPr>
    </w:p>
    <w:p w14:paraId="747B80A3" w14:textId="77777777" w:rsidR="00D46920" w:rsidRDefault="00D46920" w:rsidP="005C28E8">
      <w:pPr>
        <w:spacing w:line="360" w:lineRule="auto"/>
        <w:rPr>
          <w:rFonts w:ascii="Times New Roman" w:hAnsi="Times New Roman"/>
          <w:b/>
          <w:bCs/>
          <w:sz w:val="32"/>
          <w:szCs w:val="32"/>
        </w:rPr>
      </w:pPr>
    </w:p>
    <w:p w14:paraId="7612D461" w14:textId="77777777" w:rsidR="00B52F82" w:rsidRDefault="00B52F82" w:rsidP="00B52F82">
      <w:pPr>
        <w:pStyle w:val="Heading2"/>
        <w:rPr>
          <w:b/>
          <w:bCs/>
          <w:color w:val="000000"/>
          <w:sz w:val="36"/>
          <w:szCs w:val="36"/>
        </w:rPr>
      </w:pPr>
      <w:r w:rsidRPr="00B52F82">
        <w:rPr>
          <w:b/>
          <w:bCs/>
          <w:color w:val="000000"/>
          <w:sz w:val="36"/>
          <w:szCs w:val="36"/>
        </w:rPr>
        <w:lastRenderedPageBreak/>
        <w:t>Introduction</w:t>
      </w:r>
    </w:p>
    <w:p w14:paraId="1B6300CF" w14:textId="77777777" w:rsidR="0030397C" w:rsidRDefault="0030397C" w:rsidP="0030397C">
      <w:pPr>
        <w:pStyle w:val="pdq2pgselectionanchorcontainer"/>
        <w:rPr>
          <w:rFonts w:ascii="Arial" w:hAnsi="Arial" w:cs="Arial"/>
          <w:color w:val="000000"/>
          <w:sz w:val="32"/>
          <w:szCs w:val="32"/>
        </w:rPr>
      </w:pPr>
      <w:r w:rsidRPr="0030397C">
        <w:rPr>
          <w:rFonts w:ascii="Arial" w:hAnsi="Arial" w:cs="Arial"/>
          <w:color w:val="000000"/>
          <w:sz w:val="32"/>
          <w:szCs w:val="32"/>
        </w:rPr>
        <w:t>This portfolio demonstrates what I have learned throughout the Changemakers module and how these ideas can be applied within health and social care. It explores the importance of innovation, creativity, leadership and digital technology in improving services and responding to the changing needs of patients and communities. Throughout the portfolio, I use academic evidence, practical examples and personal reflection to explain how these concepts can support better decision-making, improve the quality of care and contribute to more effective health and social care practice.</w:t>
      </w:r>
    </w:p>
    <w:p w14:paraId="083E8EA2" w14:textId="7D17D4BC" w:rsidR="0030397C" w:rsidRDefault="00C1099B" w:rsidP="0030397C">
      <w:pPr>
        <w:pStyle w:val="pdq2pgselectionanchorcontainer"/>
        <w:rPr>
          <w:rFonts w:ascii="Arial" w:hAnsi="Arial" w:cs="Arial"/>
          <w:b/>
          <w:bCs/>
          <w:color w:val="000000"/>
          <w:sz w:val="32"/>
          <w:szCs w:val="32"/>
        </w:rPr>
      </w:pPr>
      <w:r w:rsidRPr="006F6FC2">
        <w:rPr>
          <w:rFonts w:ascii="Arial" w:hAnsi="Arial" w:cs="Arial"/>
          <w:b/>
          <w:bCs/>
          <w:color w:val="000000"/>
          <w:sz w:val="32"/>
          <w:szCs w:val="32"/>
        </w:rPr>
        <w:t>Task 1 Defining Key Concepts in Practi</w:t>
      </w:r>
      <w:r w:rsidR="00FE6EEF">
        <w:rPr>
          <w:rFonts w:ascii="Arial" w:hAnsi="Arial" w:cs="Arial"/>
          <w:b/>
          <w:bCs/>
          <w:color w:val="000000"/>
          <w:sz w:val="32"/>
          <w:szCs w:val="32"/>
        </w:rPr>
        <w:t>ce</w:t>
      </w:r>
    </w:p>
    <w:p w14:paraId="7E78AEBF" w14:textId="77777777" w:rsidR="0030397C" w:rsidRDefault="00C1099B" w:rsidP="0030397C">
      <w:pPr>
        <w:pStyle w:val="pdq2pgselectionanchorcontainer"/>
        <w:rPr>
          <w:rFonts w:ascii="Arial" w:hAnsi="Arial" w:cs="Arial"/>
          <w:b/>
          <w:bCs/>
          <w:color w:val="000000"/>
          <w:sz w:val="32"/>
          <w:szCs w:val="32"/>
        </w:rPr>
      </w:pPr>
      <w:r w:rsidRPr="006F6FC2">
        <w:rPr>
          <w:rFonts w:ascii="Arial" w:hAnsi="Arial" w:cs="Arial"/>
          <w:b/>
          <w:bCs/>
          <w:color w:val="000000"/>
          <w:sz w:val="32"/>
          <w:szCs w:val="32"/>
        </w:rPr>
        <w:t>Innovation</w:t>
      </w:r>
    </w:p>
    <w:p w14:paraId="05212ADD" w14:textId="77777777" w:rsidR="0030397C" w:rsidRDefault="00C62C0D" w:rsidP="0030397C">
      <w:pPr>
        <w:pStyle w:val="pdq2pgselectionanchorcontainer"/>
        <w:rPr>
          <w:rFonts w:ascii="-webkit-standard" w:hAnsi="-webkit-standard"/>
          <w:color w:val="000000"/>
          <w:sz w:val="27"/>
          <w:szCs w:val="27"/>
        </w:rPr>
      </w:pPr>
      <w:r w:rsidRPr="00C62C0D">
        <w:rPr>
          <w:rFonts w:ascii="Arial" w:hAnsi="Arial" w:cs="Arial"/>
          <w:color w:val="000000"/>
          <w:sz w:val="32"/>
          <w:szCs w:val="32"/>
        </w:rPr>
        <w:t>Innovation is the process of developing and applying new or improved ideas, services or ways of working that lead to meaningful improvements in practice. Within health and social care, innovation plays an important role in helping organisations respond to changing patient needs, growing service demand and limited resources. Rogers’ Diffusion of Innovation Theory explains that new ideas are adopted gradually as people recognise their advantages and become more confident in using them (Rogers, 2003). A good example is the use of virtual consultations, which have improved access to healthcare for people who may struggle to attend face-to-face appointments</w:t>
      </w:r>
      <w:r>
        <w:rPr>
          <w:rFonts w:ascii="-webkit-standard" w:hAnsi="-webkit-standard"/>
          <w:color w:val="000000"/>
          <w:sz w:val="27"/>
          <w:szCs w:val="27"/>
        </w:rPr>
        <w:t>.</w:t>
      </w:r>
      <w:r w:rsidR="0030397C">
        <w:rPr>
          <w:rFonts w:ascii="-webkit-standard" w:hAnsi="-webkit-standard"/>
          <w:color w:val="000000"/>
          <w:sz w:val="27"/>
          <w:szCs w:val="27"/>
        </w:rPr>
        <w:t xml:space="preserve"> </w:t>
      </w:r>
    </w:p>
    <w:p w14:paraId="1FC73E30" w14:textId="77777777" w:rsidR="0030397C" w:rsidRDefault="0030397C" w:rsidP="0030397C">
      <w:pPr>
        <w:pStyle w:val="pdq2pgselectionanchorcontainer"/>
        <w:rPr>
          <w:rFonts w:ascii="-webkit-standard" w:hAnsi="-webkit-standard"/>
          <w:color w:val="000000"/>
          <w:sz w:val="27"/>
          <w:szCs w:val="27"/>
        </w:rPr>
      </w:pPr>
    </w:p>
    <w:p w14:paraId="366E428A" w14:textId="77777777" w:rsidR="0030397C" w:rsidRDefault="0030397C" w:rsidP="0030397C">
      <w:pPr>
        <w:pStyle w:val="pdq2pgselectionanchorcontainer"/>
        <w:rPr>
          <w:rFonts w:ascii="-webkit-standard" w:hAnsi="-webkit-standard"/>
          <w:color w:val="000000"/>
          <w:sz w:val="27"/>
          <w:szCs w:val="27"/>
        </w:rPr>
      </w:pPr>
    </w:p>
    <w:p w14:paraId="4F93D7B3" w14:textId="77777777" w:rsidR="0030397C" w:rsidRDefault="0030397C" w:rsidP="0030397C">
      <w:pPr>
        <w:pStyle w:val="pdq2pgselectionanchorcontainer"/>
        <w:rPr>
          <w:rFonts w:ascii="-webkit-standard" w:hAnsi="-webkit-standard"/>
          <w:color w:val="000000"/>
          <w:sz w:val="27"/>
          <w:szCs w:val="27"/>
        </w:rPr>
      </w:pPr>
    </w:p>
    <w:p w14:paraId="6838C6F0" w14:textId="77777777" w:rsidR="0030397C" w:rsidRDefault="0030397C" w:rsidP="0030397C">
      <w:pPr>
        <w:pStyle w:val="pdq2pgselectionanchorcontainer"/>
        <w:rPr>
          <w:rFonts w:ascii="-webkit-standard" w:hAnsi="-webkit-standard"/>
          <w:color w:val="000000"/>
          <w:sz w:val="27"/>
          <w:szCs w:val="27"/>
        </w:rPr>
      </w:pPr>
    </w:p>
    <w:p w14:paraId="33FE7C4D" w14:textId="77777777" w:rsidR="0030397C" w:rsidRDefault="0030397C" w:rsidP="0030397C">
      <w:pPr>
        <w:pStyle w:val="pdq2pgselectionanchorcontainer"/>
        <w:rPr>
          <w:rFonts w:ascii="-webkit-standard" w:hAnsi="-webkit-standard"/>
          <w:color w:val="000000"/>
          <w:sz w:val="27"/>
          <w:szCs w:val="27"/>
        </w:rPr>
      </w:pPr>
    </w:p>
    <w:p w14:paraId="7C2FFE93" w14:textId="6534C1DF" w:rsidR="00D2622A" w:rsidRPr="0030397C" w:rsidRDefault="00C1099B" w:rsidP="0030397C">
      <w:pPr>
        <w:pStyle w:val="pdq2pgselectionanchorcontainer"/>
        <w:rPr>
          <w:rFonts w:ascii="Arial" w:hAnsi="Arial" w:cs="Arial"/>
          <w:color w:val="000000"/>
          <w:sz w:val="32"/>
          <w:szCs w:val="32"/>
        </w:rPr>
      </w:pPr>
      <w:r w:rsidRPr="006F6FC2">
        <w:rPr>
          <w:rFonts w:ascii="Arial" w:hAnsi="Arial" w:cs="Arial"/>
          <w:b/>
          <w:bCs/>
          <w:color w:val="000000"/>
          <w:sz w:val="32"/>
          <w:szCs w:val="32"/>
        </w:rPr>
        <w:lastRenderedPageBreak/>
        <w:t>Creativity</w:t>
      </w:r>
    </w:p>
    <w:p w14:paraId="2F954F74" w14:textId="65E29AE9" w:rsidR="00D2622A" w:rsidRPr="00C62C0D" w:rsidRDefault="00C62C0D" w:rsidP="00D2622A">
      <w:pPr>
        <w:pStyle w:val="Heading3"/>
        <w:rPr>
          <w:rFonts w:ascii="Arial" w:hAnsi="Arial" w:cs="Arial"/>
          <w:b/>
          <w:bCs/>
          <w:color w:val="000000"/>
          <w:sz w:val="32"/>
          <w:szCs w:val="32"/>
        </w:rPr>
      </w:pPr>
      <w:r w:rsidRPr="00C62C0D">
        <w:rPr>
          <w:rFonts w:ascii="Arial" w:hAnsi="Arial" w:cs="Arial"/>
          <w:color w:val="000000"/>
          <w:sz w:val="32"/>
          <w:szCs w:val="32"/>
        </w:rPr>
        <w:t>Creativity involves generating ideas or approaches that are both original and practical for addressing real-life challenges. According to Amabile’s Componential Theory of Creativity, creative performance is influenced by subject knowledge, creative-thinking abilities and intrinsic motivation (Amabile, 1996). In health and social care, creativity enables professionals to develop effective solutions to complex issues that cannot be solved using a single approach. For example, tackling childhood obesity may require schools, families, healthcare professionals and community organisations to work together by combining education, physical activity and ongoing support to promote healthier lifestyles</w:t>
      </w:r>
      <w:r w:rsidR="007E79FB">
        <w:rPr>
          <w:rFonts w:ascii="Arial" w:hAnsi="Arial" w:cs="Arial"/>
          <w:color w:val="000000"/>
          <w:sz w:val="32"/>
          <w:szCs w:val="32"/>
        </w:rPr>
        <w:t>.</w:t>
      </w:r>
    </w:p>
    <w:p w14:paraId="24C4F3D6" w14:textId="32F9AE02" w:rsidR="00D2622A" w:rsidRPr="00D2622A" w:rsidRDefault="00C1099B" w:rsidP="00D2622A">
      <w:pPr>
        <w:pStyle w:val="Heading3"/>
        <w:rPr>
          <w:rFonts w:ascii="Arial" w:hAnsi="Arial" w:cs="Arial"/>
          <w:b/>
          <w:bCs/>
          <w:color w:val="000000"/>
          <w:sz w:val="32"/>
          <w:szCs w:val="32"/>
        </w:rPr>
      </w:pPr>
      <w:r w:rsidRPr="006F6FC2">
        <w:rPr>
          <w:rFonts w:ascii="Arial" w:hAnsi="Arial" w:cs="Arial"/>
          <w:b/>
          <w:bCs/>
          <w:color w:val="000000"/>
          <w:sz w:val="32"/>
          <w:szCs w:val="32"/>
        </w:rPr>
        <w:t>Value Creation</w:t>
      </w:r>
    </w:p>
    <w:p w14:paraId="52B8F201" w14:textId="77777777" w:rsidR="002548FE" w:rsidRPr="002548FE" w:rsidRDefault="002548FE" w:rsidP="00C1099B">
      <w:pPr>
        <w:pStyle w:val="Heading3"/>
        <w:rPr>
          <w:rFonts w:ascii="Arial" w:hAnsi="Arial" w:cs="Arial"/>
          <w:color w:val="000000"/>
          <w:sz w:val="32"/>
          <w:szCs w:val="32"/>
        </w:rPr>
      </w:pPr>
      <w:r w:rsidRPr="002548FE">
        <w:rPr>
          <w:rFonts w:ascii="Arial" w:hAnsi="Arial" w:cs="Arial"/>
          <w:color w:val="000000"/>
          <w:sz w:val="32"/>
          <w:szCs w:val="32"/>
        </w:rPr>
        <w:t>Value creation refers to achieving positive outcomes that benefit patients, service users, healthcare professionals and the wider health system. Porter (2010) explains that value in healthcare is created by improving patient outcomes while making effective use of available resources. This is especially important in modern health services, where organisations are expected to deliver high-quality care despite increasing demand and financial pressures. For example, investing in childhood obesity prevention can improve long-term health, reduce the risk of future illness and help lower the demand for healthcare services over time.</w:t>
      </w:r>
    </w:p>
    <w:p w14:paraId="683597E7" w14:textId="04BC9BFD" w:rsidR="00C1099B" w:rsidRPr="006F6FC2" w:rsidRDefault="00C1099B" w:rsidP="00C1099B">
      <w:pPr>
        <w:pStyle w:val="Heading3"/>
        <w:rPr>
          <w:rFonts w:ascii="Arial" w:hAnsi="Arial" w:cs="Arial"/>
          <w:b/>
          <w:bCs/>
          <w:color w:val="000000"/>
          <w:sz w:val="32"/>
          <w:szCs w:val="32"/>
        </w:rPr>
      </w:pPr>
      <w:r w:rsidRPr="006F6FC2">
        <w:rPr>
          <w:rFonts w:ascii="Arial" w:hAnsi="Arial" w:cs="Arial"/>
          <w:b/>
          <w:bCs/>
          <w:color w:val="000000"/>
          <w:sz w:val="32"/>
          <w:szCs w:val="32"/>
        </w:rPr>
        <w:t>Change</w:t>
      </w:r>
    </w:p>
    <w:p w14:paraId="1B7B89F5" w14:textId="77777777" w:rsidR="002548FE" w:rsidRDefault="002548FE" w:rsidP="006E4395">
      <w:pPr>
        <w:spacing w:line="360" w:lineRule="auto"/>
        <w:rPr>
          <w:rFonts w:ascii="Arial" w:hAnsi="Arial" w:cs="Arial"/>
          <w:color w:val="000000"/>
          <w:sz w:val="32"/>
          <w:szCs w:val="32"/>
        </w:rPr>
      </w:pPr>
      <w:r w:rsidRPr="002548FE">
        <w:rPr>
          <w:rFonts w:ascii="Arial" w:hAnsi="Arial" w:cs="Arial"/>
          <w:color w:val="000000"/>
          <w:sz w:val="32"/>
          <w:szCs w:val="32"/>
        </w:rPr>
        <w:t xml:space="preserve">Change refers to the planned process of improving existing practice to achieve better outcomes for patients and service users. In health and social care, change is necessary to respond to emerging evidence, technological developments </w:t>
      </w:r>
      <w:r w:rsidRPr="002548FE">
        <w:rPr>
          <w:rFonts w:ascii="Arial" w:hAnsi="Arial" w:cs="Arial"/>
          <w:color w:val="000000"/>
          <w:sz w:val="32"/>
          <w:szCs w:val="32"/>
        </w:rPr>
        <w:lastRenderedPageBreak/>
        <w:t>and the evolving needs of the population. Lewin’s Change Management Model explains that successful change involves preparing people for change, implementing new ways of working and embedding these improvements into everyday practice (Burnes, 2004). For example, introducing a multidisciplinary childhood obesity programme requires professionals from different services to work together and integrate effective interventions into routine care. Managing change effectively increases the likelihood that improvements will be maintained over the long term</w:t>
      </w:r>
    </w:p>
    <w:p w14:paraId="646EF01C" w14:textId="77777777" w:rsidR="002548FE" w:rsidRDefault="002548FE" w:rsidP="006E4395">
      <w:pPr>
        <w:spacing w:line="360" w:lineRule="auto"/>
        <w:rPr>
          <w:rFonts w:ascii="Arial" w:hAnsi="Arial" w:cs="Arial"/>
          <w:color w:val="000000"/>
          <w:sz w:val="32"/>
          <w:szCs w:val="32"/>
        </w:rPr>
      </w:pPr>
    </w:p>
    <w:p w14:paraId="4F64564E" w14:textId="77777777" w:rsidR="002548FE" w:rsidRDefault="002548FE" w:rsidP="006E4395">
      <w:pPr>
        <w:spacing w:line="360" w:lineRule="auto"/>
        <w:rPr>
          <w:rFonts w:ascii="Arial" w:hAnsi="Arial" w:cs="Arial"/>
          <w:color w:val="000000"/>
          <w:sz w:val="32"/>
          <w:szCs w:val="32"/>
        </w:rPr>
      </w:pPr>
    </w:p>
    <w:p w14:paraId="2D3D5B50" w14:textId="77777777" w:rsidR="002548FE" w:rsidRDefault="002548FE" w:rsidP="006E4395">
      <w:pPr>
        <w:spacing w:line="360" w:lineRule="auto"/>
        <w:rPr>
          <w:rFonts w:ascii="Arial" w:hAnsi="Arial" w:cs="Arial"/>
          <w:color w:val="000000"/>
          <w:sz w:val="32"/>
          <w:szCs w:val="32"/>
        </w:rPr>
      </w:pPr>
    </w:p>
    <w:p w14:paraId="5463D97E" w14:textId="77777777" w:rsidR="002548FE" w:rsidRDefault="002548FE" w:rsidP="006E4395">
      <w:pPr>
        <w:spacing w:line="360" w:lineRule="auto"/>
        <w:rPr>
          <w:rFonts w:ascii="Arial" w:hAnsi="Arial" w:cs="Arial"/>
          <w:color w:val="000000"/>
          <w:sz w:val="32"/>
          <w:szCs w:val="32"/>
        </w:rPr>
      </w:pPr>
    </w:p>
    <w:p w14:paraId="0D7D57E6" w14:textId="77777777" w:rsidR="002548FE" w:rsidRDefault="002548FE" w:rsidP="006E4395">
      <w:pPr>
        <w:spacing w:line="360" w:lineRule="auto"/>
        <w:rPr>
          <w:rFonts w:ascii="Arial" w:hAnsi="Arial" w:cs="Arial"/>
          <w:color w:val="000000"/>
          <w:sz w:val="32"/>
          <w:szCs w:val="32"/>
        </w:rPr>
      </w:pPr>
    </w:p>
    <w:p w14:paraId="05597108" w14:textId="77777777" w:rsidR="002548FE" w:rsidRDefault="002548FE" w:rsidP="006E4395">
      <w:pPr>
        <w:spacing w:line="360" w:lineRule="auto"/>
        <w:rPr>
          <w:rFonts w:ascii="Arial" w:hAnsi="Arial" w:cs="Arial"/>
          <w:color w:val="000000"/>
          <w:sz w:val="32"/>
          <w:szCs w:val="32"/>
        </w:rPr>
      </w:pPr>
    </w:p>
    <w:p w14:paraId="08381C31" w14:textId="77777777" w:rsidR="002548FE" w:rsidRDefault="002548FE" w:rsidP="006E4395">
      <w:pPr>
        <w:spacing w:line="360" w:lineRule="auto"/>
        <w:rPr>
          <w:rFonts w:ascii="Arial" w:hAnsi="Arial" w:cs="Arial"/>
          <w:color w:val="000000"/>
          <w:sz w:val="32"/>
          <w:szCs w:val="32"/>
        </w:rPr>
      </w:pPr>
    </w:p>
    <w:p w14:paraId="32C94D4A" w14:textId="77777777" w:rsidR="002548FE" w:rsidRDefault="002548FE" w:rsidP="006E4395">
      <w:pPr>
        <w:spacing w:line="360" w:lineRule="auto"/>
        <w:rPr>
          <w:rFonts w:ascii="Arial" w:hAnsi="Arial" w:cs="Arial"/>
          <w:color w:val="000000"/>
          <w:sz w:val="32"/>
          <w:szCs w:val="32"/>
        </w:rPr>
      </w:pPr>
    </w:p>
    <w:p w14:paraId="700DFF23" w14:textId="77777777" w:rsidR="002548FE" w:rsidRDefault="002548FE" w:rsidP="006E4395">
      <w:pPr>
        <w:spacing w:line="360" w:lineRule="auto"/>
        <w:rPr>
          <w:rFonts w:ascii="Arial" w:hAnsi="Arial" w:cs="Arial"/>
          <w:color w:val="000000"/>
          <w:sz w:val="32"/>
          <w:szCs w:val="32"/>
        </w:rPr>
      </w:pPr>
    </w:p>
    <w:p w14:paraId="35565C5D" w14:textId="77777777" w:rsidR="002548FE" w:rsidRDefault="002548FE" w:rsidP="006E4395">
      <w:pPr>
        <w:spacing w:line="360" w:lineRule="auto"/>
        <w:rPr>
          <w:rFonts w:ascii="Arial" w:hAnsi="Arial" w:cs="Arial"/>
          <w:color w:val="000000"/>
          <w:sz w:val="32"/>
          <w:szCs w:val="32"/>
        </w:rPr>
      </w:pPr>
    </w:p>
    <w:p w14:paraId="3267C435" w14:textId="77777777" w:rsidR="002548FE" w:rsidRDefault="002548FE" w:rsidP="006E4395">
      <w:pPr>
        <w:spacing w:line="360" w:lineRule="auto"/>
        <w:rPr>
          <w:rFonts w:ascii="Arial" w:hAnsi="Arial" w:cs="Arial"/>
          <w:color w:val="000000"/>
          <w:sz w:val="32"/>
          <w:szCs w:val="32"/>
        </w:rPr>
      </w:pPr>
    </w:p>
    <w:p w14:paraId="6FA89306" w14:textId="77777777" w:rsidR="002548FE" w:rsidRDefault="002548FE" w:rsidP="006E4395">
      <w:pPr>
        <w:spacing w:line="360" w:lineRule="auto"/>
        <w:rPr>
          <w:rFonts w:ascii="Arial" w:hAnsi="Arial" w:cs="Arial"/>
          <w:color w:val="000000"/>
          <w:sz w:val="32"/>
          <w:szCs w:val="32"/>
        </w:rPr>
      </w:pPr>
    </w:p>
    <w:p w14:paraId="7117A32B" w14:textId="51DEE94A" w:rsidR="00EA5FBC" w:rsidRPr="002548FE" w:rsidRDefault="006E4395" w:rsidP="006E4395">
      <w:pPr>
        <w:spacing w:line="360" w:lineRule="auto"/>
        <w:rPr>
          <w:rStyle w:val="Strong"/>
          <w:rFonts w:ascii="Arial" w:hAnsi="Arial" w:cs="Arial"/>
          <w:sz w:val="32"/>
          <w:szCs w:val="32"/>
        </w:rPr>
      </w:pPr>
      <w:r w:rsidRPr="00EA5FBC">
        <w:rPr>
          <w:rStyle w:val="Strong"/>
          <w:color w:val="000000"/>
          <w:sz w:val="32"/>
          <w:szCs w:val="32"/>
        </w:rPr>
        <w:lastRenderedPageBreak/>
        <w:t>Task 2 – Mind Map</w:t>
      </w:r>
    </w:p>
    <w:p w14:paraId="1E1E795D" w14:textId="4FDFACAB" w:rsidR="006E4395" w:rsidRPr="00EA5FBC" w:rsidRDefault="006E4395" w:rsidP="006E4395">
      <w:pPr>
        <w:spacing w:line="360" w:lineRule="auto"/>
        <w:rPr>
          <w:rFonts w:ascii="-webkit-standard" w:hAnsi="-webkit-standard"/>
          <w:b/>
          <w:bCs/>
          <w:color w:val="000000"/>
          <w:sz w:val="28"/>
          <w:szCs w:val="28"/>
        </w:rPr>
      </w:pPr>
      <w:r w:rsidRPr="00EA5FBC">
        <w:rPr>
          <w:rStyle w:val="Strong"/>
          <w:color w:val="000000"/>
          <w:sz w:val="28"/>
          <w:szCs w:val="28"/>
        </w:rPr>
        <w:t xml:space="preserve">               </w:t>
      </w:r>
      <w:r w:rsidR="00EA5FBC" w:rsidRPr="00EA5FBC">
        <w:rPr>
          <w:rFonts w:ascii="-webkit-standard" w:hAnsi="-webkit-standard"/>
          <w:color w:val="000000"/>
          <w:sz w:val="28"/>
          <w:szCs w:val="28"/>
        </w:rPr>
        <w:t xml:space="preserve">                                       </w:t>
      </w:r>
      <w:r w:rsidR="00EA5FBC" w:rsidRPr="00EA5FBC">
        <w:rPr>
          <w:rFonts w:ascii="-webkit-standard" w:hAnsi="-webkit-standard"/>
          <w:b/>
          <w:bCs/>
          <w:color w:val="000000"/>
          <w:sz w:val="28"/>
          <w:szCs w:val="28"/>
        </w:rPr>
        <w:t xml:space="preserve"> CAUSES         </w:t>
      </w:r>
    </w:p>
    <w:p w14:paraId="1BAD32E9" w14:textId="5AD16403" w:rsidR="00EA5FBC" w:rsidRPr="00EA5FBC" w:rsidRDefault="00EA5FBC" w:rsidP="006E4395">
      <w:pPr>
        <w:spacing w:line="360" w:lineRule="auto"/>
        <w:rPr>
          <w:rFonts w:ascii="-webkit-standard" w:hAnsi="-webkit-standard"/>
          <w:color w:val="000000"/>
          <w:sz w:val="28"/>
          <w:szCs w:val="28"/>
        </w:rPr>
      </w:pPr>
      <w:r w:rsidRPr="00EA5FBC">
        <w:rPr>
          <w:rFonts w:ascii="-webkit-standard" w:hAnsi="-webkit-standard"/>
          <w:color w:val="000000"/>
          <w:sz w:val="28"/>
          <w:szCs w:val="28"/>
        </w:rPr>
        <w:t xml:space="preserve">                                           • Unhealthy diet        </w:t>
      </w:r>
    </w:p>
    <w:p w14:paraId="0CF309C3" w14:textId="7D8E2EBE" w:rsidR="00EA5FBC" w:rsidRPr="00EA5FBC" w:rsidRDefault="00EA5FBC" w:rsidP="006E4395">
      <w:pPr>
        <w:spacing w:line="360" w:lineRule="auto"/>
        <w:rPr>
          <w:rFonts w:ascii="-webkit-standard" w:hAnsi="-webkit-standard"/>
          <w:color w:val="000000"/>
          <w:sz w:val="28"/>
          <w:szCs w:val="28"/>
        </w:rPr>
      </w:pPr>
      <w:r w:rsidRPr="00EA5FBC">
        <w:rPr>
          <w:rFonts w:ascii="-webkit-standard" w:hAnsi="-webkit-standard"/>
          <w:color w:val="000000"/>
          <w:sz w:val="28"/>
          <w:szCs w:val="28"/>
        </w:rPr>
        <w:t xml:space="preserve">                                           • Lack of physical activity</w:t>
      </w:r>
    </w:p>
    <w:p w14:paraId="08787175" w14:textId="63556220" w:rsidR="00EA5FBC" w:rsidRPr="00EA5FBC" w:rsidRDefault="00EA5FBC" w:rsidP="006E4395">
      <w:pPr>
        <w:spacing w:line="360" w:lineRule="auto"/>
        <w:rPr>
          <w:rFonts w:ascii="-webkit-standard" w:hAnsi="-webkit-standard"/>
          <w:color w:val="000000"/>
          <w:sz w:val="28"/>
          <w:szCs w:val="28"/>
        </w:rPr>
      </w:pPr>
      <w:r w:rsidRPr="00EA5FBC">
        <w:rPr>
          <w:rFonts w:ascii="-webkit-standard" w:hAnsi="-webkit-standard"/>
          <w:color w:val="000000"/>
          <w:sz w:val="28"/>
          <w:szCs w:val="28"/>
        </w:rPr>
        <w:t xml:space="preserve">                                           • Excessive screen time         </w:t>
      </w:r>
    </w:p>
    <w:p w14:paraId="0190EC84" w14:textId="196308C6" w:rsidR="00EA5FBC" w:rsidRPr="00EA5FBC" w:rsidRDefault="006E4395" w:rsidP="006E4395">
      <w:pPr>
        <w:spacing w:line="360" w:lineRule="auto"/>
        <w:rPr>
          <w:rFonts w:ascii="-webkit-standard" w:hAnsi="-webkit-standard"/>
          <w:color w:val="000000"/>
          <w:sz w:val="32"/>
          <w:szCs w:val="32"/>
        </w:rPr>
      </w:pPr>
      <w:r w:rsidRPr="00EA5FBC">
        <w:rPr>
          <w:rFonts w:ascii="-webkit-standard" w:hAnsi="-webkit-standard"/>
          <w:color w:val="000000"/>
          <w:sz w:val="32"/>
          <w:szCs w:val="32"/>
        </w:rPr>
        <w:t xml:space="preserve">                  </w:t>
      </w:r>
      <w:r w:rsidR="00EA5FBC">
        <w:rPr>
          <w:rFonts w:ascii="-webkit-standard" w:hAnsi="-webkit-standard"/>
          <w:color w:val="000000"/>
          <w:sz w:val="32"/>
          <w:szCs w:val="32"/>
        </w:rPr>
        <w:t xml:space="preserve">                               </w:t>
      </w:r>
      <w:r w:rsidRPr="00EA5FBC">
        <w:rPr>
          <w:rFonts w:ascii="-webkit-standard" w:hAnsi="-webkit-standard"/>
          <w:color w:val="000000"/>
          <w:sz w:val="32"/>
          <w:szCs w:val="32"/>
        </w:rPr>
        <w:t xml:space="preserve">    </w:t>
      </w:r>
      <w:r w:rsidR="00EA5FBC" w:rsidRPr="00EA5FBC">
        <w:rPr>
          <w:rFonts w:ascii="-webkit-standard" w:hAnsi="-webkit-standard"/>
          <w:color w:val="000000"/>
          <w:sz w:val="32"/>
          <w:szCs w:val="32"/>
        </w:rPr>
        <w:t>│</w:t>
      </w:r>
    </w:p>
    <w:p w14:paraId="56B45115" w14:textId="78B846DB" w:rsidR="006E4395" w:rsidRPr="00EA5FBC" w:rsidRDefault="00EA5FBC" w:rsidP="006E4395">
      <w:pPr>
        <w:spacing w:line="360" w:lineRule="auto"/>
        <w:rPr>
          <w:rFonts w:ascii="-webkit-standard" w:hAnsi="-webkit-standard"/>
          <w:color w:val="000000"/>
          <w:sz w:val="32"/>
          <w:szCs w:val="32"/>
        </w:rPr>
      </w:pPr>
      <w:r w:rsidRPr="00EA5FBC">
        <w:rPr>
          <w:rFonts w:ascii="-webkit-standard" w:hAnsi="-webkit-standard"/>
          <w:color w:val="000000"/>
          <w:sz w:val="32"/>
          <w:szCs w:val="32"/>
        </w:rPr>
        <w:t xml:space="preserve">                  </w:t>
      </w:r>
      <w:r>
        <w:rPr>
          <w:rFonts w:ascii="-webkit-standard" w:hAnsi="-webkit-standard"/>
          <w:color w:val="000000"/>
          <w:sz w:val="32"/>
          <w:szCs w:val="32"/>
        </w:rPr>
        <w:t xml:space="preserve">                               </w:t>
      </w:r>
      <w:r w:rsidRPr="00EA5FBC">
        <w:rPr>
          <w:rFonts w:ascii="-webkit-standard" w:hAnsi="-webkit-standard"/>
          <w:color w:val="000000"/>
          <w:sz w:val="32"/>
          <w:szCs w:val="32"/>
        </w:rPr>
        <w:t xml:space="preserve">    │</w:t>
      </w:r>
      <w:r w:rsidR="006E4395" w:rsidRPr="00EA5FBC">
        <w:rPr>
          <w:rFonts w:ascii="-webkit-standard" w:hAnsi="-webkit-standard"/>
          <w:color w:val="000000"/>
          <w:sz w:val="32"/>
          <w:szCs w:val="32"/>
        </w:rPr>
        <w:t xml:space="preserve">                     </w:t>
      </w:r>
    </w:p>
    <w:p w14:paraId="05121C0A" w14:textId="3124BB4B" w:rsidR="00EA5FBC" w:rsidRDefault="006E4395" w:rsidP="006E4395">
      <w:pPr>
        <w:spacing w:line="360" w:lineRule="auto"/>
        <w:rPr>
          <w:rFonts w:ascii="-webkit-standard" w:hAnsi="-webkit-standard"/>
          <w:color w:val="000000"/>
          <w:sz w:val="27"/>
          <w:szCs w:val="27"/>
        </w:rPr>
      </w:pPr>
      <w:r>
        <w:rPr>
          <w:rFonts w:ascii="-webkit-standard" w:hAnsi="-webkit-standard"/>
          <w:color w:val="000000"/>
          <w:sz w:val="27"/>
          <w:szCs w:val="27"/>
        </w:rPr>
        <w:t xml:space="preserve">                   </w:t>
      </w:r>
      <w:r w:rsidR="00EA5FBC">
        <w:rPr>
          <w:rFonts w:ascii="-webkit-standard" w:hAnsi="-webkit-standard"/>
          <w:color w:val="000000"/>
          <w:sz w:val="27"/>
          <w:szCs w:val="27"/>
        </w:rPr>
        <w:t xml:space="preserve">                                           </w:t>
      </w:r>
      <w:r w:rsidR="00EA5FBC">
        <w:rPr>
          <w:rFonts w:ascii="Times New Roman" w:hAnsi="Times New Roman"/>
          <w:color w:val="000000"/>
          <w:sz w:val="27"/>
          <w:szCs w:val="27"/>
        </w:rPr>
        <w:t>▼</w:t>
      </w:r>
      <w:r>
        <w:rPr>
          <w:rFonts w:ascii="-webkit-standard" w:hAnsi="-webkit-standard"/>
          <w:color w:val="000000"/>
          <w:sz w:val="27"/>
          <w:szCs w:val="27"/>
        </w:rPr>
        <w:t xml:space="preserve">       </w:t>
      </w:r>
    </w:p>
    <w:p w14:paraId="7F131EB9" w14:textId="3514EE8C" w:rsidR="006E4395" w:rsidRPr="006E4395" w:rsidRDefault="00EA5FBC" w:rsidP="006E4395">
      <w:pPr>
        <w:spacing w:line="360" w:lineRule="auto"/>
        <w:rPr>
          <w:rFonts w:ascii="Times New Roman" w:hAnsi="Times New Roman"/>
          <w:b/>
          <w:bCs/>
          <w:sz w:val="32"/>
          <w:szCs w:val="32"/>
        </w:rPr>
      </w:pPr>
      <w:r>
        <w:rPr>
          <w:rFonts w:ascii="-webkit-standard" w:hAnsi="-webkit-standard"/>
          <w:color w:val="000000"/>
          <w:sz w:val="27"/>
          <w:szCs w:val="27"/>
        </w:rPr>
        <w:t xml:space="preserve">                                                  HIGH CHILDHOOD OBESITY</w:t>
      </w:r>
      <w:r w:rsidR="006E4395">
        <w:rPr>
          <w:rFonts w:ascii="-webkit-standard" w:hAnsi="-webkit-standard"/>
          <w:color w:val="000000"/>
          <w:sz w:val="27"/>
          <w:szCs w:val="27"/>
        </w:rPr>
        <w:t xml:space="preserve">                </w:t>
      </w:r>
    </w:p>
    <w:p w14:paraId="5E978F7A" w14:textId="34AC8762" w:rsidR="00EA5FBC" w:rsidRDefault="00EA5FBC">
      <w:pPr>
        <w:rPr>
          <w:rFonts w:ascii="-webkit-standard" w:hAnsi="-webkit-standard"/>
          <w:color w:val="000000"/>
          <w:sz w:val="27"/>
          <w:szCs w:val="27"/>
        </w:rPr>
      </w:pPr>
      <w:r>
        <w:t xml:space="preserve">                                                             </w:t>
      </w:r>
      <w:r>
        <w:rPr>
          <w:rFonts w:ascii="-webkit-standard" w:hAnsi="-webkit-standard"/>
          <w:color w:val="000000"/>
          <w:sz w:val="27"/>
          <w:szCs w:val="27"/>
        </w:rPr>
        <w:t>IN BARKING AND DAGENHAM</w:t>
      </w:r>
    </w:p>
    <w:p w14:paraId="7222937B" w14:textId="2969D444" w:rsidR="00EA5FBC" w:rsidRDefault="00EA5FBC">
      <w:pPr>
        <w:rPr>
          <w:rFonts w:ascii="-webkit-standard" w:hAnsi="-webkit-standard"/>
          <w:color w:val="000000"/>
          <w:sz w:val="27"/>
          <w:szCs w:val="27"/>
        </w:rPr>
      </w:pPr>
      <w:r>
        <w:rPr>
          <w:rFonts w:ascii="-webkit-standard" w:hAnsi="-webkit-standard"/>
          <w:color w:val="000000"/>
          <w:sz w:val="27"/>
          <w:szCs w:val="27"/>
        </w:rPr>
        <w:t xml:space="preserve">                                                      ↙</w:t>
      </w:r>
      <w:r>
        <w:rPr>
          <w:rStyle w:val="apple-converted-space"/>
          <w:rFonts w:ascii="-webkit-standard" w:hAnsi="-webkit-standard"/>
          <w:color w:val="000000"/>
          <w:sz w:val="27"/>
          <w:szCs w:val="27"/>
        </w:rPr>
        <w:t xml:space="preserve">                                                   </w:t>
      </w:r>
      <w:r>
        <w:rPr>
          <w:rFonts w:ascii="-webkit-standard" w:hAnsi="-webkit-standard"/>
          <w:color w:val="000000"/>
          <w:sz w:val="27"/>
          <w:szCs w:val="27"/>
        </w:rPr>
        <w:t xml:space="preserve">↘.                 </w:t>
      </w:r>
    </w:p>
    <w:p w14:paraId="04B280EE" w14:textId="4F08ED5F" w:rsidR="00EA5FBC" w:rsidRPr="00EA5FBC" w:rsidRDefault="00EA5FBC">
      <w:pPr>
        <w:rPr>
          <w:rFonts w:ascii="-webkit-standard" w:hAnsi="-webkit-standard"/>
          <w:b/>
          <w:bCs/>
          <w:color w:val="000000"/>
          <w:sz w:val="27"/>
          <w:szCs w:val="27"/>
        </w:rPr>
      </w:pPr>
      <w:r w:rsidRPr="00EA5FBC">
        <w:rPr>
          <w:rFonts w:ascii="-webkit-standard" w:hAnsi="-webkit-standard"/>
          <w:b/>
          <w:bCs/>
          <w:color w:val="000000"/>
          <w:sz w:val="27"/>
          <w:szCs w:val="27"/>
        </w:rPr>
        <w:t xml:space="preserve">                          WHO IS AFFECTED?                                            IMPACTS</w:t>
      </w:r>
    </w:p>
    <w:p w14:paraId="31DCD429" w14:textId="7B2B75DE" w:rsidR="00EA5FBC" w:rsidRDefault="00EA5FBC">
      <w:pPr>
        <w:rPr>
          <w:rStyle w:val="apple-converted-space"/>
          <w:rFonts w:ascii="-webkit-standard" w:hAnsi="-webkit-standard"/>
          <w:color w:val="000000"/>
          <w:sz w:val="27"/>
          <w:szCs w:val="27"/>
        </w:rPr>
      </w:pPr>
      <w:r>
        <w:rPr>
          <w:rFonts w:ascii="-webkit-standard" w:hAnsi="-webkit-standard"/>
          <w:color w:val="000000"/>
          <w:sz w:val="27"/>
          <w:szCs w:val="27"/>
        </w:rPr>
        <w:t xml:space="preserve">                           • Children</w:t>
      </w:r>
      <w:r>
        <w:rPr>
          <w:rStyle w:val="apple-converted-space"/>
          <w:rFonts w:ascii="-webkit-standard" w:hAnsi="-webkit-standard"/>
          <w:color w:val="000000"/>
          <w:sz w:val="27"/>
          <w:szCs w:val="27"/>
        </w:rPr>
        <w:t xml:space="preserve">                                                                </w:t>
      </w:r>
      <w:r>
        <w:rPr>
          <w:rFonts w:ascii="-webkit-standard" w:hAnsi="-webkit-standard"/>
          <w:color w:val="000000"/>
          <w:sz w:val="27"/>
          <w:szCs w:val="27"/>
        </w:rPr>
        <w:t>• Physical health</w:t>
      </w:r>
    </w:p>
    <w:p w14:paraId="70A0C930" w14:textId="33C9511A" w:rsidR="00EA5FBC" w:rsidRDefault="00EA5FBC">
      <w:pPr>
        <w:rPr>
          <w:rFonts w:ascii="-webkit-standard" w:hAnsi="-webkit-standard"/>
          <w:color w:val="000000"/>
          <w:sz w:val="27"/>
          <w:szCs w:val="27"/>
        </w:rPr>
      </w:pPr>
      <w:r>
        <w:rPr>
          <w:rStyle w:val="apple-converted-space"/>
          <w:rFonts w:ascii="-webkit-standard" w:hAnsi="-webkit-standard"/>
          <w:color w:val="000000"/>
          <w:sz w:val="27"/>
          <w:szCs w:val="27"/>
        </w:rPr>
        <w:t xml:space="preserve">                           </w:t>
      </w:r>
      <w:r>
        <w:rPr>
          <w:rFonts w:ascii="-webkit-standard" w:hAnsi="-webkit-standard"/>
          <w:color w:val="000000"/>
          <w:sz w:val="27"/>
          <w:szCs w:val="27"/>
        </w:rPr>
        <w:t>• Families                                                                 • Mental well-being</w:t>
      </w:r>
    </w:p>
    <w:p w14:paraId="4AC86F37" w14:textId="5367D33F" w:rsidR="00EA5FBC" w:rsidRDefault="00EA5FBC">
      <w:pPr>
        <w:rPr>
          <w:rFonts w:ascii="-webkit-standard" w:hAnsi="-webkit-standard"/>
          <w:color w:val="000000"/>
          <w:sz w:val="27"/>
          <w:szCs w:val="27"/>
        </w:rPr>
      </w:pPr>
      <w:r>
        <w:rPr>
          <w:rFonts w:ascii="-webkit-standard" w:hAnsi="-webkit-standard"/>
          <w:color w:val="000000"/>
          <w:sz w:val="27"/>
          <w:szCs w:val="27"/>
        </w:rPr>
        <w:t xml:space="preserve">                            • Local community</w:t>
      </w:r>
      <w:r>
        <w:rPr>
          <w:rStyle w:val="apple-converted-space"/>
          <w:rFonts w:ascii="-webkit-standard" w:hAnsi="-webkit-standard"/>
          <w:color w:val="000000"/>
          <w:sz w:val="27"/>
          <w:szCs w:val="27"/>
        </w:rPr>
        <w:t xml:space="preserve">                                               </w:t>
      </w:r>
      <w:r>
        <w:rPr>
          <w:rFonts w:ascii="-webkit-standard" w:hAnsi="-webkit-standard"/>
          <w:color w:val="000000"/>
          <w:sz w:val="27"/>
          <w:szCs w:val="27"/>
        </w:rPr>
        <w:t>• Long-term health</w:t>
      </w:r>
    </w:p>
    <w:p w14:paraId="32536D0D" w14:textId="73C11DC8" w:rsidR="00EA5FBC" w:rsidRDefault="00EA5FBC">
      <w:pPr>
        <w:rPr>
          <w:rFonts w:ascii="-webkit-standard" w:hAnsi="-webkit-standard"/>
          <w:color w:val="000000"/>
          <w:sz w:val="32"/>
          <w:szCs w:val="32"/>
        </w:rPr>
      </w:pPr>
      <w:r>
        <w:rPr>
          <w:rFonts w:ascii="-webkit-standard" w:hAnsi="-webkit-standard"/>
          <w:color w:val="000000"/>
          <w:sz w:val="27"/>
          <w:szCs w:val="27"/>
        </w:rPr>
        <w:t xml:space="preserve">                                                               </w:t>
      </w:r>
      <w:r w:rsidRPr="00EA5FBC">
        <w:rPr>
          <w:rFonts w:ascii="-webkit-standard" w:hAnsi="-webkit-standard"/>
          <w:color w:val="000000"/>
          <w:sz w:val="32"/>
          <w:szCs w:val="32"/>
        </w:rPr>
        <w:t>│</w:t>
      </w:r>
    </w:p>
    <w:p w14:paraId="068601C3" w14:textId="70C69B49" w:rsidR="00EA5FBC" w:rsidRDefault="00EA5FBC">
      <w:pPr>
        <w:rPr>
          <w:rFonts w:ascii="-webkit-standard" w:hAnsi="-webkit-standard"/>
          <w:color w:val="000000"/>
          <w:sz w:val="32"/>
          <w:szCs w:val="32"/>
        </w:rPr>
      </w:pPr>
      <w:r>
        <w:rPr>
          <w:rFonts w:ascii="-webkit-standard" w:hAnsi="-webkit-standard"/>
          <w:color w:val="000000"/>
          <w:sz w:val="32"/>
          <w:szCs w:val="32"/>
        </w:rPr>
        <w:t xml:space="preserve">                                                     </w:t>
      </w:r>
      <w:r w:rsidRPr="00EA5FBC">
        <w:rPr>
          <w:rFonts w:ascii="-webkit-standard" w:hAnsi="-webkit-standard"/>
          <w:color w:val="000000"/>
          <w:sz w:val="32"/>
          <w:szCs w:val="32"/>
        </w:rPr>
        <w:t>│</w:t>
      </w:r>
    </w:p>
    <w:p w14:paraId="52C52359" w14:textId="20982E95" w:rsidR="00EA5FBC" w:rsidRDefault="00EA5FBC">
      <w:pPr>
        <w:rPr>
          <w:rFonts w:ascii="Times New Roman" w:hAnsi="Times New Roman"/>
          <w:color w:val="000000"/>
          <w:sz w:val="27"/>
          <w:szCs w:val="27"/>
        </w:rPr>
      </w:pPr>
      <w:r>
        <w:rPr>
          <w:rFonts w:ascii="-webkit-standard" w:hAnsi="-webkit-standard"/>
          <w:color w:val="000000"/>
          <w:sz w:val="32"/>
          <w:szCs w:val="32"/>
        </w:rPr>
        <w:t xml:space="preserve">                                                     </w:t>
      </w:r>
      <w:r>
        <w:rPr>
          <w:rFonts w:ascii="Times New Roman" w:hAnsi="Times New Roman"/>
          <w:color w:val="000000"/>
          <w:sz w:val="27"/>
          <w:szCs w:val="27"/>
        </w:rPr>
        <w:t>▼</w:t>
      </w:r>
    </w:p>
    <w:p w14:paraId="1DD31653" w14:textId="77777777" w:rsidR="00EA5FBC" w:rsidRPr="00EA5FBC" w:rsidRDefault="00EA5FBC">
      <w:pPr>
        <w:rPr>
          <w:rFonts w:ascii="-webkit-standard" w:hAnsi="-webkit-standard"/>
          <w:b/>
          <w:bCs/>
          <w:color w:val="000000"/>
          <w:sz w:val="27"/>
          <w:szCs w:val="27"/>
        </w:rPr>
      </w:pPr>
      <w:r w:rsidRPr="00EA5FBC">
        <w:rPr>
          <w:rFonts w:ascii="-webkit-standard" w:hAnsi="-webkit-standard"/>
          <w:b/>
          <w:bCs/>
          <w:color w:val="000000"/>
          <w:sz w:val="27"/>
          <w:szCs w:val="27"/>
        </w:rPr>
        <w:t xml:space="preserve">                                               POSSIBLE SOLUTIONS</w:t>
      </w:r>
    </w:p>
    <w:p w14:paraId="5EC1321E" w14:textId="77777777" w:rsidR="00EA5FBC" w:rsidRDefault="00EA5FBC">
      <w:pPr>
        <w:rPr>
          <w:rFonts w:ascii="-webkit-standard" w:hAnsi="-webkit-standard"/>
          <w:color w:val="000000"/>
          <w:sz w:val="27"/>
          <w:szCs w:val="27"/>
        </w:rPr>
      </w:pPr>
      <w:r>
        <w:rPr>
          <w:rFonts w:ascii="-webkit-standard" w:hAnsi="-webkit-standard"/>
          <w:color w:val="000000"/>
          <w:sz w:val="27"/>
          <w:szCs w:val="27"/>
        </w:rPr>
        <w:t xml:space="preserve">                                   • Educational workshops</w:t>
      </w:r>
    </w:p>
    <w:p w14:paraId="3FF41BCC" w14:textId="77777777" w:rsidR="00EA5FBC" w:rsidRDefault="00EA5FBC">
      <w:pPr>
        <w:rPr>
          <w:rFonts w:ascii="-webkit-standard" w:hAnsi="-webkit-standard"/>
          <w:color w:val="000000"/>
          <w:sz w:val="27"/>
          <w:szCs w:val="27"/>
        </w:rPr>
      </w:pPr>
      <w:r>
        <w:rPr>
          <w:rFonts w:ascii="-webkit-standard" w:hAnsi="-webkit-standard"/>
          <w:color w:val="000000"/>
          <w:sz w:val="27"/>
          <w:szCs w:val="27"/>
        </w:rPr>
        <w:t xml:space="preserve">                                    • Physical activity programmes </w:t>
      </w:r>
    </w:p>
    <w:p w14:paraId="7CC80C99" w14:textId="21CB9CF2" w:rsidR="00EA5FBC" w:rsidRDefault="00EA5FBC">
      <w:pPr>
        <w:rPr>
          <w:rFonts w:ascii="-webkit-standard" w:hAnsi="-webkit-standard"/>
          <w:color w:val="000000"/>
          <w:sz w:val="27"/>
          <w:szCs w:val="27"/>
        </w:rPr>
      </w:pPr>
      <w:r>
        <w:rPr>
          <w:rFonts w:ascii="-webkit-standard" w:hAnsi="-webkit-standard"/>
          <w:color w:val="000000"/>
          <w:sz w:val="27"/>
          <w:szCs w:val="27"/>
        </w:rPr>
        <w:t xml:space="preserve">                                    • Involvement of schools   </w:t>
      </w:r>
    </w:p>
    <w:p w14:paraId="757F67C6" w14:textId="77777777" w:rsidR="00EA5FBC" w:rsidRDefault="00EA5FBC" w:rsidP="00EA5FBC">
      <w:pPr>
        <w:rPr>
          <w:rFonts w:ascii="-webkit-standard" w:hAnsi="-webkit-standard"/>
          <w:color w:val="000000"/>
          <w:sz w:val="27"/>
          <w:szCs w:val="27"/>
        </w:rPr>
      </w:pPr>
      <w:r>
        <w:rPr>
          <w:rFonts w:ascii="-webkit-standard" w:hAnsi="-webkit-standard"/>
          <w:color w:val="000000"/>
          <w:sz w:val="27"/>
          <w:szCs w:val="27"/>
        </w:rPr>
        <w:t xml:space="preserve">                                    • Involvement of parents </w:t>
      </w:r>
    </w:p>
    <w:p w14:paraId="22508EC4" w14:textId="48211046" w:rsidR="00EA5FBC" w:rsidRDefault="00EA5FBC" w:rsidP="00EA5FBC">
      <w:pPr>
        <w:rPr>
          <w:rFonts w:ascii="-webkit-standard" w:hAnsi="-webkit-standard"/>
          <w:color w:val="000000"/>
          <w:sz w:val="27"/>
          <w:szCs w:val="27"/>
        </w:rPr>
      </w:pPr>
      <w:r>
        <w:rPr>
          <w:rFonts w:ascii="-webkit-standard" w:hAnsi="-webkit-standard"/>
          <w:color w:val="000000"/>
          <w:sz w:val="27"/>
          <w:szCs w:val="27"/>
        </w:rPr>
        <w:t xml:space="preserve">                                    • Support from local community organisations</w:t>
      </w:r>
    </w:p>
    <w:p w14:paraId="00A42571" w14:textId="77777777" w:rsidR="00EA5FBC" w:rsidRDefault="00EA5FBC" w:rsidP="00EA5FBC">
      <w:pPr>
        <w:rPr>
          <w:rFonts w:ascii="-webkit-standard" w:hAnsi="-webkit-standard"/>
          <w:color w:val="000000"/>
          <w:sz w:val="27"/>
          <w:szCs w:val="27"/>
        </w:rPr>
      </w:pPr>
    </w:p>
    <w:p w14:paraId="2880A195" w14:textId="77777777" w:rsidR="00EA5FBC" w:rsidRPr="00EA5FBC" w:rsidRDefault="00EA5FBC">
      <w:pPr>
        <w:rPr>
          <w:rFonts w:ascii="Arial" w:hAnsi="Arial" w:cs="Arial"/>
          <w:color w:val="000000"/>
          <w:sz w:val="32"/>
          <w:szCs w:val="32"/>
        </w:rPr>
      </w:pPr>
      <w:r w:rsidRPr="00EA5FBC">
        <w:rPr>
          <w:rFonts w:ascii="Arial" w:hAnsi="Arial" w:cs="Arial"/>
          <w:color w:val="000000"/>
          <w:sz w:val="32"/>
          <w:szCs w:val="32"/>
        </w:rPr>
        <w:t>Figure 1: Mind map exploring the causes, impacts and possible solutions to high childhood obesity in Barking and Dagenham.</w:t>
      </w:r>
    </w:p>
    <w:p w14:paraId="0F01E61E" w14:textId="77777777" w:rsidR="00EA5FBC" w:rsidRPr="00EA5FBC" w:rsidRDefault="00EA5FBC">
      <w:pPr>
        <w:rPr>
          <w:rFonts w:ascii="Arial" w:hAnsi="Arial" w:cs="Arial"/>
          <w:color w:val="000000"/>
          <w:sz w:val="32"/>
          <w:szCs w:val="32"/>
        </w:rPr>
      </w:pPr>
    </w:p>
    <w:p w14:paraId="4F9A6146" w14:textId="77777777" w:rsidR="00EA5FBC" w:rsidRPr="00EA5FBC" w:rsidRDefault="00EA5FBC">
      <w:pPr>
        <w:rPr>
          <w:rFonts w:ascii="Arial" w:hAnsi="Arial" w:cs="Arial"/>
          <w:color w:val="000000"/>
          <w:sz w:val="32"/>
          <w:szCs w:val="32"/>
        </w:rPr>
      </w:pPr>
    </w:p>
    <w:p w14:paraId="459C06B7" w14:textId="77777777" w:rsidR="00EA5FBC" w:rsidRPr="00EA5FBC" w:rsidRDefault="00EA5FBC">
      <w:pPr>
        <w:rPr>
          <w:rFonts w:ascii="Arial" w:hAnsi="Arial" w:cs="Arial"/>
          <w:color w:val="000000"/>
          <w:sz w:val="32"/>
          <w:szCs w:val="32"/>
        </w:rPr>
      </w:pPr>
    </w:p>
    <w:p w14:paraId="49F7932E" w14:textId="7092AA4C" w:rsidR="00EA5FBC" w:rsidRPr="00EA5FBC" w:rsidRDefault="00EA5FBC">
      <w:pPr>
        <w:rPr>
          <w:rFonts w:ascii="Arial" w:hAnsi="Arial" w:cs="Arial"/>
          <w:color w:val="000000"/>
          <w:sz w:val="32"/>
          <w:szCs w:val="32"/>
        </w:rPr>
      </w:pPr>
      <w:r w:rsidRPr="00EA5FBC">
        <w:rPr>
          <w:rFonts w:ascii="Arial" w:hAnsi="Arial" w:cs="Arial"/>
          <w:color w:val="000000"/>
          <w:sz w:val="32"/>
          <w:szCs w:val="32"/>
        </w:rPr>
        <w:t>High childhood obesity in Barking and Dagenham is an important health and social care issue because it can affect children’s physical health, mental wellbeing and future quality of life. The mind map shows that the problem is influenced by interconnected factors, including unhealthy diets, limited physical activity and excessive screen time. Children are directly affected, while families and the wider community may also experience the consequences. If the problem is not addressed, children may face an increased risk of serious health conditions in later life, while greater pressure may be placed on health services. A systems thinking approach recognises that complex health problems result from interconnected factors rather than one single cause (Meadows, 2008). Therefore, solutions should involve schools, parents and local community organisations working together through educational workshops, healthier lifestyle initiatives and accessible physical activity programmes.</w:t>
      </w:r>
    </w:p>
    <w:p w14:paraId="11468897" w14:textId="77777777" w:rsidR="00EA5FBC" w:rsidRPr="00EA5FBC" w:rsidRDefault="00EA5FBC">
      <w:pPr>
        <w:rPr>
          <w:rFonts w:ascii="Arial" w:hAnsi="Arial" w:cs="Arial"/>
          <w:color w:val="000000"/>
          <w:sz w:val="32"/>
          <w:szCs w:val="32"/>
        </w:rPr>
      </w:pPr>
    </w:p>
    <w:p w14:paraId="68FDD1C9" w14:textId="77777777" w:rsidR="00EA5FBC" w:rsidRPr="00EA5FBC" w:rsidRDefault="00EA5FBC">
      <w:pPr>
        <w:rPr>
          <w:rFonts w:ascii="Arial" w:hAnsi="Arial" w:cs="Arial"/>
          <w:color w:val="000000"/>
          <w:sz w:val="32"/>
          <w:szCs w:val="32"/>
        </w:rPr>
      </w:pPr>
    </w:p>
    <w:p w14:paraId="6725FA4A" w14:textId="39D6300A" w:rsidR="00EA5FBC" w:rsidRDefault="00EA5FBC">
      <w:pPr>
        <w:rPr>
          <w:rFonts w:ascii="-webkit-standard" w:hAnsi="-webkit-standard"/>
          <w:color w:val="000000"/>
          <w:sz w:val="27"/>
          <w:szCs w:val="27"/>
        </w:rPr>
      </w:pPr>
      <w:r>
        <w:rPr>
          <w:rFonts w:ascii="-webkit-standard" w:hAnsi="-webkit-standard"/>
          <w:noProof/>
          <w:color w:val="000000"/>
          <w:sz w:val="27"/>
          <w:szCs w:val="27"/>
          <w14:ligatures w14:val="standardContextual"/>
        </w:rPr>
        <w:lastRenderedPageBreak/>
        <w:drawing>
          <wp:inline distT="0" distB="0" distL="0" distR="0" wp14:anchorId="2F06F24F" wp14:editId="62E3162F">
            <wp:extent cx="5731510" cy="3586480"/>
            <wp:effectExtent l="0" t="0" r="0" b="0"/>
            <wp:docPr id="97754017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540170" name="Picture 977540170"/>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586480"/>
                    </a:xfrm>
                    <a:prstGeom prst="rect">
                      <a:avLst/>
                    </a:prstGeom>
                  </pic:spPr>
                </pic:pic>
              </a:graphicData>
            </a:graphic>
          </wp:inline>
        </w:drawing>
      </w:r>
    </w:p>
    <w:p w14:paraId="405291CD" w14:textId="6008B1DB" w:rsidR="00EA5FBC" w:rsidRPr="00EA5FBC" w:rsidRDefault="00EA5FBC" w:rsidP="00EA5FBC">
      <w:pPr>
        <w:pStyle w:val="pdq2pgselectionanchorcontainer"/>
        <w:rPr>
          <w:rFonts w:ascii="Arial" w:hAnsi="Arial" w:cs="Arial"/>
          <w:b/>
          <w:bCs/>
          <w:color w:val="000000"/>
          <w:sz w:val="32"/>
          <w:szCs w:val="32"/>
        </w:rPr>
      </w:pPr>
      <w:r w:rsidRPr="00EA5FBC">
        <w:rPr>
          <w:rStyle w:val="Strong"/>
          <w:rFonts w:ascii="Arial" w:hAnsi="Arial" w:cs="Arial"/>
          <w:b w:val="0"/>
          <w:bCs w:val="0"/>
          <w:color w:val="000000"/>
          <w:sz w:val="32"/>
          <w:szCs w:val="32"/>
        </w:rPr>
        <w:t>Figure 2: Evidence of my participation in the Moodle group activity exploring high childhood obesity in Barking and Dagenham.</w:t>
      </w:r>
    </w:p>
    <w:p w14:paraId="16C27E41" w14:textId="77777777" w:rsidR="00EA5FBC" w:rsidRPr="00EA5FBC" w:rsidRDefault="00EA5FBC">
      <w:pPr>
        <w:rPr>
          <w:rFonts w:ascii="-webkit-standard" w:hAnsi="-webkit-standard"/>
          <w:color w:val="000000"/>
          <w:sz w:val="32"/>
          <w:szCs w:val="32"/>
        </w:rPr>
      </w:pPr>
    </w:p>
    <w:p w14:paraId="18C54A1F" w14:textId="77777777" w:rsidR="00EA5FBC" w:rsidRDefault="00EA5FBC">
      <w:pPr>
        <w:rPr>
          <w:rFonts w:ascii="-webkit-standard" w:hAnsi="-webkit-standard"/>
          <w:color w:val="000000"/>
          <w:sz w:val="27"/>
          <w:szCs w:val="27"/>
        </w:rPr>
      </w:pPr>
      <w:r>
        <w:rPr>
          <w:rFonts w:ascii="-webkit-standard" w:hAnsi="-webkit-standard"/>
          <w:color w:val="000000"/>
          <w:sz w:val="27"/>
          <w:szCs w:val="27"/>
        </w:rPr>
        <w:t xml:space="preserve">             </w:t>
      </w:r>
    </w:p>
    <w:p w14:paraId="3A73FD9C" w14:textId="77777777" w:rsidR="009012AC" w:rsidRPr="009012AC" w:rsidRDefault="009012AC" w:rsidP="009012AC">
      <w:pPr>
        <w:pStyle w:val="Heading1"/>
        <w:rPr>
          <w:rFonts w:ascii="Arial" w:eastAsia="Times New Roman" w:hAnsi="Arial" w:cs="Arial"/>
          <w:color w:val="000000"/>
          <w:sz w:val="32"/>
          <w:szCs w:val="32"/>
        </w:rPr>
      </w:pPr>
      <w:r w:rsidRPr="009012AC">
        <w:rPr>
          <w:rStyle w:val="Strong"/>
          <w:rFonts w:ascii="Arial" w:hAnsi="Arial" w:cs="Arial"/>
          <w:color w:val="000000"/>
          <w:sz w:val="32"/>
          <w:szCs w:val="32"/>
        </w:rPr>
        <w:t>Task 3 – Analysing Change Using Lewin’s Change Management Model</w:t>
      </w:r>
    </w:p>
    <w:p w14:paraId="0ED50D7C" w14:textId="50AC5FFA" w:rsidR="009012AC" w:rsidRPr="009012AC" w:rsidRDefault="009012AC" w:rsidP="009012AC">
      <w:pPr>
        <w:pStyle w:val="NormalWeb"/>
        <w:rPr>
          <w:rFonts w:ascii="Arial" w:hAnsi="Arial" w:cs="Arial"/>
          <w:color w:val="000000"/>
          <w:sz w:val="32"/>
          <w:szCs w:val="32"/>
        </w:rPr>
      </w:pPr>
      <w:r w:rsidRPr="009012AC">
        <w:rPr>
          <w:rFonts w:ascii="Arial" w:hAnsi="Arial" w:cs="Arial"/>
          <w:color w:val="000000"/>
          <w:sz w:val="32"/>
          <w:szCs w:val="32"/>
        </w:rPr>
        <w:t>Lewin’s Change Management Model explains change through three connected stages:</w:t>
      </w:r>
      <w:r w:rsidRPr="009012AC">
        <w:rPr>
          <w:rStyle w:val="apple-converted-space"/>
          <w:rFonts w:ascii="Arial" w:hAnsi="Arial" w:cs="Arial"/>
          <w:color w:val="000000"/>
          <w:sz w:val="32"/>
          <w:szCs w:val="32"/>
        </w:rPr>
        <w:t> </w:t>
      </w:r>
      <w:r w:rsidRPr="009012AC">
        <w:rPr>
          <w:rStyle w:val="Strong"/>
          <w:rFonts w:ascii="Arial" w:hAnsi="Arial" w:cs="Arial"/>
          <w:color w:val="000000"/>
          <w:sz w:val="32"/>
          <w:szCs w:val="32"/>
        </w:rPr>
        <w:t>Unfreeze, Change and Refreeze</w:t>
      </w:r>
      <w:r>
        <w:rPr>
          <w:rStyle w:val="Strong"/>
          <w:rFonts w:ascii="Arial" w:hAnsi="Arial" w:cs="Arial"/>
          <w:color w:val="000000"/>
          <w:sz w:val="32"/>
          <w:szCs w:val="32"/>
        </w:rPr>
        <w:t xml:space="preserve"> </w:t>
      </w:r>
      <w:r w:rsidRPr="009012AC">
        <w:rPr>
          <w:rFonts w:ascii="Arial" w:hAnsi="Arial" w:cs="Arial"/>
          <w:color w:val="000000"/>
          <w:sz w:val="32"/>
          <w:szCs w:val="32"/>
        </w:rPr>
        <w:t>(Lewin, 1951). Although the model was developed many years ago, it continues to be used because it provides a clear structure for planning and embedding organisational change.</w:t>
      </w:r>
    </w:p>
    <w:p w14:paraId="1E731049" w14:textId="77777777" w:rsidR="009012AC" w:rsidRPr="009012AC" w:rsidRDefault="009012AC" w:rsidP="009012AC">
      <w:pPr>
        <w:pStyle w:val="NormalWeb"/>
        <w:rPr>
          <w:rFonts w:ascii="Arial" w:hAnsi="Arial" w:cs="Arial"/>
          <w:color w:val="000000"/>
          <w:sz w:val="32"/>
          <w:szCs w:val="32"/>
        </w:rPr>
      </w:pPr>
      <w:r w:rsidRPr="009012AC">
        <w:rPr>
          <w:rFonts w:ascii="Arial" w:hAnsi="Arial" w:cs="Arial"/>
          <w:color w:val="000000"/>
          <w:sz w:val="32"/>
          <w:szCs w:val="32"/>
        </w:rPr>
        <w:t>The first stage,</w:t>
      </w:r>
      <w:r w:rsidRPr="009012AC">
        <w:rPr>
          <w:rStyle w:val="apple-converted-space"/>
          <w:rFonts w:ascii="Arial" w:hAnsi="Arial" w:cs="Arial"/>
          <w:color w:val="000000"/>
          <w:sz w:val="32"/>
          <w:szCs w:val="32"/>
        </w:rPr>
        <w:t> </w:t>
      </w:r>
      <w:r w:rsidRPr="009012AC">
        <w:rPr>
          <w:rStyle w:val="Strong"/>
          <w:rFonts w:ascii="Arial" w:hAnsi="Arial" w:cs="Arial"/>
          <w:color w:val="000000"/>
          <w:sz w:val="32"/>
          <w:szCs w:val="32"/>
        </w:rPr>
        <w:t>Unfreeze</w:t>
      </w:r>
      <w:r w:rsidRPr="009012AC">
        <w:rPr>
          <w:rFonts w:ascii="Arial" w:hAnsi="Arial" w:cs="Arial"/>
          <w:color w:val="000000"/>
          <w:sz w:val="32"/>
          <w:szCs w:val="32"/>
        </w:rPr>
        <w:t xml:space="preserve">, focuses on preparing people before any change takes place. This involves helping employees understand why existing ways of working are no longer effective and why improvement is needed. In health and social care, leaders may communicate evidence, patient feedback or </w:t>
      </w:r>
      <w:r w:rsidRPr="009012AC">
        <w:rPr>
          <w:rFonts w:ascii="Arial" w:hAnsi="Arial" w:cs="Arial"/>
          <w:color w:val="000000"/>
          <w:sz w:val="32"/>
          <w:szCs w:val="32"/>
        </w:rPr>
        <w:lastRenderedPageBreak/>
        <w:t>organisational data to explain the reasons for introducing a new approach. Open communication and staff involvement at this stage can reduce uncertainty and encourage greater acceptance of change.</w:t>
      </w:r>
    </w:p>
    <w:p w14:paraId="3F4489E0" w14:textId="77777777" w:rsidR="009012AC" w:rsidRPr="009012AC" w:rsidRDefault="009012AC" w:rsidP="009012AC">
      <w:pPr>
        <w:pStyle w:val="NormalWeb"/>
        <w:rPr>
          <w:rFonts w:ascii="Arial" w:hAnsi="Arial" w:cs="Arial"/>
          <w:color w:val="000000"/>
          <w:sz w:val="32"/>
          <w:szCs w:val="32"/>
        </w:rPr>
      </w:pPr>
      <w:r w:rsidRPr="009012AC">
        <w:rPr>
          <w:rFonts w:ascii="Arial" w:hAnsi="Arial" w:cs="Arial"/>
          <w:color w:val="000000"/>
          <w:sz w:val="32"/>
          <w:szCs w:val="32"/>
        </w:rPr>
        <w:t>The second stage,</w:t>
      </w:r>
      <w:r w:rsidRPr="009012AC">
        <w:rPr>
          <w:rStyle w:val="apple-converted-space"/>
          <w:rFonts w:ascii="Arial" w:hAnsi="Arial" w:cs="Arial"/>
          <w:color w:val="000000"/>
          <w:sz w:val="32"/>
          <w:szCs w:val="32"/>
        </w:rPr>
        <w:t> </w:t>
      </w:r>
      <w:r w:rsidRPr="009012AC">
        <w:rPr>
          <w:rStyle w:val="Strong"/>
          <w:rFonts w:ascii="Arial" w:hAnsi="Arial" w:cs="Arial"/>
          <w:color w:val="000000"/>
          <w:sz w:val="32"/>
          <w:szCs w:val="32"/>
        </w:rPr>
        <w:t>Change</w:t>
      </w:r>
      <w:r w:rsidRPr="009012AC">
        <w:rPr>
          <w:rFonts w:ascii="Arial" w:hAnsi="Arial" w:cs="Arial"/>
          <w:color w:val="000000"/>
          <w:sz w:val="32"/>
          <w:szCs w:val="32"/>
        </w:rPr>
        <w:t>, is when the new process, system or way of working is introduced. During this period, organisations should provide clear guidance, appropriate training and ongoing support so that employees feel confident using new practices. Staff often need time to adjust, and leaders should respond to concerns, encourage feedback and address any barriers that arise throughout implementation.</w:t>
      </w:r>
    </w:p>
    <w:p w14:paraId="436A298C" w14:textId="77777777" w:rsidR="009012AC" w:rsidRPr="009012AC" w:rsidRDefault="009012AC" w:rsidP="009012AC">
      <w:pPr>
        <w:pStyle w:val="NormalWeb"/>
        <w:rPr>
          <w:rFonts w:ascii="Arial" w:hAnsi="Arial" w:cs="Arial"/>
          <w:color w:val="000000"/>
          <w:sz w:val="32"/>
          <w:szCs w:val="32"/>
        </w:rPr>
      </w:pPr>
      <w:r w:rsidRPr="009012AC">
        <w:rPr>
          <w:rFonts w:ascii="Arial" w:hAnsi="Arial" w:cs="Arial"/>
          <w:color w:val="000000"/>
          <w:sz w:val="32"/>
          <w:szCs w:val="32"/>
        </w:rPr>
        <w:t>The final stage,</w:t>
      </w:r>
      <w:r w:rsidRPr="009012AC">
        <w:rPr>
          <w:rStyle w:val="apple-converted-space"/>
          <w:rFonts w:ascii="Arial" w:hAnsi="Arial" w:cs="Arial"/>
          <w:color w:val="000000"/>
          <w:sz w:val="32"/>
          <w:szCs w:val="32"/>
        </w:rPr>
        <w:t> </w:t>
      </w:r>
      <w:r w:rsidRPr="009012AC">
        <w:rPr>
          <w:rStyle w:val="Strong"/>
          <w:rFonts w:ascii="Arial" w:hAnsi="Arial" w:cs="Arial"/>
          <w:color w:val="000000"/>
          <w:sz w:val="32"/>
          <w:szCs w:val="32"/>
        </w:rPr>
        <w:t>Refreeze</w:t>
      </w:r>
      <w:r w:rsidRPr="009012AC">
        <w:rPr>
          <w:rFonts w:ascii="Arial" w:hAnsi="Arial" w:cs="Arial"/>
          <w:color w:val="000000"/>
          <w:sz w:val="32"/>
          <w:szCs w:val="32"/>
        </w:rPr>
        <w:t>, aims to ensure that the change becomes part of everyday practice rather than a temporary improvement. This can be achieved by reviewing outcomes, reinforcing successful behaviours and continuing to support staff after implementation. Regular evaluation and positive reinforcement help organisations maintain improvements over time and reduce the likelihood of returning to previous practices.</w:t>
      </w:r>
    </w:p>
    <w:p w14:paraId="5AC8AB29" w14:textId="77777777" w:rsidR="009012AC" w:rsidRPr="009012AC" w:rsidRDefault="009012AC" w:rsidP="009012AC">
      <w:pPr>
        <w:pStyle w:val="NormalWeb"/>
        <w:rPr>
          <w:rFonts w:ascii="Arial" w:hAnsi="Arial" w:cs="Arial"/>
          <w:color w:val="000000"/>
          <w:sz w:val="32"/>
          <w:szCs w:val="32"/>
        </w:rPr>
      </w:pPr>
      <w:r w:rsidRPr="009012AC">
        <w:rPr>
          <w:rFonts w:ascii="Arial" w:hAnsi="Arial" w:cs="Arial"/>
          <w:color w:val="000000"/>
          <w:sz w:val="32"/>
          <w:szCs w:val="32"/>
        </w:rPr>
        <w:t>One advantage of Lewin’s model is its simple and structured approach, making it easier for organisations to understand and manage change. However, a limitation is that healthcare environments often experience continuous development, meaning change does not always follow a clear beginning and end. Despite this limitation, the model remains a useful framework because it highlights the importance of preparation, staff engagement and sustaining improvements after implementation.</w:t>
      </w:r>
    </w:p>
    <w:p w14:paraId="702F272D" w14:textId="77777777" w:rsidR="00EA5FBC" w:rsidRPr="00EA5FBC" w:rsidRDefault="00EA5FBC">
      <w:pPr>
        <w:rPr>
          <w:rFonts w:ascii="Arial" w:hAnsi="Arial" w:cs="Arial"/>
          <w:color w:val="000000"/>
          <w:sz w:val="32"/>
          <w:szCs w:val="32"/>
        </w:rPr>
      </w:pPr>
    </w:p>
    <w:p w14:paraId="633989FD" w14:textId="07896E9E" w:rsidR="00EA5FBC" w:rsidRPr="00EA5FBC" w:rsidRDefault="00EA5FBC">
      <w:pPr>
        <w:rPr>
          <w:rFonts w:ascii="Arial" w:hAnsi="Arial" w:cs="Arial"/>
          <w:color w:val="000000"/>
          <w:sz w:val="32"/>
          <w:szCs w:val="32"/>
        </w:rPr>
      </w:pPr>
      <w:r w:rsidRPr="00EA5FBC">
        <w:rPr>
          <w:rFonts w:ascii="Arial" w:hAnsi="Arial" w:cs="Arial"/>
          <w:noProof/>
          <w:color w:val="000000"/>
          <w:sz w:val="32"/>
          <w:szCs w:val="32"/>
          <w14:ligatures w14:val="standardContextual"/>
        </w:rPr>
        <w:lastRenderedPageBreak/>
        <w:drawing>
          <wp:inline distT="0" distB="0" distL="0" distR="0" wp14:anchorId="19A50FE3" wp14:editId="52780EF8">
            <wp:extent cx="5731510" cy="3586480"/>
            <wp:effectExtent l="0" t="0" r="0" b="0"/>
            <wp:docPr id="932781871"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781871" name="Picture 93278187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86480"/>
                    </a:xfrm>
                    <a:prstGeom prst="rect">
                      <a:avLst/>
                    </a:prstGeom>
                  </pic:spPr>
                </pic:pic>
              </a:graphicData>
            </a:graphic>
          </wp:inline>
        </w:drawing>
      </w:r>
    </w:p>
    <w:p w14:paraId="5243CFB7" w14:textId="5F8B2388" w:rsidR="00EA5FBC" w:rsidRDefault="00EA5FBC">
      <w:pPr>
        <w:rPr>
          <w:rFonts w:ascii="Arial" w:hAnsi="Arial" w:cs="Arial"/>
          <w:color w:val="000000"/>
          <w:sz w:val="32"/>
          <w:szCs w:val="32"/>
        </w:rPr>
      </w:pPr>
      <w:r w:rsidRPr="00EA5FBC">
        <w:rPr>
          <w:rFonts w:ascii="Arial" w:hAnsi="Arial" w:cs="Arial"/>
          <w:color w:val="000000"/>
          <w:sz w:val="32"/>
          <w:szCs w:val="32"/>
        </w:rPr>
        <w:t>Figure 3: Evidence of the convergent and divergent thinking class activity.</w:t>
      </w:r>
    </w:p>
    <w:p w14:paraId="0EB93D5D" w14:textId="77777777" w:rsidR="00EA5FBC" w:rsidRDefault="00EA5FBC">
      <w:pPr>
        <w:rPr>
          <w:rFonts w:ascii="Arial" w:hAnsi="Arial" w:cs="Arial"/>
          <w:color w:val="000000"/>
          <w:sz w:val="32"/>
          <w:szCs w:val="32"/>
        </w:rPr>
      </w:pPr>
    </w:p>
    <w:p w14:paraId="3CDD3319" w14:textId="77777777" w:rsidR="00EA5FBC" w:rsidRDefault="00EA5FBC">
      <w:pPr>
        <w:rPr>
          <w:rFonts w:ascii="Arial" w:hAnsi="Arial" w:cs="Arial"/>
          <w:color w:val="000000"/>
          <w:sz w:val="32"/>
          <w:szCs w:val="32"/>
        </w:rPr>
      </w:pPr>
    </w:p>
    <w:p w14:paraId="44351F40" w14:textId="2940BC33" w:rsidR="00EA5FBC" w:rsidRPr="00EA5FBC" w:rsidRDefault="00EA5FBC" w:rsidP="00EA5FBC">
      <w:pPr>
        <w:pStyle w:val="Heading3"/>
        <w:rPr>
          <w:rFonts w:ascii="Arial" w:eastAsia="Times New Roman" w:hAnsi="Arial" w:cs="Arial"/>
          <w:b/>
          <w:bCs/>
          <w:color w:val="000000"/>
          <w:sz w:val="32"/>
          <w:szCs w:val="32"/>
        </w:rPr>
      </w:pPr>
      <w:r w:rsidRPr="00EA5FBC">
        <w:rPr>
          <w:rFonts w:ascii="Arial" w:hAnsi="Arial" w:cs="Arial"/>
          <w:b/>
          <w:bCs/>
          <w:color w:val="000000"/>
          <w:sz w:val="32"/>
          <w:szCs w:val="32"/>
        </w:rPr>
        <w:lastRenderedPageBreak/>
        <w:t xml:space="preserve">Task </w:t>
      </w:r>
      <w:proofErr w:type="gramStart"/>
      <w:r w:rsidR="009012AC" w:rsidRPr="00EA5FBC">
        <w:rPr>
          <w:rFonts w:ascii="Arial" w:hAnsi="Arial" w:cs="Arial"/>
          <w:b/>
          <w:bCs/>
          <w:color w:val="000000"/>
          <w:sz w:val="32"/>
          <w:szCs w:val="32"/>
        </w:rPr>
        <w:t>4</w:t>
      </w:r>
      <w:r w:rsidR="009012AC">
        <w:rPr>
          <w:rFonts w:ascii="Arial" w:hAnsi="Arial" w:cs="Arial"/>
          <w:b/>
          <w:bCs/>
          <w:color w:val="000000"/>
          <w:sz w:val="32"/>
          <w:szCs w:val="32"/>
        </w:rPr>
        <w:t xml:space="preserve"> </w:t>
      </w:r>
      <w:r w:rsidR="009012AC" w:rsidRPr="00EA5FBC">
        <w:rPr>
          <w:rFonts w:ascii="Arial" w:hAnsi="Arial" w:cs="Arial"/>
          <w:b/>
          <w:bCs/>
          <w:color w:val="000000"/>
          <w:sz w:val="32"/>
          <w:szCs w:val="32"/>
        </w:rPr>
        <w:t xml:space="preserve"> Case</w:t>
      </w:r>
      <w:proofErr w:type="gramEnd"/>
      <w:r w:rsidRPr="00EA5FBC">
        <w:rPr>
          <w:rFonts w:ascii="Arial" w:hAnsi="Arial" w:cs="Arial"/>
          <w:b/>
          <w:bCs/>
          <w:color w:val="000000"/>
          <w:sz w:val="32"/>
          <w:szCs w:val="32"/>
        </w:rPr>
        <w:t xml:space="preserve"> Study Analysis of a UK Innovation</w:t>
      </w:r>
    </w:p>
    <w:p w14:paraId="21AEDA8F" w14:textId="77777777" w:rsidR="002548FE" w:rsidRPr="002548FE" w:rsidRDefault="002548FE" w:rsidP="00EA5FBC">
      <w:pPr>
        <w:pStyle w:val="Heading3"/>
        <w:rPr>
          <w:rFonts w:ascii="Arial" w:hAnsi="Arial" w:cs="Arial"/>
          <w:color w:val="000000"/>
          <w:sz w:val="32"/>
          <w:szCs w:val="32"/>
        </w:rPr>
      </w:pPr>
      <w:r w:rsidRPr="002548FE">
        <w:rPr>
          <w:rFonts w:ascii="Arial" w:hAnsi="Arial" w:cs="Arial"/>
          <w:color w:val="000000"/>
          <w:sz w:val="32"/>
          <w:szCs w:val="32"/>
        </w:rPr>
        <w:t xml:space="preserve">Virtual wards represent an innovative approach introduced by the NHS to provide hospital-level care in patients’ own homes while reducing pressure on inpatient services. Patients who meet specific clinical criteria can be monitored remotely using digital technology while receiving ongoing support from multidisciplinary healthcare teams (NHS England, 2024a). This innovation rethinks the traditional hospital model by combining technology with person-centred care delivered in a familiar environment. As a result, many patients can recover safely at home, while hospitals benefit from increased bed availability and fewer avoidable admissions. NHS England (2024b) reported that virtual wards prevented around 9,000 hospital admissions across the </w:t>
      </w:r>
      <w:proofErr w:type="gramStart"/>
      <w:r w:rsidRPr="002548FE">
        <w:rPr>
          <w:rFonts w:ascii="Arial" w:hAnsi="Arial" w:cs="Arial"/>
          <w:color w:val="000000"/>
          <w:sz w:val="32"/>
          <w:szCs w:val="32"/>
        </w:rPr>
        <w:t>South East</w:t>
      </w:r>
      <w:proofErr w:type="gramEnd"/>
      <w:r w:rsidRPr="002548FE">
        <w:rPr>
          <w:rFonts w:ascii="Arial" w:hAnsi="Arial" w:cs="Arial"/>
          <w:color w:val="000000"/>
          <w:sz w:val="32"/>
          <w:szCs w:val="32"/>
        </w:rPr>
        <w:t xml:space="preserve"> within one year, highlighting their contribution to improving service capacity. Rogers’ Diffusion of Innovation Theory explains that new approaches become more widely adopted as organisations recognise their effectiveness and practical advantages (Rogers, 2003). The growing use of virtual wards across the NHS reflects this process and demonstrates how similar models could be applied to other suitable healthcare services.</w:t>
      </w:r>
    </w:p>
    <w:p w14:paraId="10019015" w14:textId="0E77B6DC" w:rsidR="00EA5FBC" w:rsidRPr="00EA5FBC" w:rsidRDefault="00EA5FBC" w:rsidP="00EA5FBC">
      <w:pPr>
        <w:pStyle w:val="Heading3"/>
        <w:rPr>
          <w:rFonts w:ascii="Arial" w:eastAsia="Times New Roman" w:hAnsi="Arial" w:cs="Arial"/>
          <w:b/>
          <w:bCs/>
          <w:color w:val="000000"/>
          <w:sz w:val="32"/>
          <w:szCs w:val="32"/>
        </w:rPr>
      </w:pPr>
      <w:r w:rsidRPr="00EA5FBC">
        <w:rPr>
          <w:rFonts w:ascii="Arial" w:hAnsi="Arial" w:cs="Arial"/>
          <w:b/>
          <w:bCs/>
          <w:color w:val="000000"/>
          <w:sz w:val="32"/>
          <w:szCs w:val="32"/>
        </w:rPr>
        <w:t>Task 5 – Research Task</w:t>
      </w:r>
    </w:p>
    <w:p w14:paraId="14CA863E" w14:textId="77777777" w:rsidR="00C62C0D" w:rsidRPr="00C62C0D" w:rsidRDefault="00C62C0D" w:rsidP="00C62C0D">
      <w:pPr>
        <w:spacing w:before="100" w:beforeAutospacing="1" w:after="100" w:afterAutospacing="1" w:line="240" w:lineRule="auto"/>
        <w:rPr>
          <w:rFonts w:ascii="Arial" w:eastAsia="Times New Roman" w:hAnsi="Arial" w:cs="Arial"/>
          <w:color w:val="000000"/>
          <w:kern w:val="0"/>
          <w:sz w:val="32"/>
          <w:szCs w:val="32"/>
          <w:lang w:eastAsia="en-GB"/>
        </w:rPr>
      </w:pPr>
      <w:r w:rsidRPr="00C62C0D">
        <w:rPr>
          <w:rFonts w:ascii="Arial" w:eastAsia="Times New Roman" w:hAnsi="Arial" w:cs="Arial"/>
          <w:color w:val="000000"/>
          <w:kern w:val="0"/>
          <w:sz w:val="32"/>
          <w:szCs w:val="32"/>
          <w:lang w:eastAsia="en-GB"/>
        </w:rPr>
        <w:t xml:space="preserve">Burnout among healthcare professionals remains a major challenge within health and social care because it affects staff wellbeing, organisational performance and the quality of patient care. West et al. (2018) explain that burnout is influenced by factors such as excessive workloads, inefficient systems, administrative responsibilities, limited control over work and organisational culture. Their findings suggest that burnout should be recognised as an organisational issue rather than solely the responsibility of individual professionals. Similarly, </w:t>
      </w:r>
      <w:proofErr w:type="spellStart"/>
      <w:r w:rsidRPr="00C62C0D">
        <w:rPr>
          <w:rFonts w:ascii="Arial" w:eastAsia="Times New Roman" w:hAnsi="Arial" w:cs="Arial"/>
          <w:color w:val="000000"/>
          <w:kern w:val="0"/>
          <w:sz w:val="32"/>
          <w:szCs w:val="32"/>
          <w:lang w:eastAsia="en-GB"/>
        </w:rPr>
        <w:t>Dall’Ora</w:t>
      </w:r>
      <w:proofErr w:type="spellEnd"/>
      <w:r w:rsidRPr="00C62C0D">
        <w:rPr>
          <w:rFonts w:ascii="Arial" w:eastAsia="Times New Roman" w:hAnsi="Arial" w:cs="Arial"/>
          <w:color w:val="000000"/>
          <w:kern w:val="0"/>
          <w:sz w:val="32"/>
          <w:szCs w:val="32"/>
          <w:lang w:eastAsia="en-GB"/>
        </w:rPr>
        <w:t xml:space="preserve"> et al. (2020) identify heavy workloads, staff shortages </w:t>
      </w:r>
      <w:r w:rsidRPr="00C62C0D">
        <w:rPr>
          <w:rFonts w:ascii="Arial" w:eastAsia="Times New Roman" w:hAnsi="Arial" w:cs="Arial"/>
          <w:color w:val="000000"/>
          <w:kern w:val="0"/>
          <w:sz w:val="32"/>
          <w:szCs w:val="32"/>
          <w:lang w:eastAsia="en-GB"/>
        </w:rPr>
        <w:lastRenderedPageBreak/>
        <w:t>and ongoing time pressures as key factors contributing to burnout among nurses, particularly emotional exhaustion.</w:t>
      </w:r>
    </w:p>
    <w:p w14:paraId="388CA7A7" w14:textId="77777777" w:rsidR="00C62C0D" w:rsidRPr="00C62C0D" w:rsidRDefault="00C62C0D" w:rsidP="00C62C0D">
      <w:pPr>
        <w:spacing w:before="100" w:beforeAutospacing="1" w:after="100" w:afterAutospacing="1" w:line="240" w:lineRule="auto"/>
        <w:rPr>
          <w:rFonts w:ascii="Arial" w:eastAsia="Times New Roman" w:hAnsi="Arial" w:cs="Arial"/>
          <w:color w:val="000000"/>
          <w:kern w:val="0"/>
          <w:sz w:val="32"/>
          <w:szCs w:val="32"/>
          <w:lang w:eastAsia="en-GB"/>
        </w:rPr>
      </w:pPr>
      <w:r w:rsidRPr="00C62C0D">
        <w:rPr>
          <w:rFonts w:ascii="Arial" w:eastAsia="Times New Roman" w:hAnsi="Arial" w:cs="Arial"/>
          <w:color w:val="000000"/>
          <w:kern w:val="0"/>
          <w:sz w:val="32"/>
          <w:szCs w:val="32"/>
          <w:lang w:eastAsia="en-GB"/>
        </w:rPr>
        <w:t xml:space="preserve">Although both studies conclude that workplace pressures play a significant role in the development of burnout, they differ in their focus. West et al. (2018) examine burnout among physicians and consider a broad range of organisational and professional influences, whereas </w:t>
      </w:r>
      <w:proofErr w:type="spellStart"/>
      <w:r w:rsidRPr="00C62C0D">
        <w:rPr>
          <w:rFonts w:ascii="Arial" w:eastAsia="Times New Roman" w:hAnsi="Arial" w:cs="Arial"/>
          <w:color w:val="000000"/>
          <w:kern w:val="0"/>
          <w:sz w:val="32"/>
          <w:szCs w:val="32"/>
          <w:lang w:eastAsia="en-GB"/>
        </w:rPr>
        <w:t>Dall’Ora</w:t>
      </w:r>
      <w:proofErr w:type="spellEnd"/>
      <w:r w:rsidRPr="00C62C0D">
        <w:rPr>
          <w:rFonts w:ascii="Arial" w:eastAsia="Times New Roman" w:hAnsi="Arial" w:cs="Arial"/>
          <w:color w:val="000000"/>
          <w:kern w:val="0"/>
          <w:sz w:val="32"/>
          <w:szCs w:val="32"/>
          <w:lang w:eastAsia="en-GB"/>
        </w:rPr>
        <w:t xml:space="preserve"> et al. (2020) concentrate specifically on nursing staff and the impact of working conditions. Together, these studies demonstrate that improving staff wellbeing requires action at both organisational and workforce levels. They also helped me understand how limited staffing, increasing workloads and resource pressures can affect both healthcare professionals and the quality of care delivered to patients.</w:t>
      </w:r>
    </w:p>
    <w:p w14:paraId="0708952D" w14:textId="77777777" w:rsidR="00C62C0D" w:rsidRPr="00C62C0D" w:rsidRDefault="00C62C0D" w:rsidP="00C62C0D">
      <w:pPr>
        <w:spacing w:before="100" w:beforeAutospacing="1" w:after="100" w:afterAutospacing="1" w:line="240" w:lineRule="auto"/>
        <w:rPr>
          <w:rFonts w:ascii="Arial" w:eastAsia="Times New Roman" w:hAnsi="Arial" w:cs="Arial"/>
          <w:color w:val="000000"/>
          <w:kern w:val="0"/>
          <w:sz w:val="32"/>
          <w:szCs w:val="32"/>
          <w:lang w:eastAsia="en-GB"/>
        </w:rPr>
      </w:pPr>
      <w:r w:rsidRPr="00C62C0D">
        <w:rPr>
          <w:rFonts w:ascii="Arial" w:eastAsia="Times New Roman" w:hAnsi="Arial" w:cs="Arial"/>
          <w:color w:val="000000"/>
          <w:kern w:val="0"/>
          <w:sz w:val="32"/>
          <w:szCs w:val="32"/>
          <w:lang w:eastAsia="en-GB"/>
        </w:rPr>
        <w:t>Maslach and Jackson’s (1981) model describes burnout as consisting of three key dimensions: emotional exhaustion, depersonalisation and reduced personal accomplishment. This framework reinforces the importance of addressing burnout through effective organisational leadership, appropriate staffing levels and practical support for healthcare professionals.</w:t>
      </w:r>
    </w:p>
    <w:p w14:paraId="6F4F9B36" w14:textId="27DBBC8E" w:rsidR="00C62C0D" w:rsidRPr="00C62C0D" w:rsidRDefault="00C62C0D" w:rsidP="00C62C0D">
      <w:pPr>
        <w:spacing w:after="0" w:line="240" w:lineRule="auto"/>
        <w:rPr>
          <w:rFonts w:ascii="Times New Roman" w:eastAsia="Times New Roman" w:hAnsi="Times New Roman"/>
          <w:kern w:val="0"/>
          <w:lang w:eastAsia="en-GB"/>
        </w:rPr>
      </w:pPr>
    </w:p>
    <w:p w14:paraId="77E43A69" w14:textId="77777777" w:rsidR="00EA5FBC" w:rsidRPr="00EA5FBC" w:rsidRDefault="00EA5FBC">
      <w:pPr>
        <w:rPr>
          <w:rFonts w:ascii="Arial" w:hAnsi="Arial" w:cs="Arial"/>
          <w:color w:val="000000"/>
          <w:sz w:val="32"/>
          <w:szCs w:val="32"/>
        </w:rPr>
      </w:pPr>
    </w:p>
    <w:p w14:paraId="26674E6F" w14:textId="77777777" w:rsidR="009012AC" w:rsidRPr="009012AC" w:rsidRDefault="009012AC" w:rsidP="009012AC">
      <w:pPr>
        <w:pStyle w:val="Heading3"/>
        <w:rPr>
          <w:rFonts w:ascii="Arial" w:eastAsia="Times New Roman" w:hAnsi="Arial" w:cs="Arial"/>
          <w:color w:val="000000"/>
          <w:sz w:val="32"/>
          <w:szCs w:val="32"/>
        </w:rPr>
      </w:pPr>
      <w:r w:rsidRPr="009012AC">
        <w:rPr>
          <w:rStyle w:val="Strong"/>
          <w:rFonts w:ascii="Arial" w:hAnsi="Arial" w:cs="Arial"/>
          <w:color w:val="000000"/>
          <w:sz w:val="32"/>
          <w:szCs w:val="32"/>
        </w:rPr>
        <w:t>1. Wearable Health Technologies</w:t>
      </w:r>
    </w:p>
    <w:p w14:paraId="6438AFD8" w14:textId="77777777" w:rsidR="009012AC" w:rsidRPr="009012AC" w:rsidRDefault="009012AC" w:rsidP="009012AC">
      <w:pPr>
        <w:pStyle w:val="NormalWeb"/>
        <w:rPr>
          <w:rFonts w:ascii="Arial" w:hAnsi="Arial" w:cs="Arial"/>
          <w:color w:val="000000"/>
          <w:sz w:val="32"/>
          <w:szCs w:val="32"/>
        </w:rPr>
      </w:pPr>
      <w:r w:rsidRPr="009012AC">
        <w:rPr>
          <w:rFonts w:ascii="Arial" w:hAnsi="Arial" w:cs="Arial"/>
          <w:color w:val="000000"/>
          <w:sz w:val="32"/>
          <w:szCs w:val="32"/>
        </w:rPr>
        <w:t xml:space="preserve">Wearable health technologies are becoming an increasingly valuable part of modern health and social care because they allow people to monitor their health in everyday life rather than only during medical appointments. Devices such as smartwatches and fitness trackers can collect information about heart rate, physical activity, sleep and other health indicators. This information helps individuals recognise changes in their condition and seek professional advice when necessary. For example, a person living with cardiovascular disease may notice unusual heart rate patterns through a smartwatch and contact a healthcare professional before symptoms become </w:t>
      </w:r>
      <w:r w:rsidRPr="009012AC">
        <w:rPr>
          <w:rFonts w:ascii="Arial" w:hAnsi="Arial" w:cs="Arial"/>
          <w:color w:val="000000"/>
          <w:sz w:val="32"/>
          <w:szCs w:val="32"/>
        </w:rPr>
        <w:lastRenderedPageBreak/>
        <w:t>more serious. Smuck et al. (2021) suggest that wearable technologies can improve long-term condition management by encouraging patient engagement and providing continuous monitoring. Their success, however, depends on whether people trust the technology, understand how to use it and believe that it provides meaningful benefits. This idea reflects the Technology Acceptance Model, which explains that individuals are more likely to use digital technologies when they consider them useful and easy to use (Davis, 1989).</w:t>
      </w:r>
    </w:p>
    <w:p w14:paraId="6DBEE229" w14:textId="77777777" w:rsidR="009012AC" w:rsidRPr="009012AC" w:rsidRDefault="009012AC" w:rsidP="009012AC">
      <w:pPr>
        <w:pStyle w:val="Heading3"/>
        <w:rPr>
          <w:rFonts w:ascii="Arial" w:hAnsi="Arial" w:cs="Arial"/>
          <w:color w:val="000000"/>
          <w:sz w:val="32"/>
          <w:szCs w:val="32"/>
        </w:rPr>
      </w:pPr>
      <w:r w:rsidRPr="009012AC">
        <w:rPr>
          <w:rStyle w:val="Strong"/>
          <w:rFonts w:ascii="Arial" w:hAnsi="Arial" w:cs="Arial"/>
          <w:color w:val="000000"/>
          <w:sz w:val="32"/>
          <w:szCs w:val="32"/>
        </w:rPr>
        <w:t>2. Electronic Health Records</w:t>
      </w:r>
    </w:p>
    <w:p w14:paraId="4EF71FED" w14:textId="77777777" w:rsidR="009012AC" w:rsidRPr="009012AC" w:rsidRDefault="009012AC" w:rsidP="009012AC">
      <w:pPr>
        <w:pStyle w:val="NormalWeb"/>
        <w:rPr>
          <w:rFonts w:ascii="Arial" w:hAnsi="Arial" w:cs="Arial"/>
          <w:color w:val="000000"/>
          <w:sz w:val="32"/>
          <w:szCs w:val="32"/>
        </w:rPr>
      </w:pPr>
      <w:r w:rsidRPr="009012AC">
        <w:rPr>
          <w:rFonts w:ascii="Arial" w:hAnsi="Arial" w:cs="Arial"/>
          <w:color w:val="000000"/>
          <w:sz w:val="32"/>
          <w:szCs w:val="32"/>
        </w:rPr>
        <w:t>Electronic Health Records (EHRs) enable healthcare professionals to access and share patient information securely across different healthcare settings. This improves communication between services, reduces delays and supports better clinical decision-making. Having immediate access to medical history, medication records and investigation results helps professionals provide safer and more coordinated care. For example, when a patient receives treatment from several specialists, electronic records reduce the risk of important information being overlooked or duplicated. Campanella et al. (2016) found that EHRs improve both the quality and continuity of care while reducing unnecessary duplication of clinical information. Nevertheless, these systems are only effective when healthcare staff receive appropriate training, records remain accurate and patient data is protected. Davis (1989) also argues that healthcare professionals are more willing to adopt digital systems when they believe the technology supports their work and is straightforward to operate.</w:t>
      </w:r>
    </w:p>
    <w:p w14:paraId="7990A9A0" w14:textId="77777777" w:rsidR="009012AC" w:rsidRPr="009012AC" w:rsidRDefault="009012AC" w:rsidP="009012AC">
      <w:pPr>
        <w:pStyle w:val="Heading3"/>
        <w:rPr>
          <w:rFonts w:ascii="Arial" w:hAnsi="Arial" w:cs="Arial"/>
          <w:color w:val="000000"/>
          <w:sz w:val="32"/>
          <w:szCs w:val="32"/>
        </w:rPr>
      </w:pPr>
      <w:r w:rsidRPr="009012AC">
        <w:rPr>
          <w:rStyle w:val="Strong"/>
          <w:rFonts w:ascii="Arial" w:hAnsi="Arial" w:cs="Arial"/>
          <w:color w:val="000000"/>
          <w:sz w:val="32"/>
          <w:szCs w:val="32"/>
        </w:rPr>
        <w:t>3. Digital Technology for Preventative Care and Health Promotion</w:t>
      </w:r>
    </w:p>
    <w:p w14:paraId="3DC859DC" w14:textId="77777777" w:rsidR="009012AC" w:rsidRPr="009012AC" w:rsidRDefault="009012AC" w:rsidP="009012AC">
      <w:pPr>
        <w:pStyle w:val="NormalWeb"/>
        <w:rPr>
          <w:rFonts w:ascii="Arial" w:hAnsi="Arial" w:cs="Arial"/>
          <w:color w:val="000000"/>
          <w:sz w:val="32"/>
          <w:szCs w:val="32"/>
        </w:rPr>
      </w:pPr>
      <w:r w:rsidRPr="009012AC">
        <w:rPr>
          <w:rFonts w:ascii="Arial" w:hAnsi="Arial" w:cs="Arial"/>
          <w:color w:val="000000"/>
          <w:sz w:val="32"/>
          <w:szCs w:val="32"/>
        </w:rPr>
        <w:t xml:space="preserve">Digital technology has transformed health promotion by giving people practical tools to manage their wellbeing and reduce the risk of disease. Mobile applications, online health platforms and digital reminders can support healthier lifestyles by encouraging </w:t>
      </w:r>
      <w:r w:rsidRPr="009012AC">
        <w:rPr>
          <w:rFonts w:ascii="Arial" w:hAnsi="Arial" w:cs="Arial"/>
          <w:color w:val="000000"/>
          <w:sz w:val="32"/>
          <w:szCs w:val="32"/>
        </w:rPr>
        <w:lastRenderedPageBreak/>
        <w:t>regular exercise, balanced nutrition and medication adherence. Someone who is at risk of developing type 2 diabetes, for instance, may use a health application to monitor physical activity, record progress and receive personalised advice that encourages healthier choices. Murray et al. (2016) explain that digital health interventions can strengthen disease prevention by increasing awareness and encouraging people to take an active role in managing their own health. However, digital solutions should remain accessible to people with different levels of digital confidence to avoid increasing health inequalities. Consistent with the Technology Acceptance Model, people are more likely to engage with digital tools when they find them useful, simple to navigate and relevant to their daily lives (Davis, 1989). Digital technology should therefore complement professional healthcare rather than replace direct contact between patients and healthcare professionals.</w:t>
      </w:r>
    </w:p>
    <w:p w14:paraId="1AFF6D74" w14:textId="77777777" w:rsidR="009012AC" w:rsidRPr="009012AC" w:rsidRDefault="009012AC" w:rsidP="009012AC">
      <w:pPr>
        <w:pStyle w:val="Heading2"/>
        <w:rPr>
          <w:rFonts w:ascii="Arial" w:eastAsia="Times New Roman" w:hAnsi="Arial" w:cs="Arial"/>
          <w:color w:val="000000"/>
        </w:rPr>
      </w:pPr>
      <w:r w:rsidRPr="009012AC">
        <w:rPr>
          <w:rStyle w:val="Strong"/>
          <w:rFonts w:ascii="Arial" w:hAnsi="Arial" w:cs="Arial"/>
          <w:color w:val="000000"/>
        </w:rPr>
        <w:t>Task 7 – Leadership and Change Management in the NHS</w:t>
      </w:r>
    </w:p>
    <w:p w14:paraId="5416B25D" w14:textId="77777777" w:rsidR="009012AC" w:rsidRPr="009012AC" w:rsidRDefault="009012AC" w:rsidP="009012AC">
      <w:pPr>
        <w:pStyle w:val="NormalWeb"/>
        <w:rPr>
          <w:rFonts w:ascii="Arial" w:hAnsi="Arial" w:cs="Arial"/>
          <w:color w:val="000000"/>
          <w:sz w:val="32"/>
          <w:szCs w:val="32"/>
        </w:rPr>
      </w:pPr>
      <w:r w:rsidRPr="009012AC">
        <w:rPr>
          <w:rFonts w:ascii="Arial" w:hAnsi="Arial" w:cs="Arial"/>
          <w:color w:val="000000"/>
          <w:sz w:val="32"/>
          <w:szCs w:val="32"/>
        </w:rPr>
        <w:t>The NHS Leadership Framework describes the knowledge, behaviours and personal qualities that enable leaders to improve health and social care services. It encourages leadership at every level rather than limiting responsibility to senior managers. This approach supports collaboration, continuous learning and shared responsibility for improving patient care (NHS Leadership Academy, 2013).</w:t>
      </w:r>
    </w:p>
    <w:p w14:paraId="05C56E9C" w14:textId="77777777" w:rsidR="009012AC" w:rsidRPr="009012AC" w:rsidRDefault="009012AC" w:rsidP="009012AC">
      <w:pPr>
        <w:pStyle w:val="NormalWeb"/>
        <w:rPr>
          <w:rFonts w:ascii="Arial" w:hAnsi="Arial" w:cs="Arial"/>
          <w:color w:val="000000"/>
          <w:sz w:val="32"/>
          <w:szCs w:val="32"/>
        </w:rPr>
      </w:pPr>
      <w:r w:rsidRPr="009012AC">
        <w:rPr>
          <w:rFonts w:ascii="Arial" w:hAnsi="Arial" w:cs="Arial"/>
          <w:color w:val="000000"/>
          <w:sz w:val="32"/>
          <w:szCs w:val="32"/>
        </w:rPr>
        <w:t>One of the most important elements of the framework is</w:t>
      </w:r>
      <w:r w:rsidRPr="009012AC">
        <w:rPr>
          <w:rStyle w:val="apple-converted-space"/>
          <w:rFonts w:ascii="Arial" w:hAnsi="Arial" w:cs="Arial"/>
          <w:color w:val="000000"/>
          <w:sz w:val="32"/>
          <w:szCs w:val="32"/>
        </w:rPr>
        <w:t> </w:t>
      </w:r>
      <w:r w:rsidRPr="009012AC">
        <w:rPr>
          <w:rStyle w:val="Strong"/>
          <w:rFonts w:ascii="Arial" w:hAnsi="Arial" w:cs="Arial"/>
          <w:color w:val="000000"/>
          <w:sz w:val="32"/>
          <w:szCs w:val="32"/>
        </w:rPr>
        <w:t>Inspiring Shared Purpose</w:t>
      </w:r>
      <w:r w:rsidRPr="009012AC">
        <w:rPr>
          <w:rFonts w:ascii="Arial" w:hAnsi="Arial" w:cs="Arial"/>
          <w:color w:val="000000"/>
          <w:sz w:val="32"/>
          <w:szCs w:val="32"/>
        </w:rPr>
        <w:t>. Effective leaders help colleagues understand why change is necessary and how it benefits both patients and healthcare staff. When people recognise the purpose behind a change, they are usually more willing to support new ways of working. This creates greater motivation, improves teamwork and helps organisations achieve long-term improvements.</w:t>
      </w:r>
    </w:p>
    <w:p w14:paraId="0230FB77" w14:textId="77777777" w:rsidR="009012AC" w:rsidRPr="009012AC" w:rsidRDefault="009012AC" w:rsidP="009012AC">
      <w:pPr>
        <w:pStyle w:val="NormalWeb"/>
        <w:rPr>
          <w:rFonts w:ascii="Arial" w:hAnsi="Arial" w:cs="Arial"/>
          <w:color w:val="000000"/>
          <w:sz w:val="32"/>
          <w:szCs w:val="32"/>
        </w:rPr>
      </w:pPr>
      <w:r w:rsidRPr="009012AC">
        <w:rPr>
          <w:rFonts w:ascii="Arial" w:hAnsi="Arial" w:cs="Arial"/>
          <w:color w:val="000000"/>
          <w:sz w:val="32"/>
          <w:szCs w:val="32"/>
        </w:rPr>
        <w:t>Another key area is</w:t>
      </w:r>
      <w:r w:rsidRPr="009012AC">
        <w:rPr>
          <w:rStyle w:val="apple-converted-space"/>
          <w:rFonts w:ascii="Arial" w:hAnsi="Arial" w:cs="Arial"/>
          <w:color w:val="000000"/>
          <w:sz w:val="32"/>
          <w:szCs w:val="32"/>
        </w:rPr>
        <w:t> </w:t>
      </w:r>
      <w:r w:rsidRPr="009012AC">
        <w:rPr>
          <w:rStyle w:val="Strong"/>
          <w:rFonts w:ascii="Arial" w:hAnsi="Arial" w:cs="Arial"/>
          <w:color w:val="000000"/>
          <w:sz w:val="32"/>
          <w:szCs w:val="32"/>
        </w:rPr>
        <w:t>Leading with Care</w:t>
      </w:r>
      <w:r w:rsidRPr="009012AC">
        <w:rPr>
          <w:rFonts w:ascii="Arial" w:hAnsi="Arial" w:cs="Arial"/>
          <w:color w:val="000000"/>
          <w:sz w:val="32"/>
          <w:szCs w:val="32"/>
        </w:rPr>
        <w:t xml:space="preserve">. Leaders who show empathy, listen to staff and encourage open communication </w:t>
      </w:r>
      <w:r w:rsidRPr="009012AC">
        <w:rPr>
          <w:rFonts w:ascii="Arial" w:hAnsi="Arial" w:cs="Arial"/>
          <w:color w:val="000000"/>
          <w:sz w:val="32"/>
          <w:szCs w:val="32"/>
        </w:rPr>
        <w:lastRenderedPageBreak/>
        <w:t>create a positive working environment where employees feel respected and valued. Staff who feel supported are generally more confident, engaged and able to provide high-quality care. A positive workplace culture also contributes to better staff wellbeing and lower levels of stress and burnout.</w:t>
      </w:r>
    </w:p>
    <w:p w14:paraId="2C2BBED3" w14:textId="77777777" w:rsidR="009012AC" w:rsidRPr="009012AC" w:rsidRDefault="009012AC" w:rsidP="009012AC">
      <w:pPr>
        <w:pStyle w:val="NormalWeb"/>
        <w:rPr>
          <w:rFonts w:ascii="Arial" w:hAnsi="Arial" w:cs="Arial"/>
          <w:color w:val="000000"/>
          <w:sz w:val="32"/>
          <w:szCs w:val="32"/>
        </w:rPr>
      </w:pPr>
      <w:r w:rsidRPr="009012AC">
        <w:rPr>
          <w:rFonts w:ascii="Arial" w:hAnsi="Arial" w:cs="Arial"/>
          <w:color w:val="000000"/>
          <w:sz w:val="32"/>
          <w:szCs w:val="32"/>
        </w:rPr>
        <w:t>The framework also highlights the importance of</w:t>
      </w:r>
      <w:r w:rsidRPr="009012AC">
        <w:rPr>
          <w:rStyle w:val="apple-converted-space"/>
          <w:rFonts w:ascii="Arial" w:hAnsi="Arial" w:cs="Arial"/>
          <w:color w:val="000000"/>
          <w:sz w:val="32"/>
          <w:szCs w:val="32"/>
        </w:rPr>
        <w:t> </w:t>
      </w:r>
      <w:r w:rsidRPr="009012AC">
        <w:rPr>
          <w:rStyle w:val="Strong"/>
          <w:rFonts w:ascii="Arial" w:hAnsi="Arial" w:cs="Arial"/>
          <w:color w:val="000000"/>
          <w:sz w:val="32"/>
          <w:szCs w:val="32"/>
        </w:rPr>
        <w:t>Evaluating Information</w:t>
      </w:r>
      <w:r w:rsidRPr="009012AC">
        <w:rPr>
          <w:rFonts w:ascii="Arial" w:hAnsi="Arial" w:cs="Arial"/>
          <w:color w:val="000000"/>
          <w:sz w:val="32"/>
          <w:szCs w:val="32"/>
        </w:rPr>
        <w:t>. Healthcare leaders should make decisions using reliable evidence, clinical data and patient feedback instead of relying only on personal opinions or previous experience. Evidence-based decision-making helps organisations introduce changes that are more effective, improve patient safety and make better use of available resources.</w:t>
      </w:r>
    </w:p>
    <w:p w14:paraId="25448025" w14:textId="77777777" w:rsidR="009012AC" w:rsidRPr="009012AC" w:rsidRDefault="009012AC" w:rsidP="009012AC">
      <w:pPr>
        <w:pStyle w:val="NormalWeb"/>
        <w:rPr>
          <w:rFonts w:ascii="Arial" w:hAnsi="Arial" w:cs="Arial"/>
          <w:color w:val="000000"/>
          <w:sz w:val="32"/>
          <w:szCs w:val="32"/>
        </w:rPr>
      </w:pPr>
      <w:r w:rsidRPr="009012AC">
        <w:rPr>
          <w:rFonts w:ascii="Arial" w:hAnsi="Arial" w:cs="Arial"/>
          <w:color w:val="000000"/>
          <w:sz w:val="32"/>
          <w:szCs w:val="32"/>
        </w:rPr>
        <w:t>Overall, the NHS Leadership Framework demonstrates that successful leadership depends on effective communication, collaboration, compassion and evidence-informed decision-making. These qualities enable healthcare organisations to manage change successfully while maintaining safe, high-quality and patient-centred care.</w:t>
      </w:r>
    </w:p>
    <w:p w14:paraId="4FF4CD9A" w14:textId="12F0CD33" w:rsidR="009012AC" w:rsidRDefault="009012AC" w:rsidP="009012AC"/>
    <w:p w14:paraId="38915347" w14:textId="77777777" w:rsidR="00834525" w:rsidRDefault="00EA5FBC" w:rsidP="00834525">
      <w:pPr>
        <w:pStyle w:val="NormalWeb"/>
        <w:rPr>
          <w:rFonts w:ascii="Arial" w:hAnsi="Arial" w:cs="Arial"/>
          <w:b/>
          <w:bCs/>
          <w:color w:val="000000"/>
          <w:sz w:val="32"/>
          <w:szCs w:val="32"/>
        </w:rPr>
      </w:pPr>
      <w:r w:rsidRPr="00EA5FBC">
        <w:rPr>
          <w:rFonts w:ascii="Arial" w:hAnsi="Arial" w:cs="Arial"/>
          <w:b/>
          <w:bCs/>
          <w:color w:val="000000"/>
          <w:sz w:val="32"/>
          <w:szCs w:val="32"/>
        </w:rPr>
        <w:t xml:space="preserve">Task </w:t>
      </w:r>
      <w:r w:rsidR="002548FE" w:rsidRPr="00EA5FBC">
        <w:rPr>
          <w:rFonts w:ascii="Arial" w:hAnsi="Arial" w:cs="Arial"/>
          <w:b/>
          <w:bCs/>
          <w:color w:val="000000"/>
          <w:sz w:val="32"/>
          <w:szCs w:val="32"/>
        </w:rPr>
        <w:t xml:space="preserve">8 </w:t>
      </w:r>
      <w:r w:rsidR="002548FE">
        <w:rPr>
          <w:rFonts w:ascii="Arial" w:hAnsi="Arial" w:cs="Arial"/>
          <w:b/>
          <w:bCs/>
          <w:color w:val="000000"/>
          <w:sz w:val="32"/>
          <w:szCs w:val="32"/>
        </w:rPr>
        <w:t>Self</w:t>
      </w:r>
      <w:r w:rsidRPr="00EA5FBC">
        <w:rPr>
          <w:rFonts w:ascii="Arial" w:hAnsi="Arial" w:cs="Arial"/>
          <w:b/>
          <w:bCs/>
          <w:color w:val="000000"/>
          <w:sz w:val="32"/>
          <w:szCs w:val="32"/>
        </w:rPr>
        <w:t xml:space="preserve"> Reflection Journal Entry</w:t>
      </w:r>
    </w:p>
    <w:p w14:paraId="2D806294" w14:textId="1A39DAF3" w:rsidR="00F403F4" w:rsidRPr="00834525" w:rsidRDefault="00834525" w:rsidP="00834525">
      <w:pPr>
        <w:pStyle w:val="NormalWeb"/>
        <w:rPr>
          <w:rFonts w:ascii="Arial" w:hAnsi="Arial" w:cs="Arial"/>
          <w:b/>
          <w:bCs/>
          <w:color w:val="000000"/>
          <w:sz w:val="32"/>
          <w:szCs w:val="32"/>
        </w:rPr>
      </w:pPr>
      <w:r w:rsidRPr="00834525">
        <w:rPr>
          <w:rFonts w:ascii="Arial" w:hAnsi="Arial" w:cs="Arial"/>
          <w:color w:val="000000"/>
          <w:sz w:val="32"/>
          <w:szCs w:val="32"/>
        </w:rPr>
        <w:t>This module has broadened my understanding of how creativity, innovation and leadership contribute to improving health and social care services. Before starting the module, I viewed creativity mainly as producing new ideas, but I now recognise that it also involves finding practical solutions, adapting to change and working collaboratively to improve outcomes. Exploring concepts such as value creation and digital innovation has helped me appreciate how different approaches can enhance both patient care and organisational performance.</w:t>
      </w:r>
    </w:p>
    <w:p w14:paraId="3A6784C4" w14:textId="77777777" w:rsidR="00834525" w:rsidRPr="00834525" w:rsidRDefault="00834525" w:rsidP="00834525"/>
    <w:p w14:paraId="6D5B14B4" w14:textId="77777777" w:rsidR="00834525" w:rsidRPr="00834525" w:rsidRDefault="00834525" w:rsidP="00834525"/>
    <w:p w14:paraId="45771B73" w14:textId="5125AD91" w:rsidR="00EA5FBC" w:rsidRDefault="00EA5FBC" w:rsidP="00EA5FBC">
      <w:pPr>
        <w:pStyle w:val="Heading2"/>
        <w:rPr>
          <w:rFonts w:ascii="Arial" w:hAnsi="Arial" w:cs="Arial"/>
          <w:b/>
          <w:bCs/>
          <w:color w:val="000000"/>
        </w:rPr>
      </w:pPr>
      <w:r w:rsidRPr="00EA5FBC">
        <w:rPr>
          <w:rFonts w:ascii="Arial" w:hAnsi="Arial" w:cs="Arial"/>
          <w:b/>
          <w:bCs/>
          <w:color w:val="000000"/>
        </w:rPr>
        <w:lastRenderedPageBreak/>
        <w:t>Reference List</w:t>
      </w:r>
    </w:p>
    <w:p w14:paraId="2CC0EA05" w14:textId="77777777" w:rsidR="009B66C9" w:rsidRPr="009B66C9" w:rsidRDefault="009B66C9" w:rsidP="009B66C9">
      <w:pPr>
        <w:pStyle w:val="pdq2pgselectionanchorcontainer"/>
        <w:rPr>
          <w:rFonts w:ascii="Arial" w:hAnsi="Arial" w:cs="Arial"/>
          <w:color w:val="000000"/>
          <w:sz w:val="32"/>
          <w:szCs w:val="32"/>
        </w:rPr>
      </w:pPr>
      <w:r w:rsidRPr="009B66C9">
        <w:rPr>
          <w:rFonts w:ascii="Arial" w:hAnsi="Arial" w:cs="Arial"/>
          <w:color w:val="000000"/>
          <w:sz w:val="32"/>
          <w:szCs w:val="32"/>
        </w:rPr>
        <w:t>Amabile, T.M. (1996)</w:t>
      </w:r>
      <w:r w:rsidRPr="009B66C9">
        <w:rPr>
          <w:rStyle w:val="apple-converted-space"/>
          <w:rFonts w:ascii="Arial" w:hAnsi="Arial" w:cs="Arial"/>
          <w:color w:val="000000"/>
          <w:sz w:val="32"/>
          <w:szCs w:val="32"/>
        </w:rPr>
        <w:t> </w:t>
      </w:r>
      <w:r w:rsidRPr="009B66C9">
        <w:rPr>
          <w:rStyle w:val="Emphasis"/>
          <w:rFonts w:ascii="Arial" w:hAnsi="Arial" w:cs="Arial"/>
          <w:color w:val="000000"/>
          <w:sz w:val="32"/>
          <w:szCs w:val="32"/>
        </w:rPr>
        <w:t>Creativity in context</w:t>
      </w:r>
      <w:r w:rsidRPr="009B66C9">
        <w:rPr>
          <w:rFonts w:ascii="Arial" w:hAnsi="Arial" w:cs="Arial"/>
          <w:color w:val="000000"/>
          <w:sz w:val="32"/>
          <w:szCs w:val="32"/>
        </w:rPr>
        <w:t>. Boulder, CO: Westview Press. Available at:</w:t>
      </w:r>
      <w:r w:rsidRPr="009B66C9">
        <w:rPr>
          <w:rStyle w:val="apple-converted-space"/>
          <w:rFonts w:ascii="Arial" w:hAnsi="Arial" w:cs="Arial"/>
          <w:color w:val="000000"/>
          <w:sz w:val="32"/>
          <w:szCs w:val="32"/>
        </w:rPr>
        <w:t> </w:t>
      </w:r>
      <w:hyperlink r:id="rId9" w:tgtFrame="_new" w:history="1">
        <w:r w:rsidRPr="009B66C9">
          <w:rPr>
            <w:rStyle w:val="Hyperlink"/>
            <w:rFonts w:ascii="Arial" w:hAnsi="Arial" w:cs="Arial"/>
            <w:sz w:val="32"/>
            <w:szCs w:val="32"/>
          </w:rPr>
          <w:t>https://doi.org/10.4324/9780429501234</w:t>
        </w:r>
      </w:hyperlink>
      <w:r w:rsidRPr="009B66C9">
        <w:rPr>
          <w:rStyle w:val="apple-converted-space"/>
          <w:rFonts w:ascii="Arial" w:hAnsi="Arial" w:cs="Arial"/>
          <w:color w:val="000000"/>
          <w:sz w:val="32"/>
          <w:szCs w:val="32"/>
        </w:rPr>
        <w:t> </w:t>
      </w:r>
      <w:r w:rsidRPr="009B66C9">
        <w:rPr>
          <w:rFonts w:ascii="Arial" w:hAnsi="Arial" w:cs="Arial"/>
          <w:color w:val="000000"/>
          <w:sz w:val="32"/>
          <w:szCs w:val="32"/>
        </w:rPr>
        <w:t>(Accessed: 14 July 2026).</w:t>
      </w:r>
    </w:p>
    <w:p w14:paraId="7FDE9056" w14:textId="77777777" w:rsidR="009B66C9" w:rsidRPr="009B66C9" w:rsidRDefault="009B66C9" w:rsidP="009B66C9">
      <w:pPr>
        <w:pStyle w:val="NormalWeb"/>
        <w:rPr>
          <w:rFonts w:ascii="Arial" w:hAnsi="Arial" w:cs="Arial"/>
          <w:color w:val="000000"/>
          <w:sz w:val="32"/>
          <w:szCs w:val="32"/>
        </w:rPr>
      </w:pPr>
      <w:r w:rsidRPr="009B66C9">
        <w:rPr>
          <w:rFonts w:ascii="Arial" w:hAnsi="Arial" w:cs="Arial"/>
          <w:color w:val="000000"/>
          <w:sz w:val="32"/>
          <w:szCs w:val="32"/>
        </w:rPr>
        <w:t>Bass, B.M. and Avolio, B.J. (eds.) (1994)</w:t>
      </w:r>
      <w:r w:rsidRPr="009B66C9">
        <w:rPr>
          <w:rStyle w:val="apple-converted-space"/>
          <w:rFonts w:ascii="Arial" w:hAnsi="Arial" w:cs="Arial"/>
          <w:color w:val="000000"/>
          <w:sz w:val="32"/>
          <w:szCs w:val="32"/>
        </w:rPr>
        <w:t> </w:t>
      </w:r>
      <w:r w:rsidRPr="009B66C9">
        <w:rPr>
          <w:rStyle w:val="Emphasis"/>
          <w:rFonts w:ascii="Arial" w:hAnsi="Arial" w:cs="Arial"/>
          <w:color w:val="000000"/>
          <w:sz w:val="32"/>
          <w:szCs w:val="32"/>
        </w:rPr>
        <w:t>Improving organizational effectiveness through transformational leadership</w:t>
      </w:r>
      <w:r w:rsidRPr="009B66C9">
        <w:rPr>
          <w:rFonts w:ascii="Arial" w:hAnsi="Arial" w:cs="Arial"/>
          <w:color w:val="000000"/>
          <w:sz w:val="32"/>
          <w:szCs w:val="32"/>
        </w:rPr>
        <w:t>. Thousand Oaks, CA: Sage Publications. Available at:</w:t>
      </w:r>
      <w:r w:rsidRPr="009B66C9">
        <w:rPr>
          <w:rStyle w:val="apple-converted-space"/>
          <w:rFonts w:ascii="Arial" w:hAnsi="Arial" w:cs="Arial"/>
          <w:color w:val="000000"/>
          <w:sz w:val="32"/>
          <w:szCs w:val="32"/>
        </w:rPr>
        <w:t> </w:t>
      </w:r>
      <w:hyperlink r:id="rId10" w:tgtFrame="_new" w:history="1">
        <w:r w:rsidRPr="009B66C9">
          <w:rPr>
            <w:rStyle w:val="Hyperlink"/>
            <w:rFonts w:ascii="Arial" w:hAnsi="Arial" w:cs="Arial"/>
            <w:sz w:val="32"/>
            <w:szCs w:val="32"/>
          </w:rPr>
          <w:t>https://us.sagepub.com/en-us/nam/improving-organizational-effectiveness-through-transformational-leadership/book4228</w:t>
        </w:r>
      </w:hyperlink>
      <w:r w:rsidRPr="009B66C9">
        <w:rPr>
          <w:rStyle w:val="apple-converted-space"/>
          <w:rFonts w:ascii="Arial" w:hAnsi="Arial" w:cs="Arial"/>
          <w:color w:val="000000"/>
          <w:sz w:val="32"/>
          <w:szCs w:val="32"/>
        </w:rPr>
        <w:t> </w:t>
      </w:r>
      <w:r w:rsidRPr="009B66C9">
        <w:rPr>
          <w:rFonts w:ascii="Arial" w:hAnsi="Arial" w:cs="Arial"/>
          <w:color w:val="000000"/>
          <w:sz w:val="32"/>
          <w:szCs w:val="32"/>
        </w:rPr>
        <w:t>(Accessed: 14 July 2026).</w:t>
      </w:r>
    </w:p>
    <w:p w14:paraId="1854413C" w14:textId="77777777" w:rsidR="009B66C9" w:rsidRPr="009B66C9" w:rsidRDefault="009B66C9" w:rsidP="009B66C9">
      <w:pPr>
        <w:pStyle w:val="NormalWeb"/>
        <w:rPr>
          <w:rFonts w:ascii="Arial" w:hAnsi="Arial" w:cs="Arial"/>
          <w:color w:val="000000"/>
          <w:sz w:val="32"/>
          <w:szCs w:val="32"/>
        </w:rPr>
      </w:pPr>
      <w:r w:rsidRPr="009B66C9">
        <w:rPr>
          <w:rFonts w:ascii="Arial" w:hAnsi="Arial" w:cs="Arial"/>
          <w:color w:val="000000"/>
          <w:sz w:val="32"/>
          <w:szCs w:val="32"/>
        </w:rPr>
        <w:t>Burnes, B. (2004) ‘Kurt Lewin and the planned approach to change: A re-appraisal’,</w:t>
      </w:r>
      <w:r w:rsidRPr="009B66C9">
        <w:rPr>
          <w:rStyle w:val="apple-converted-space"/>
          <w:rFonts w:ascii="Arial" w:hAnsi="Arial" w:cs="Arial"/>
          <w:color w:val="000000"/>
          <w:sz w:val="32"/>
          <w:szCs w:val="32"/>
        </w:rPr>
        <w:t> </w:t>
      </w:r>
      <w:r w:rsidRPr="009B66C9">
        <w:rPr>
          <w:rStyle w:val="Emphasis"/>
          <w:rFonts w:ascii="Arial" w:hAnsi="Arial" w:cs="Arial"/>
          <w:color w:val="000000"/>
          <w:sz w:val="32"/>
          <w:szCs w:val="32"/>
        </w:rPr>
        <w:t>Journal of Management Studies</w:t>
      </w:r>
      <w:r w:rsidRPr="009B66C9">
        <w:rPr>
          <w:rFonts w:ascii="Arial" w:hAnsi="Arial" w:cs="Arial"/>
          <w:color w:val="000000"/>
          <w:sz w:val="32"/>
          <w:szCs w:val="32"/>
        </w:rPr>
        <w:t>, 41(6), pp. 977–1002. Available at:</w:t>
      </w:r>
      <w:r w:rsidRPr="009B66C9">
        <w:rPr>
          <w:rStyle w:val="apple-converted-space"/>
          <w:rFonts w:ascii="Arial" w:hAnsi="Arial" w:cs="Arial"/>
          <w:color w:val="000000"/>
          <w:sz w:val="32"/>
          <w:szCs w:val="32"/>
        </w:rPr>
        <w:t> </w:t>
      </w:r>
      <w:hyperlink r:id="rId11" w:tgtFrame="_new" w:history="1">
        <w:r w:rsidRPr="009B66C9">
          <w:rPr>
            <w:rStyle w:val="Hyperlink"/>
            <w:rFonts w:ascii="Arial" w:hAnsi="Arial" w:cs="Arial"/>
            <w:sz w:val="32"/>
            <w:szCs w:val="32"/>
          </w:rPr>
          <w:t>https://doi.org/10.1111/j.1467-6486.2004.00463.x</w:t>
        </w:r>
      </w:hyperlink>
      <w:r w:rsidRPr="009B66C9">
        <w:rPr>
          <w:rStyle w:val="apple-converted-space"/>
          <w:rFonts w:ascii="Arial" w:hAnsi="Arial" w:cs="Arial"/>
          <w:color w:val="000000"/>
          <w:sz w:val="32"/>
          <w:szCs w:val="32"/>
        </w:rPr>
        <w:t> </w:t>
      </w:r>
      <w:r w:rsidRPr="009B66C9">
        <w:rPr>
          <w:rFonts w:ascii="Arial" w:hAnsi="Arial" w:cs="Arial"/>
          <w:color w:val="000000"/>
          <w:sz w:val="32"/>
          <w:szCs w:val="32"/>
        </w:rPr>
        <w:t>(Accessed: 14 July 2026).</w:t>
      </w:r>
    </w:p>
    <w:p w14:paraId="7357565D" w14:textId="77777777" w:rsidR="009B66C9" w:rsidRPr="009B66C9" w:rsidRDefault="009B66C9" w:rsidP="009B66C9">
      <w:pPr>
        <w:pStyle w:val="NormalWeb"/>
        <w:rPr>
          <w:rFonts w:ascii="Arial" w:hAnsi="Arial" w:cs="Arial"/>
          <w:color w:val="000000"/>
          <w:sz w:val="32"/>
          <w:szCs w:val="32"/>
        </w:rPr>
      </w:pPr>
      <w:r w:rsidRPr="009B66C9">
        <w:rPr>
          <w:rFonts w:ascii="Arial" w:hAnsi="Arial" w:cs="Arial"/>
          <w:color w:val="000000"/>
          <w:sz w:val="32"/>
          <w:szCs w:val="32"/>
        </w:rPr>
        <w:t xml:space="preserve">Campanella, P., Lovato, E., Marone, C., </w:t>
      </w:r>
      <w:proofErr w:type="spellStart"/>
      <w:r w:rsidRPr="009B66C9">
        <w:rPr>
          <w:rFonts w:ascii="Arial" w:hAnsi="Arial" w:cs="Arial"/>
          <w:color w:val="000000"/>
          <w:sz w:val="32"/>
          <w:szCs w:val="32"/>
        </w:rPr>
        <w:t>Fallacara</w:t>
      </w:r>
      <w:proofErr w:type="spellEnd"/>
      <w:r w:rsidRPr="009B66C9">
        <w:rPr>
          <w:rFonts w:ascii="Arial" w:hAnsi="Arial" w:cs="Arial"/>
          <w:color w:val="000000"/>
          <w:sz w:val="32"/>
          <w:szCs w:val="32"/>
        </w:rPr>
        <w:t xml:space="preserve">, L., Mancuso, A., Ricciardi, W. and </w:t>
      </w:r>
      <w:proofErr w:type="spellStart"/>
      <w:r w:rsidRPr="009B66C9">
        <w:rPr>
          <w:rFonts w:ascii="Arial" w:hAnsi="Arial" w:cs="Arial"/>
          <w:color w:val="000000"/>
          <w:sz w:val="32"/>
          <w:szCs w:val="32"/>
        </w:rPr>
        <w:t>Specchia</w:t>
      </w:r>
      <w:proofErr w:type="spellEnd"/>
      <w:r w:rsidRPr="009B66C9">
        <w:rPr>
          <w:rFonts w:ascii="Arial" w:hAnsi="Arial" w:cs="Arial"/>
          <w:color w:val="000000"/>
          <w:sz w:val="32"/>
          <w:szCs w:val="32"/>
        </w:rPr>
        <w:t>, M.L. (2016) ‘The impact of electronic health records on healthcare quality: A systematic review and meta-analysis’,</w:t>
      </w:r>
      <w:r w:rsidRPr="009B66C9">
        <w:rPr>
          <w:rStyle w:val="apple-converted-space"/>
          <w:rFonts w:ascii="Arial" w:hAnsi="Arial" w:cs="Arial"/>
          <w:color w:val="000000"/>
          <w:sz w:val="32"/>
          <w:szCs w:val="32"/>
        </w:rPr>
        <w:t> </w:t>
      </w:r>
      <w:r w:rsidRPr="009B66C9">
        <w:rPr>
          <w:rStyle w:val="Emphasis"/>
          <w:rFonts w:ascii="Arial" w:hAnsi="Arial" w:cs="Arial"/>
          <w:color w:val="000000"/>
          <w:sz w:val="32"/>
          <w:szCs w:val="32"/>
        </w:rPr>
        <w:t>European Journal of Public Health</w:t>
      </w:r>
      <w:r w:rsidRPr="009B66C9">
        <w:rPr>
          <w:rFonts w:ascii="Arial" w:hAnsi="Arial" w:cs="Arial"/>
          <w:color w:val="000000"/>
          <w:sz w:val="32"/>
          <w:szCs w:val="32"/>
        </w:rPr>
        <w:t>, 26(1), pp. 60–64. Available at:</w:t>
      </w:r>
      <w:r w:rsidRPr="009B66C9">
        <w:rPr>
          <w:rStyle w:val="apple-converted-space"/>
          <w:rFonts w:ascii="Arial" w:hAnsi="Arial" w:cs="Arial"/>
          <w:color w:val="000000"/>
          <w:sz w:val="32"/>
          <w:szCs w:val="32"/>
        </w:rPr>
        <w:t> </w:t>
      </w:r>
      <w:r w:rsidRPr="009B66C9">
        <w:rPr>
          <w:rFonts w:ascii="Arial" w:hAnsi="Arial" w:cs="Arial"/>
          <w:color w:val="000000"/>
          <w:sz w:val="32"/>
          <w:szCs w:val="32"/>
        </w:rPr>
        <w:t>https://doi.org/10.1093/eurpub/ckv122</w:t>
      </w:r>
      <w:r w:rsidRPr="009B66C9">
        <w:rPr>
          <w:rStyle w:val="apple-converted-space"/>
          <w:rFonts w:ascii="Arial" w:hAnsi="Arial" w:cs="Arial"/>
          <w:color w:val="000000"/>
          <w:sz w:val="32"/>
          <w:szCs w:val="32"/>
        </w:rPr>
        <w:t> </w:t>
      </w:r>
      <w:r w:rsidRPr="009B66C9">
        <w:rPr>
          <w:rFonts w:ascii="Arial" w:hAnsi="Arial" w:cs="Arial"/>
          <w:color w:val="000000"/>
          <w:sz w:val="32"/>
          <w:szCs w:val="32"/>
        </w:rPr>
        <w:t>(Accessed: 14 July 2026).</w:t>
      </w:r>
    </w:p>
    <w:p w14:paraId="78991722" w14:textId="77777777" w:rsidR="009B66C9" w:rsidRPr="009B66C9" w:rsidRDefault="009B66C9" w:rsidP="009B66C9">
      <w:pPr>
        <w:pStyle w:val="NormalWeb"/>
        <w:rPr>
          <w:rFonts w:ascii="Arial" w:hAnsi="Arial" w:cs="Arial"/>
          <w:color w:val="000000"/>
          <w:sz w:val="32"/>
          <w:szCs w:val="32"/>
        </w:rPr>
      </w:pPr>
      <w:proofErr w:type="spellStart"/>
      <w:r w:rsidRPr="009B66C9">
        <w:rPr>
          <w:rFonts w:ascii="Arial" w:hAnsi="Arial" w:cs="Arial"/>
          <w:color w:val="000000"/>
          <w:sz w:val="32"/>
          <w:szCs w:val="32"/>
        </w:rPr>
        <w:t>Dall’Ora</w:t>
      </w:r>
      <w:proofErr w:type="spellEnd"/>
      <w:r w:rsidRPr="009B66C9">
        <w:rPr>
          <w:rFonts w:ascii="Arial" w:hAnsi="Arial" w:cs="Arial"/>
          <w:color w:val="000000"/>
          <w:sz w:val="32"/>
          <w:szCs w:val="32"/>
        </w:rPr>
        <w:t xml:space="preserve">, C., Ball, J., </w:t>
      </w:r>
      <w:proofErr w:type="spellStart"/>
      <w:r w:rsidRPr="009B66C9">
        <w:rPr>
          <w:rFonts w:ascii="Arial" w:hAnsi="Arial" w:cs="Arial"/>
          <w:color w:val="000000"/>
          <w:sz w:val="32"/>
          <w:szCs w:val="32"/>
        </w:rPr>
        <w:t>Reinius</w:t>
      </w:r>
      <w:proofErr w:type="spellEnd"/>
      <w:r w:rsidRPr="009B66C9">
        <w:rPr>
          <w:rFonts w:ascii="Arial" w:hAnsi="Arial" w:cs="Arial"/>
          <w:color w:val="000000"/>
          <w:sz w:val="32"/>
          <w:szCs w:val="32"/>
        </w:rPr>
        <w:t>, M. and Griffiths, P. (2020) ‘Burnout in nursing: A theoretical review’,</w:t>
      </w:r>
      <w:r w:rsidRPr="009B66C9">
        <w:rPr>
          <w:rStyle w:val="apple-converted-space"/>
          <w:rFonts w:ascii="Arial" w:hAnsi="Arial" w:cs="Arial"/>
          <w:color w:val="000000"/>
          <w:sz w:val="32"/>
          <w:szCs w:val="32"/>
        </w:rPr>
        <w:t> </w:t>
      </w:r>
      <w:r w:rsidRPr="009B66C9">
        <w:rPr>
          <w:rStyle w:val="Emphasis"/>
          <w:rFonts w:ascii="Arial" w:hAnsi="Arial" w:cs="Arial"/>
          <w:color w:val="000000"/>
          <w:sz w:val="32"/>
          <w:szCs w:val="32"/>
        </w:rPr>
        <w:t>Human Resources for Health</w:t>
      </w:r>
      <w:r w:rsidRPr="009B66C9">
        <w:rPr>
          <w:rFonts w:ascii="Arial" w:hAnsi="Arial" w:cs="Arial"/>
          <w:color w:val="000000"/>
          <w:sz w:val="32"/>
          <w:szCs w:val="32"/>
        </w:rPr>
        <w:t>, 18, article 41. Available at:</w:t>
      </w:r>
      <w:r w:rsidRPr="009B66C9">
        <w:rPr>
          <w:rStyle w:val="apple-converted-space"/>
          <w:rFonts w:ascii="Arial" w:hAnsi="Arial" w:cs="Arial"/>
          <w:color w:val="000000"/>
          <w:sz w:val="32"/>
          <w:szCs w:val="32"/>
        </w:rPr>
        <w:t> </w:t>
      </w:r>
      <w:hyperlink r:id="rId12" w:tgtFrame="_new" w:history="1">
        <w:r w:rsidRPr="009B66C9">
          <w:rPr>
            <w:rStyle w:val="Hyperlink"/>
            <w:rFonts w:ascii="Arial" w:hAnsi="Arial" w:cs="Arial"/>
            <w:sz w:val="32"/>
            <w:szCs w:val="32"/>
          </w:rPr>
          <w:t>https://doi.org/10.1186/s12960-020-00469-9</w:t>
        </w:r>
      </w:hyperlink>
      <w:r w:rsidRPr="009B66C9">
        <w:rPr>
          <w:rStyle w:val="apple-converted-space"/>
          <w:rFonts w:ascii="Arial" w:hAnsi="Arial" w:cs="Arial"/>
          <w:color w:val="000000"/>
          <w:sz w:val="32"/>
          <w:szCs w:val="32"/>
        </w:rPr>
        <w:t> </w:t>
      </w:r>
      <w:r w:rsidRPr="009B66C9">
        <w:rPr>
          <w:rFonts w:ascii="Arial" w:hAnsi="Arial" w:cs="Arial"/>
          <w:color w:val="000000"/>
          <w:sz w:val="32"/>
          <w:szCs w:val="32"/>
        </w:rPr>
        <w:t>(Accessed: 14 July 2026).</w:t>
      </w:r>
    </w:p>
    <w:p w14:paraId="24195C07" w14:textId="77777777" w:rsidR="009B66C9" w:rsidRPr="009B66C9" w:rsidRDefault="009B66C9" w:rsidP="009B66C9">
      <w:pPr>
        <w:pStyle w:val="NormalWeb"/>
        <w:rPr>
          <w:rFonts w:ascii="Arial" w:hAnsi="Arial" w:cs="Arial"/>
          <w:color w:val="000000"/>
          <w:sz w:val="32"/>
          <w:szCs w:val="32"/>
        </w:rPr>
      </w:pPr>
      <w:r w:rsidRPr="009B66C9">
        <w:rPr>
          <w:rFonts w:ascii="Arial" w:hAnsi="Arial" w:cs="Arial"/>
          <w:color w:val="000000"/>
          <w:sz w:val="32"/>
          <w:szCs w:val="32"/>
        </w:rPr>
        <w:t>Davis, F.D. (1989) ‘Perceived usefulness, perceived ease of use, and user acceptance of information technology’,</w:t>
      </w:r>
      <w:r w:rsidRPr="009B66C9">
        <w:rPr>
          <w:rStyle w:val="apple-converted-space"/>
          <w:rFonts w:ascii="Arial" w:hAnsi="Arial" w:cs="Arial"/>
          <w:color w:val="000000"/>
          <w:sz w:val="32"/>
          <w:szCs w:val="32"/>
        </w:rPr>
        <w:t> </w:t>
      </w:r>
      <w:r w:rsidRPr="009B66C9">
        <w:rPr>
          <w:rStyle w:val="Emphasis"/>
          <w:rFonts w:ascii="Arial" w:hAnsi="Arial" w:cs="Arial"/>
          <w:color w:val="000000"/>
          <w:sz w:val="32"/>
          <w:szCs w:val="32"/>
        </w:rPr>
        <w:t>MIS Quarterly</w:t>
      </w:r>
      <w:r w:rsidRPr="009B66C9">
        <w:rPr>
          <w:rFonts w:ascii="Arial" w:hAnsi="Arial" w:cs="Arial"/>
          <w:color w:val="000000"/>
          <w:sz w:val="32"/>
          <w:szCs w:val="32"/>
        </w:rPr>
        <w:t>, 13(3), pp. 319–340. Available at:</w:t>
      </w:r>
      <w:r w:rsidRPr="009B66C9">
        <w:rPr>
          <w:rStyle w:val="apple-converted-space"/>
          <w:rFonts w:ascii="Arial" w:hAnsi="Arial" w:cs="Arial"/>
          <w:color w:val="000000"/>
          <w:sz w:val="32"/>
          <w:szCs w:val="32"/>
        </w:rPr>
        <w:t> </w:t>
      </w:r>
      <w:hyperlink r:id="rId13" w:tgtFrame="_new" w:history="1">
        <w:r w:rsidRPr="009B66C9">
          <w:rPr>
            <w:rStyle w:val="Hyperlink"/>
            <w:rFonts w:ascii="Arial" w:hAnsi="Arial" w:cs="Arial"/>
            <w:sz w:val="32"/>
            <w:szCs w:val="32"/>
          </w:rPr>
          <w:t>https://doi.org/10.2307/249008</w:t>
        </w:r>
      </w:hyperlink>
      <w:r w:rsidRPr="009B66C9">
        <w:rPr>
          <w:rStyle w:val="apple-converted-space"/>
          <w:rFonts w:ascii="Arial" w:hAnsi="Arial" w:cs="Arial"/>
          <w:color w:val="000000"/>
          <w:sz w:val="32"/>
          <w:szCs w:val="32"/>
        </w:rPr>
        <w:t> </w:t>
      </w:r>
      <w:r w:rsidRPr="009B66C9">
        <w:rPr>
          <w:rFonts w:ascii="Arial" w:hAnsi="Arial" w:cs="Arial"/>
          <w:color w:val="000000"/>
          <w:sz w:val="32"/>
          <w:szCs w:val="32"/>
        </w:rPr>
        <w:t>(Accessed: 14 July 2026).</w:t>
      </w:r>
    </w:p>
    <w:p w14:paraId="7BEC48F0" w14:textId="06C0BC0F" w:rsidR="009B66C9" w:rsidRPr="009B66C9" w:rsidRDefault="009B66C9" w:rsidP="009B66C9">
      <w:pPr>
        <w:pStyle w:val="NormalWeb"/>
        <w:rPr>
          <w:rFonts w:ascii="Arial" w:hAnsi="Arial" w:cs="Arial"/>
          <w:color w:val="000000"/>
          <w:sz w:val="32"/>
          <w:szCs w:val="32"/>
        </w:rPr>
      </w:pPr>
      <w:r w:rsidRPr="009B66C9">
        <w:rPr>
          <w:rFonts w:ascii="Arial" w:hAnsi="Arial" w:cs="Arial"/>
          <w:color w:val="000000"/>
          <w:sz w:val="32"/>
          <w:szCs w:val="32"/>
        </w:rPr>
        <w:lastRenderedPageBreak/>
        <w:t>Gibbs, G. (1988)</w:t>
      </w:r>
      <w:r w:rsidRPr="009B66C9">
        <w:rPr>
          <w:rStyle w:val="apple-converted-space"/>
          <w:rFonts w:ascii="Arial" w:hAnsi="Arial" w:cs="Arial"/>
          <w:color w:val="000000"/>
          <w:sz w:val="32"/>
          <w:szCs w:val="32"/>
        </w:rPr>
        <w:t> </w:t>
      </w:r>
      <w:r w:rsidRPr="009B66C9">
        <w:rPr>
          <w:rStyle w:val="Emphasis"/>
          <w:rFonts w:ascii="Arial" w:hAnsi="Arial" w:cs="Arial"/>
          <w:color w:val="000000"/>
          <w:sz w:val="32"/>
          <w:szCs w:val="32"/>
        </w:rPr>
        <w:t>Gibbs Reflective Cycle</w:t>
      </w:r>
      <w:r w:rsidRPr="009B66C9">
        <w:rPr>
          <w:rFonts w:ascii="Arial" w:hAnsi="Arial" w:cs="Arial"/>
          <w:color w:val="000000"/>
          <w:sz w:val="32"/>
          <w:szCs w:val="32"/>
        </w:rPr>
        <w:t>. Available at:</w:t>
      </w:r>
      <w:r w:rsidRPr="009B66C9">
        <w:rPr>
          <w:rStyle w:val="apple-converted-space"/>
          <w:rFonts w:ascii="Arial" w:hAnsi="Arial" w:cs="Arial"/>
          <w:color w:val="000000"/>
          <w:sz w:val="32"/>
          <w:szCs w:val="32"/>
        </w:rPr>
        <w:t> </w:t>
      </w:r>
      <w:hyperlink r:id="rId14" w:tgtFrame="_new" w:history="1">
        <w:r w:rsidRPr="009B66C9">
          <w:rPr>
            <w:rStyle w:val="Hyperlink"/>
            <w:rFonts w:ascii="Arial" w:hAnsi="Arial" w:cs="Arial"/>
            <w:sz w:val="32"/>
            <w:szCs w:val="32"/>
          </w:rPr>
          <w:t>https://www.gibbsreflectivecycle.org.uk/gibbs-reflective-cycle</w:t>
        </w:r>
      </w:hyperlink>
      <w:r w:rsidR="007E79FB">
        <w:rPr>
          <w:rFonts w:ascii="Arial" w:hAnsi="Arial" w:cs="Arial"/>
          <w:color w:val="000000"/>
          <w:sz w:val="32"/>
          <w:szCs w:val="32"/>
        </w:rPr>
        <w:t xml:space="preserve"> </w:t>
      </w:r>
      <w:r w:rsidRPr="009B66C9">
        <w:rPr>
          <w:rFonts w:ascii="Arial" w:hAnsi="Arial" w:cs="Arial"/>
          <w:color w:val="000000"/>
          <w:sz w:val="32"/>
          <w:szCs w:val="32"/>
        </w:rPr>
        <w:t>(Accessed: 14 July 2026).</w:t>
      </w:r>
    </w:p>
    <w:p w14:paraId="32B71B92" w14:textId="77777777" w:rsidR="009B66C9" w:rsidRPr="009B66C9" w:rsidRDefault="009B66C9" w:rsidP="009B66C9">
      <w:pPr>
        <w:pStyle w:val="NormalWeb"/>
        <w:rPr>
          <w:rFonts w:ascii="Arial" w:hAnsi="Arial" w:cs="Arial"/>
          <w:color w:val="000000"/>
          <w:sz w:val="32"/>
          <w:szCs w:val="32"/>
        </w:rPr>
      </w:pPr>
      <w:r w:rsidRPr="009B66C9">
        <w:rPr>
          <w:rFonts w:ascii="Arial" w:hAnsi="Arial" w:cs="Arial"/>
          <w:color w:val="000000"/>
          <w:sz w:val="32"/>
          <w:szCs w:val="32"/>
        </w:rPr>
        <w:t>Maslach, C. and Jackson, S.E. (1981) ‘The measurement of experienced burnout’,</w:t>
      </w:r>
      <w:r w:rsidRPr="009B66C9">
        <w:rPr>
          <w:rStyle w:val="apple-converted-space"/>
          <w:rFonts w:ascii="Arial" w:hAnsi="Arial" w:cs="Arial"/>
          <w:color w:val="000000"/>
          <w:sz w:val="32"/>
          <w:szCs w:val="32"/>
        </w:rPr>
        <w:t> </w:t>
      </w:r>
      <w:r w:rsidRPr="009B66C9">
        <w:rPr>
          <w:rStyle w:val="Emphasis"/>
          <w:rFonts w:ascii="Arial" w:hAnsi="Arial" w:cs="Arial"/>
          <w:color w:val="000000"/>
          <w:sz w:val="32"/>
          <w:szCs w:val="32"/>
        </w:rPr>
        <w:t>Journal of Occupational Behaviour</w:t>
      </w:r>
      <w:r w:rsidRPr="009B66C9">
        <w:rPr>
          <w:rFonts w:ascii="Arial" w:hAnsi="Arial" w:cs="Arial"/>
          <w:color w:val="000000"/>
          <w:sz w:val="32"/>
          <w:szCs w:val="32"/>
        </w:rPr>
        <w:t>, 2(2), pp. 99–113. Available at:</w:t>
      </w:r>
      <w:r w:rsidRPr="009B66C9">
        <w:rPr>
          <w:rStyle w:val="apple-converted-space"/>
          <w:rFonts w:ascii="Arial" w:hAnsi="Arial" w:cs="Arial"/>
          <w:color w:val="000000"/>
          <w:sz w:val="32"/>
          <w:szCs w:val="32"/>
        </w:rPr>
        <w:t> </w:t>
      </w:r>
      <w:hyperlink r:id="rId15" w:tgtFrame="_new" w:history="1">
        <w:r w:rsidRPr="009B66C9">
          <w:rPr>
            <w:rStyle w:val="Hyperlink"/>
            <w:rFonts w:ascii="Arial" w:hAnsi="Arial" w:cs="Arial"/>
            <w:sz w:val="32"/>
            <w:szCs w:val="32"/>
          </w:rPr>
          <w:t>https://doi.org/10.1002/job.4030020205</w:t>
        </w:r>
      </w:hyperlink>
      <w:r w:rsidRPr="009B66C9">
        <w:rPr>
          <w:rStyle w:val="apple-converted-space"/>
          <w:rFonts w:ascii="Arial" w:hAnsi="Arial" w:cs="Arial"/>
          <w:color w:val="000000"/>
          <w:sz w:val="32"/>
          <w:szCs w:val="32"/>
        </w:rPr>
        <w:t> </w:t>
      </w:r>
      <w:r w:rsidRPr="009B66C9">
        <w:rPr>
          <w:rFonts w:ascii="Arial" w:hAnsi="Arial" w:cs="Arial"/>
          <w:color w:val="000000"/>
          <w:sz w:val="32"/>
          <w:szCs w:val="32"/>
        </w:rPr>
        <w:t>(Accessed: 14 July 2026).</w:t>
      </w:r>
    </w:p>
    <w:p w14:paraId="35A97799" w14:textId="77777777" w:rsidR="009B66C9" w:rsidRPr="009B66C9" w:rsidRDefault="009B66C9" w:rsidP="009B66C9">
      <w:pPr>
        <w:pStyle w:val="NormalWeb"/>
        <w:rPr>
          <w:rFonts w:ascii="Arial" w:hAnsi="Arial" w:cs="Arial"/>
          <w:color w:val="000000"/>
          <w:sz w:val="32"/>
          <w:szCs w:val="32"/>
        </w:rPr>
      </w:pPr>
      <w:r w:rsidRPr="009B66C9">
        <w:rPr>
          <w:rFonts w:ascii="Arial" w:hAnsi="Arial" w:cs="Arial"/>
          <w:color w:val="000000"/>
          <w:sz w:val="32"/>
          <w:szCs w:val="32"/>
        </w:rPr>
        <w:t>Meadows, D.H. (2008)</w:t>
      </w:r>
      <w:r w:rsidRPr="009B66C9">
        <w:rPr>
          <w:rStyle w:val="apple-converted-space"/>
          <w:rFonts w:ascii="Arial" w:hAnsi="Arial" w:cs="Arial"/>
          <w:color w:val="000000"/>
          <w:sz w:val="32"/>
          <w:szCs w:val="32"/>
        </w:rPr>
        <w:t> </w:t>
      </w:r>
      <w:r w:rsidRPr="009B66C9">
        <w:rPr>
          <w:rStyle w:val="Emphasis"/>
          <w:rFonts w:ascii="Arial" w:hAnsi="Arial" w:cs="Arial"/>
          <w:color w:val="000000"/>
          <w:sz w:val="32"/>
          <w:szCs w:val="32"/>
        </w:rPr>
        <w:t>Thinking in systems: A primer</w:t>
      </w:r>
      <w:r w:rsidRPr="009B66C9">
        <w:rPr>
          <w:rFonts w:ascii="Arial" w:hAnsi="Arial" w:cs="Arial"/>
          <w:color w:val="000000"/>
          <w:sz w:val="32"/>
          <w:szCs w:val="32"/>
        </w:rPr>
        <w:t>. White River Junction, VT: Chelsea Green Publishing. Available at:</w:t>
      </w:r>
      <w:r w:rsidRPr="009B66C9">
        <w:rPr>
          <w:rStyle w:val="apple-converted-space"/>
          <w:rFonts w:ascii="Arial" w:hAnsi="Arial" w:cs="Arial"/>
          <w:color w:val="000000"/>
          <w:sz w:val="32"/>
          <w:szCs w:val="32"/>
        </w:rPr>
        <w:t> </w:t>
      </w:r>
      <w:hyperlink r:id="rId16" w:tgtFrame="_new" w:history="1">
        <w:r w:rsidRPr="009B66C9">
          <w:rPr>
            <w:rStyle w:val="Hyperlink"/>
            <w:rFonts w:ascii="Arial" w:hAnsi="Arial" w:cs="Arial"/>
            <w:sz w:val="32"/>
            <w:szCs w:val="32"/>
          </w:rPr>
          <w:t>https://www.chelseagreen.com/product/thinking-in-systems/</w:t>
        </w:r>
      </w:hyperlink>
      <w:r w:rsidRPr="009B66C9">
        <w:rPr>
          <w:rStyle w:val="apple-converted-space"/>
          <w:rFonts w:ascii="Arial" w:hAnsi="Arial" w:cs="Arial"/>
          <w:color w:val="000000"/>
          <w:sz w:val="32"/>
          <w:szCs w:val="32"/>
        </w:rPr>
        <w:t> </w:t>
      </w:r>
      <w:r w:rsidRPr="009B66C9">
        <w:rPr>
          <w:rFonts w:ascii="Arial" w:hAnsi="Arial" w:cs="Arial"/>
          <w:color w:val="000000"/>
          <w:sz w:val="32"/>
          <w:szCs w:val="32"/>
        </w:rPr>
        <w:t>(Accessed: 14 July 2026).</w:t>
      </w:r>
    </w:p>
    <w:p w14:paraId="415DEDF7" w14:textId="77777777" w:rsidR="009B66C9" w:rsidRPr="009B66C9" w:rsidRDefault="009B66C9" w:rsidP="009B66C9">
      <w:pPr>
        <w:pStyle w:val="NormalWeb"/>
        <w:rPr>
          <w:rFonts w:ascii="Arial" w:hAnsi="Arial" w:cs="Arial"/>
          <w:color w:val="000000"/>
          <w:sz w:val="32"/>
          <w:szCs w:val="32"/>
        </w:rPr>
      </w:pPr>
      <w:r w:rsidRPr="009B66C9">
        <w:rPr>
          <w:rFonts w:ascii="Arial" w:hAnsi="Arial" w:cs="Arial"/>
          <w:color w:val="000000"/>
          <w:sz w:val="32"/>
          <w:szCs w:val="32"/>
        </w:rPr>
        <w:t>Murray, E., Hekler, E.B., Andersson, G., Collins, L.M., Doherty, A., Hollis, C., Rivera, D.E., West, R. and Wyatt, J.C. (2016) ‘Evaluating digital health interventions: Key questions and approaches’,</w:t>
      </w:r>
      <w:r w:rsidRPr="009B66C9">
        <w:rPr>
          <w:rStyle w:val="apple-converted-space"/>
          <w:rFonts w:ascii="Arial" w:hAnsi="Arial" w:cs="Arial"/>
          <w:color w:val="000000"/>
          <w:sz w:val="32"/>
          <w:szCs w:val="32"/>
        </w:rPr>
        <w:t> </w:t>
      </w:r>
      <w:r w:rsidRPr="009B66C9">
        <w:rPr>
          <w:rStyle w:val="Emphasis"/>
          <w:rFonts w:ascii="Arial" w:hAnsi="Arial" w:cs="Arial"/>
          <w:color w:val="000000"/>
          <w:sz w:val="32"/>
          <w:szCs w:val="32"/>
        </w:rPr>
        <w:t>American Journal of Preventive Medicine</w:t>
      </w:r>
      <w:r w:rsidRPr="009B66C9">
        <w:rPr>
          <w:rFonts w:ascii="Arial" w:hAnsi="Arial" w:cs="Arial"/>
          <w:color w:val="000000"/>
          <w:sz w:val="32"/>
          <w:szCs w:val="32"/>
        </w:rPr>
        <w:t>, 51(5), pp. 843–851. Available at:</w:t>
      </w:r>
      <w:r w:rsidRPr="009B66C9">
        <w:rPr>
          <w:rStyle w:val="apple-converted-space"/>
          <w:rFonts w:ascii="Arial" w:hAnsi="Arial" w:cs="Arial"/>
          <w:color w:val="000000"/>
          <w:sz w:val="32"/>
          <w:szCs w:val="32"/>
        </w:rPr>
        <w:t> </w:t>
      </w:r>
      <w:r w:rsidRPr="009B66C9">
        <w:rPr>
          <w:rFonts w:ascii="Arial" w:hAnsi="Arial" w:cs="Arial"/>
          <w:color w:val="000000"/>
          <w:sz w:val="32"/>
          <w:szCs w:val="32"/>
        </w:rPr>
        <w:t>https://doi.org/10.1016/j.amepre.2016.06.008</w:t>
      </w:r>
      <w:r w:rsidRPr="009B66C9">
        <w:rPr>
          <w:rStyle w:val="apple-converted-space"/>
          <w:rFonts w:ascii="Arial" w:hAnsi="Arial" w:cs="Arial"/>
          <w:color w:val="000000"/>
          <w:sz w:val="32"/>
          <w:szCs w:val="32"/>
        </w:rPr>
        <w:t> </w:t>
      </w:r>
      <w:r w:rsidRPr="009B66C9">
        <w:rPr>
          <w:rFonts w:ascii="Arial" w:hAnsi="Arial" w:cs="Arial"/>
          <w:color w:val="000000"/>
          <w:sz w:val="32"/>
          <w:szCs w:val="32"/>
        </w:rPr>
        <w:t>(Accessed: 14 July 2026).</w:t>
      </w:r>
    </w:p>
    <w:p w14:paraId="4B7EFE36" w14:textId="77777777" w:rsidR="009B66C9" w:rsidRPr="009B66C9" w:rsidRDefault="009B66C9" w:rsidP="009B66C9">
      <w:pPr>
        <w:pStyle w:val="NormalWeb"/>
        <w:rPr>
          <w:rFonts w:ascii="Arial" w:hAnsi="Arial" w:cs="Arial"/>
          <w:color w:val="000000"/>
          <w:sz w:val="32"/>
          <w:szCs w:val="32"/>
        </w:rPr>
      </w:pPr>
      <w:r w:rsidRPr="009B66C9">
        <w:rPr>
          <w:rFonts w:ascii="Arial" w:hAnsi="Arial" w:cs="Arial"/>
          <w:color w:val="000000"/>
          <w:sz w:val="32"/>
          <w:szCs w:val="32"/>
        </w:rPr>
        <w:t>NHS England (2024a)</w:t>
      </w:r>
      <w:r w:rsidRPr="009B66C9">
        <w:rPr>
          <w:rStyle w:val="apple-converted-space"/>
          <w:rFonts w:ascii="Arial" w:hAnsi="Arial" w:cs="Arial"/>
          <w:color w:val="000000"/>
          <w:sz w:val="32"/>
          <w:szCs w:val="32"/>
        </w:rPr>
        <w:t> </w:t>
      </w:r>
      <w:r w:rsidRPr="009B66C9">
        <w:rPr>
          <w:rStyle w:val="Emphasis"/>
          <w:rFonts w:ascii="Arial" w:hAnsi="Arial" w:cs="Arial"/>
          <w:color w:val="000000"/>
          <w:sz w:val="32"/>
          <w:szCs w:val="32"/>
        </w:rPr>
        <w:t>Virtual wards operational framework</w:t>
      </w:r>
      <w:r w:rsidRPr="009B66C9">
        <w:rPr>
          <w:rFonts w:ascii="Arial" w:hAnsi="Arial" w:cs="Arial"/>
          <w:color w:val="000000"/>
          <w:sz w:val="32"/>
          <w:szCs w:val="32"/>
        </w:rPr>
        <w:t>. Available at:</w:t>
      </w:r>
      <w:r w:rsidRPr="009B66C9">
        <w:rPr>
          <w:rStyle w:val="apple-converted-space"/>
          <w:rFonts w:ascii="Arial" w:hAnsi="Arial" w:cs="Arial"/>
          <w:color w:val="000000"/>
          <w:sz w:val="32"/>
          <w:szCs w:val="32"/>
        </w:rPr>
        <w:t> </w:t>
      </w:r>
      <w:hyperlink r:id="rId17" w:tgtFrame="_new" w:history="1">
        <w:r w:rsidRPr="009B66C9">
          <w:rPr>
            <w:rStyle w:val="Hyperlink"/>
            <w:rFonts w:ascii="Arial" w:hAnsi="Arial" w:cs="Arial"/>
            <w:sz w:val="32"/>
            <w:szCs w:val="32"/>
          </w:rPr>
          <w:t>https://www.england.nhs.uk/long-read/virtual-wards-operational-framework/</w:t>
        </w:r>
      </w:hyperlink>
      <w:r w:rsidRPr="009B66C9">
        <w:rPr>
          <w:rStyle w:val="apple-converted-space"/>
          <w:rFonts w:ascii="Arial" w:hAnsi="Arial" w:cs="Arial"/>
          <w:color w:val="000000"/>
          <w:sz w:val="32"/>
          <w:szCs w:val="32"/>
        </w:rPr>
        <w:t> </w:t>
      </w:r>
      <w:r w:rsidRPr="009B66C9">
        <w:rPr>
          <w:rFonts w:ascii="Arial" w:hAnsi="Arial" w:cs="Arial"/>
          <w:color w:val="000000"/>
          <w:sz w:val="32"/>
          <w:szCs w:val="32"/>
        </w:rPr>
        <w:t>(Accessed: 14 July 2026).</w:t>
      </w:r>
    </w:p>
    <w:p w14:paraId="61EB4385" w14:textId="77777777" w:rsidR="009B66C9" w:rsidRPr="009B66C9" w:rsidRDefault="009B66C9" w:rsidP="009B66C9">
      <w:pPr>
        <w:pStyle w:val="NormalWeb"/>
        <w:rPr>
          <w:rFonts w:ascii="Arial" w:hAnsi="Arial" w:cs="Arial"/>
          <w:color w:val="000000"/>
          <w:sz w:val="32"/>
          <w:szCs w:val="32"/>
        </w:rPr>
      </w:pPr>
      <w:r w:rsidRPr="009B66C9">
        <w:rPr>
          <w:rFonts w:ascii="Arial" w:hAnsi="Arial" w:cs="Arial"/>
          <w:color w:val="000000"/>
          <w:sz w:val="32"/>
          <w:szCs w:val="32"/>
        </w:rPr>
        <w:t>NHS England (2024b)</w:t>
      </w:r>
      <w:r w:rsidRPr="009B66C9">
        <w:rPr>
          <w:rStyle w:val="apple-converted-space"/>
          <w:rFonts w:ascii="Arial" w:hAnsi="Arial" w:cs="Arial"/>
          <w:color w:val="000000"/>
          <w:sz w:val="32"/>
          <w:szCs w:val="32"/>
        </w:rPr>
        <w:t> </w:t>
      </w:r>
      <w:r w:rsidRPr="009B66C9">
        <w:rPr>
          <w:rStyle w:val="Emphasis"/>
          <w:rFonts w:ascii="Arial" w:hAnsi="Arial" w:cs="Arial"/>
          <w:color w:val="000000"/>
          <w:sz w:val="32"/>
          <w:szCs w:val="32"/>
        </w:rPr>
        <w:t>NHS plan to cut avoidable admissions to further boost efforts to reduce waiting times</w:t>
      </w:r>
      <w:r w:rsidRPr="009B66C9">
        <w:rPr>
          <w:rFonts w:ascii="Arial" w:hAnsi="Arial" w:cs="Arial"/>
          <w:color w:val="000000"/>
          <w:sz w:val="32"/>
          <w:szCs w:val="32"/>
        </w:rPr>
        <w:t>. Available at:</w:t>
      </w:r>
      <w:r w:rsidRPr="009B66C9">
        <w:rPr>
          <w:rStyle w:val="apple-converted-space"/>
          <w:rFonts w:ascii="Arial" w:hAnsi="Arial" w:cs="Arial"/>
          <w:color w:val="000000"/>
          <w:sz w:val="32"/>
          <w:szCs w:val="32"/>
        </w:rPr>
        <w:t> </w:t>
      </w:r>
      <w:hyperlink r:id="rId18" w:tgtFrame="_new" w:history="1">
        <w:r w:rsidRPr="009B66C9">
          <w:rPr>
            <w:rStyle w:val="Hyperlink"/>
            <w:rFonts w:ascii="Arial" w:hAnsi="Arial" w:cs="Arial"/>
            <w:sz w:val="32"/>
            <w:szCs w:val="32"/>
          </w:rPr>
          <w:t>https://www.england.nhs.uk/2024/05/nhs-plan-to-cut-avoidable-admissions-to-further-boost-efforts-to-reduce-waiting-times/</w:t>
        </w:r>
      </w:hyperlink>
      <w:r w:rsidRPr="009B66C9">
        <w:rPr>
          <w:rStyle w:val="apple-converted-space"/>
          <w:rFonts w:ascii="Arial" w:hAnsi="Arial" w:cs="Arial"/>
          <w:color w:val="000000"/>
          <w:sz w:val="32"/>
          <w:szCs w:val="32"/>
        </w:rPr>
        <w:t> </w:t>
      </w:r>
      <w:r w:rsidRPr="009B66C9">
        <w:rPr>
          <w:rFonts w:ascii="Arial" w:hAnsi="Arial" w:cs="Arial"/>
          <w:color w:val="000000"/>
          <w:sz w:val="32"/>
          <w:szCs w:val="32"/>
        </w:rPr>
        <w:t>(Accessed: 14 July 2026).</w:t>
      </w:r>
    </w:p>
    <w:p w14:paraId="198A205B" w14:textId="77777777" w:rsidR="009B66C9" w:rsidRPr="009B66C9" w:rsidRDefault="009B66C9" w:rsidP="009B66C9">
      <w:pPr>
        <w:pStyle w:val="NormalWeb"/>
        <w:rPr>
          <w:rFonts w:ascii="Arial" w:hAnsi="Arial" w:cs="Arial"/>
          <w:color w:val="000000"/>
          <w:sz w:val="32"/>
          <w:szCs w:val="32"/>
        </w:rPr>
      </w:pPr>
      <w:r w:rsidRPr="009B66C9">
        <w:rPr>
          <w:rFonts w:ascii="Arial" w:hAnsi="Arial" w:cs="Arial"/>
          <w:color w:val="000000"/>
          <w:sz w:val="32"/>
          <w:szCs w:val="32"/>
        </w:rPr>
        <w:t>NHS Leadership Academy (2013)</w:t>
      </w:r>
      <w:r w:rsidRPr="009B66C9">
        <w:rPr>
          <w:rStyle w:val="apple-converted-space"/>
          <w:rFonts w:ascii="Arial" w:hAnsi="Arial" w:cs="Arial"/>
          <w:color w:val="000000"/>
          <w:sz w:val="32"/>
          <w:szCs w:val="32"/>
        </w:rPr>
        <w:t> </w:t>
      </w:r>
      <w:r w:rsidRPr="009B66C9">
        <w:rPr>
          <w:rStyle w:val="Emphasis"/>
          <w:rFonts w:ascii="Arial" w:hAnsi="Arial" w:cs="Arial"/>
          <w:color w:val="000000"/>
          <w:sz w:val="32"/>
          <w:szCs w:val="32"/>
        </w:rPr>
        <w:t>Healthcare Leadership Model</w:t>
      </w:r>
      <w:r w:rsidRPr="009B66C9">
        <w:rPr>
          <w:rFonts w:ascii="Arial" w:hAnsi="Arial" w:cs="Arial"/>
          <w:color w:val="000000"/>
          <w:sz w:val="32"/>
          <w:szCs w:val="32"/>
        </w:rPr>
        <w:t>. Available at:</w:t>
      </w:r>
      <w:r w:rsidRPr="009B66C9">
        <w:rPr>
          <w:rStyle w:val="apple-converted-space"/>
          <w:rFonts w:ascii="Arial" w:hAnsi="Arial" w:cs="Arial"/>
          <w:color w:val="000000"/>
          <w:sz w:val="32"/>
          <w:szCs w:val="32"/>
        </w:rPr>
        <w:t> </w:t>
      </w:r>
      <w:hyperlink r:id="rId19" w:tgtFrame="_new" w:history="1">
        <w:r w:rsidRPr="009B66C9">
          <w:rPr>
            <w:rStyle w:val="Hyperlink"/>
            <w:rFonts w:ascii="Arial" w:hAnsi="Arial" w:cs="Arial"/>
            <w:sz w:val="32"/>
            <w:szCs w:val="32"/>
          </w:rPr>
          <w:t>https://www.leadershipacademy.nhs.uk/wp-content/uploads/dlm_uploads/2014/10/NHSLeadership-LeadershipModel-colour.pdf</w:t>
        </w:r>
      </w:hyperlink>
      <w:r w:rsidRPr="009B66C9">
        <w:rPr>
          <w:rStyle w:val="apple-converted-space"/>
          <w:rFonts w:ascii="Arial" w:hAnsi="Arial" w:cs="Arial"/>
          <w:color w:val="000000"/>
          <w:sz w:val="32"/>
          <w:szCs w:val="32"/>
        </w:rPr>
        <w:t> </w:t>
      </w:r>
      <w:r w:rsidRPr="009B66C9">
        <w:rPr>
          <w:rFonts w:ascii="Arial" w:hAnsi="Arial" w:cs="Arial"/>
          <w:color w:val="000000"/>
          <w:sz w:val="32"/>
          <w:szCs w:val="32"/>
        </w:rPr>
        <w:t>(Accessed: 14 July 2026).</w:t>
      </w:r>
    </w:p>
    <w:p w14:paraId="63081122" w14:textId="77777777" w:rsidR="009B66C9" w:rsidRPr="009B66C9" w:rsidRDefault="009B66C9" w:rsidP="009B66C9">
      <w:pPr>
        <w:pStyle w:val="NormalWeb"/>
        <w:rPr>
          <w:rFonts w:ascii="Arial" w:hAnsi="Arial" w:cs="Arial"/>
          <w:color w:val="000000"/>
          <w:sz w:val="32"/>
          <w:szCs w:val="32"/>
        </w:rPr>
      </w:pPr>
      <w:r w:rsidRPr="009B66C9">
        <w:rPr>
          <w:rFonts w:ascii="Arial" w:hAnsi="Arial" w:cs="Arial"/>
          <w:color w:val="000000"/>
          <w:sz w:val="32"/>
          <w:szCs w:val="32"/>
        </w:rPr>
        <w:lastRenderedPageBreak/>
        <w:t>Porter, M.E. (2010) ‘What is value in health care?’,</w:t>
      </w:r>
      <w:r w:rsidRPr="009B66C9">
        <w:rPr>
          <w:rStyle w:val="apple-converted-space"/>
          <w:rFonts w:ascii="Arial" w:hAnsi="Arial" w:cs="Arial"/>
          <w:color w:val="000000"/>
          <w:sz w:val="32"/>
          <w:szCs w:val="32"/>
        </w:rPr>
        <w:t> </w:t>
      </w:r>
      <w:r w:rsidRPr="009B66C9">
        <w:rPr>
          <w:rStyle w:val="Emphasis"/>
          <w:rFonts w:ascii="Arial" w:hAnsi="Arial" w:cs="Arial"/>
          <w:color w:val="000000"/>
          <w:sz w:val="32"/>
          <w:szCs w:val="32"/>
        </w:rPr>
        <w:t>New England Journal of Medicine</w:t>
      </w:r>
      <w:r w:rsidRPr="009B66C9">
        <w:rPr>
          <w:rFonts w:ascii="Arial" w:hAnsi="Arial" w:cs="Arial"/>
          <w:color w:val="000000"/>
          <w:sz w:val="32"/>
          <w:szCs w:val="32"/>
        </w:rPr>
        <w:t>, 363(26), pp. 2477–2481. Available at:</w:t>
      </w:r>
      <w:r w:rsidRPr="009B66C9">
        <w:rPr>
          <w:rStyle w:val="apple-converted-space"/>
          <w:rFonts w:ascii="Arial" w:hAnsi="Arial" w:cs="Arial"/>
          <w:color w:val="000000"/>
          <w:sz w:val="32"/>
          <w:szCs w:val="32"/>
        </w:rPr>
        <w:t> </w:t>
      </w:r>
      <w:hyperlink r:id="rId20" w:tgtFrame="_new" w:history="1">
        <w:r w:rsidRPr="009B66C9">
          <w:rPr>
            <w:rStyle w:val="Hyperlink"/>
            <w:rFonts w:ascii="Arial" w:hAnsi="Arial" w:cs="Arial"/>
            <w:sz w:val="32"/>
            <w:szCs w:val="32"/>
          </w:rPr>
          <w:t>https://doi.org/10.1056/NEJMp1011024</w:t>
        </w:r>
      </w:hyperlink>
      <w:r w:rsidRPr="009B66C9">
        <w:rPr>
          <w:rStyle w:val="apple-converted-space"/>
          <w:rFonts w:ascii="Arial" w:hAnsi="Arial" w:cs="Arial"/>
          <w:color w:val="000000"/>
          <w:sz w:val="32"/>
          <w:szCs w:val="32"/>
        </w:rPr>
        <w:t> </w:t>
      </w:r>
      <w:r w:rsidRPr="009B66C9">
        <w:rPr>
          <w:rFonts w:ascii="Arial" w:hAnsi="Arial" w:cs="Arial"/>
          <w:color w:val="000000"/>
          <w:sz w:val="32"/>
          <w:szCs w:val="32"/>
        </w:rPr>
        <w:t>(Accessed: 14 July 2026).</w:t>
      </w:r>
    </w:p>
    <w:p w14:paraId="47862988" w14:textId="77777777" w:rsidR="009B66C9" w:rsidRPr="009B66C9" w:rsidRDefault="009B66C9" w:rsidP="009B66C9">
      <w:pPr>
        <w:pStyle w:val="NormalWeb"/>
        <w:rPr>
          <w:rFonts w:ascii="Arial" w:hAnsi="Arial" w:cs="Arial"/>
          <w:color w:val="000000"/>
          <w:sz w:val="32"/>
          <w:szCs w:val="32"/>
        </w:rPr>
      </w:pPr>
      <w:r w:rsidRPr="009B66C9">
        <w:rPr>
          <w:rFonts w:ascii="Arial" w:hAnsi="Arial" w:cs="Arial"/>
          <w:color w:val="000000"/>
          <w:sz w:val="32"/>
          <w:szCs w:val="32"/>
        </w:rPr>
        <w:t>Rogers, E.M. (2003)</w:t>
      </w:r>
      <w:r w:rsidRPr="009B66C9">
        <w:rPr>
          <w:rStyle w:val="apple-converted-space"/>
          <w:rFonts w:ascii="Arial" w:hAnsi="Arial" w:cs="Arial"/>
          <w:color w:val="000000"/>
          <w:sz w:val="32"/>
          <w:szCs w:val="32"/>
        </w:rPr>
        <w:t> </w:t>
      </w:r>
      <w:r w:rsidRPr="009B66C9">
        <w:rPr>
          <w:rStyle w:val="Emphasis"/>
          <w:rFonts w:ascii="Arial" w:hAnsi="Arial" w:cs="Arial"/>
          <w:color w:val="000000"/>
          <w:sz w:val="32"/>
          <w:szCs w:val="32"/>
        </w:rPr>
        <w:t>Diffusion of innovations</w:t>
      </w:r>
      <w:r w:rsidRPr="009B66C9">
        <w:rPr>
          <w:rFonts w:ascii="Arial" w:hAnsi="Arial" w:cs="Arial"/>
          <w:color w:val="000000"/>
          <w:sz w:val="32"/>
          <w:szCs w:val="32"/>
        </w:rPr>
        <w:t xml:space="preserve">. 5th </w:t>
      </w:r>
      <w:proofErr w:type="spellStart"/>
      <w:r w:rsidRPr="009B66C9">
        <w:rPr>
          <w:rFonts w:ascii="Arial" w:hAnsi="Arial" w:cs="Arial"/>
          <w:color w:val="000000"/>
          <w:sz w:val="32"/>
          <w:szCs w:val="32"/>
        </w:rPr>
        <w:t>edn</w:t>
      </w:r>
      <w:proofErr w:type="spellEnd"/>
      <w:r w:rsidRPr="009B66C9">
        <w:rPr>
          <w:rFonts w:ascii="Arial" w:hAnsi="Arial" w:cs="Arial"/>
          <w:color w:val="000000"/>
          <w:sz w:val="32"/>
          <w:szCs w:val="32"/>
        </w:rPr>
        <w:t>. New York: Free Press. Available at:</w:t>
      </w:r>
      <w:r w:rsidRPr="009B66C9">
        <w:rPr>
          <w:rStyle w:val="apple-converted-space"/>
          <w:rFonts w:ascii="Arial" w:hAnsi="Arial" w:cs="Arial"/>
          <w:color w:val="000000"/>
          <w:sz w:val="32"/>
          <w:szCs w:val="32"/>
        </w:rPr>
        <w:t> </w:t>
      </w:r>
      <w:r w:rsidRPr="009B66C9">
        <w:rPr>
          <w:rFonts w:ascii="Arial" w:hAnsi="Arial" w:cs="Arial"/>
          <w:color w:val="000000"/>
          <w:sz w:val="32"/>
          <w:szCs w:val="32"/>
        </w:rPr>
        <w:t>https://books.google.com/books?id=9U1K5LjUOwEC</w:t>
      </w:r>
      <w:r w:rsidRPr="009B66C9">
        <w:rPr>
          <w:rStyle w:val="apple-converted-space"/>
          <w:rFonts w:ascii="Arial" w:hAnsi="Arial" w:cs="Arial"/>
          <w:color w:val="000000"/>
          <w:sz w:val="32"/>
          <w:szCs w:val="32"/>
        </w:rPr>
        <w:t> </w:t>
      </w:r>
      <w:r w:rsidRPr="009B66C9">
        <w:rPr>
          <w:rFonts w:ascii="Arial" w:hAnsi="Arial" w:cs="Arial"/>
          <w:color w:val="000000"/>
          <w:sz w:val="32"/>
          <w:szCs w:val="32"/>
        </w:rPr>
        <w:t>(Accessed: 14 July 2026).</w:t>
      </w:r>
    </w:p>
    <w:p w14:paraId="00F41AA1" w14:textId="77777777" w:rsidR="009B66C9" w:rsidRPr="009B66C9" w:rsidRDefault="009B66C9" w:rsidP="009B66C9">
      <w:pPr>
        <w:pStyle w:val="NormalWeb"/>
        <w:rPr>
          <w:rFonts w:ascii="Arial" w:hAnsi="Arial" w:cs="Arial"/>
          <w:color w:val="000000"/>
          <w:sz w:val="32"/>
          <w:szCs w:val="32"/>
        </w:rPr>
      </w:pPr>
      <w:r w:rsidRPr="009B66C9">
        <w:rPr>
          <w:rFonts w:ascii="Arial" w:hAnsi="Arial" w:cs="Arial"/>
          <w:color w:val="000000"/>
          <w:sz w:val="32"/>
          <w:szCs w:val="32"/>
        </w:rPr>
        <w:t xml:space="preserve">Smuck, M., Odonkor, C.A., Wilt, J.K., Schmidt, N. and </w:t>
      </w:r>
      <w:proofErr w:type="spellStart"/>
      <w:r w:rsidRPr="009B66C9">
        <w:rPr>
          <w:rFonts w:ascii="Arial" w:hAnsi="Arial" w:cs="Arial"/>
          <w:color w:val="000000"/>
          <w:sz w:val="32"/>
          <w:szCs w:val="32"/>
        </w:rPr>
        <w:t>Swiernik</w:t>
      </w:r>
      <w:proofErr w:type="spellEnd"/>
      <w:r w:rsidRPr="009B66C9">
        <w:rPr>
          <w:rFonts w:ascii="Arial" w:hAnsi="Arial" w:cs="Arial"/>
          <w:color w:val="000000"/>
          <w:sz w:val="32"/>
          <w:szCs w:val="32"/>
        </w:rPr>
        <w:t>, M.A. (2021) ‘The emerging clinical role of wearables: Factors for successful implementation in healthcare’,</w:t>
      </w:r>
      <w:r w:rsidRPr="009B66C9">
        <w:rPr>
          <w:rStyle w:val="apple-converted-space"/>
          <w:rFonts w:ascii="Arial" w:hAnsi="Arial" w:cs="Arial"/>
          <w:color w:val="000000"/>
          <w:sz w:val="32"/>
          <w:szCs w:val="32"/>
        </w:rPr>
        <w:t> </w:t>
      </w:r>
      <w:proofErr w:type="spellStart"/>
      <w:r w:rsidRPr="009B66C9">
        <w:rPr>
          <w:rStyle w:val="Emphasis"/>
          <w:rFonts w:ascii="Arial" w:hAnsi="Arial" w:cs="Arial"/>
          <w:color w:val="000000"/>
          <w:sz w:val="32"/>
          <w:szCs w:val="32"/>
        </w:rPr>
        <w:t>npj</w:t>
      </w:r>
      <w:proofErr w:type="spellEnd"/>
      <w:r w:rsidRPr="009B66C9">
        <w:rPr>
          <w:rStyle w:val="Emphasis"/>
          <w:rFonts w:ascii="Arial" w:hAnsi="Arial" w:cs="Arial"/>
          <w:color w:val="000000"/>
          <w:sz w:val="32"/>
          <w:szCs w:val="32"/>
        </w:rPr>
        <w:t xml:space="preserve"> Digital Medicine</w:t>
      </w:r>
      <w:r w:rsidRPr="009B66C9">
        <w:rPr>
          <w:rFonts w:ascii="Arial" w:hAnsi="Arial" w:cs="Arial"/>
          <w:color w:val="000000"/>
          <w:sz w:val="32"/>
          <w:szCs w:val="32"/>
        </w:rPr>
        <w:t>, 4, article 45. Available at:</w:t>
      </w:r>
      <w:r w:rsidRPr="009B66C9">
        <w:rPr>
          <w:rStyle w:val="apple-converted-space"/>
          <w:rFonts w:ascii="Arial" w:hAnsi="Arial" w:cs="Arial"/>
          <w:color w:val="000000"/>
          <w:sz w:val="32"/>
          <w:szCs w:val="32"/>
        </w:rPr>
        <w:t> </w:t>
      </w:r>
      <w:r w:rsidRPr="009B66C9">
        <w:rPr>
          <w:rFonts w:ascii="Arial" w:hAnsi="Arial" w:cs="Arial"/>
          <w:color w:val="000000"/>
          <w:sz w:val="32"/>
          <w:szCs w:val="32"/>
        </w:rPr>
        <w:t>https://doi.org/10.1038/s41746-021-00418-3</w:t>
      </w:r>
      <w:r w:rsidRPr="009B66C9">
        <w:rPr>
          <w:rStyle w:val="apple-converted-space"/>
          <w:rFonts w:ascii="Arial" w:hAnsi="Arial" w:cs="Arial"/>
          <w:color w:val="000000"/>
          <w:sz w:val="32"/>
          <w:szCs w:val="32"/>
        </w:rPr>
        <w:t> </w:t>
      </w:r>
      <w:r w:rsidRPr="009B66C9">
        <w:rPr>
          <w:rFonts w:ascii="Arial" w:hAnsi="Arial" w:cs="Arial"/>
          <w:color w:val="000000"/>
          <w:sz w:val="32"/>
          <w:szCs w:val="32"/>
        </w:rPr>
        <w:t>(Accessed: 14 July 2026).</w:t>
      </w:r>
    </w:p>
    <w:p w14:paraId="2FAE4C42" w14:textId="77777777" w:rsidR="009B66C9" w:rsidRPr="009B66C9" w:rsidRDefault="009B66C9" w:rsidP="009B66C9">
      <w:pPr>
        <w:pStyle w:val="NormalWeb"/>
        <w:rPr>
          <w:rFonts w:ascii="Arial" w:hAnsi="Arial" w:cs="Arial"/>
          <w:color w:val="000000"/>
          <w:sz w:val="32"/>
          <w:szCs w:val="32"/>
        </w:rPr>
      </w:pPr>
      <w:r w:rsidRPr="009B66C9">
        <w:rPr>
          <w:rFonts w:ascii="Arial" w:hAnsi="Arial" w:cs="Arial"/>
          <w:color w:val="000000"/>
          <w:sz w:val="32"/>
          <w:szCs w:val="32"/>
        </w:rPr>
        <w:t>West, C.P., Dyrbye, L.N. and Shanafelt, T.D. (2018) ‘Physician burnout: Contributors, consequences and solutions’,</w:t>
      </w:r>
      <w:r w:rsidRPr="009B66C9">
        <w:rPr>
          <w:rStyle w:val="apple-converted-space"/>
          <w:rFonts w:ascii="Arial" w:hAnsi="Arial" w:cs="Arial"/>
          <w:color w:val="000000"/>
          <w:sz w:val="32"/>
          <w:szCs w:val="32"/>
        </w:rPr>
        <w:t> </w:t>
      </w:r>
      <w:r w:rsidRPr="009B66C9">
        <w:rPr>
          <w:rStyle w:val="Emphasis"/>
          <w:rFonts w:ascii="Arial" w:hAnsi="Arial" w:cs="Arial"/>
          <w:color w:val="000000"/>
          <w:sz w:val="32"/>
          <w:szCs w:val="32"/>
        </w:rPr>
        <w:t>Journal of Internal Medicine</w:t>
      </w:r>
      <w:r w:rsidRPr="009B66C9">
        <w:rPr>
          <w:rFonts w:ascii="Arial" w:hAnsi="Arial" w:cs="Arial"/>
          <w:color w:val="000000"/>
          <w:sz w:val="32"/>
          <w:szCs w:val="32"/>
        </w:rPr>
        <w:t>, 283(6), pp. 516–529. Available at:</w:t>
      </w:r>
      <w:r w:rsidRPr="009B66C9">
        <w:rPr>
          <w:rStyle w:val="apple-converted-space"/>
          <w:rFonts w:ascii="Arial" w:hAnsi="Arial" w:cs="Arial"/>
          <w:color w:val="000000"/>
          <w:sz w:val="32"/>
          <w:szCs w:val="32"/>
        </w:rPr>
        <w:t> </w:t>
      </w:r>
      <w:hyperlink r:id="rId21" w:tgtFrame="_new" w:history="1">
        <w:r w:rsidRPr="009B66C9">
          <w:rPr>
            <w:rStyle w:val="Hyperlink"/>
            <w:rFonts w:ascii="Arial" w:hAnsi="Arial" w:cs="Arial"/>
            <w:sz w:val="32"/>
            <w:szCs w:val="32"/>
          </w:rPr>
          <w:t>https://doi.org/10.1111/joim.12752</w:t>
        </w:r>
      </w:hyperlink>
      <w:r w:rsidRPr="009B66C9">
        <w:rPr>
          <w:rStyle w:val="apple-converted-space"/>
          <w:rFonts w:ascii="Arial" w:hAnsi="Arial" w:cs="Arial"/>
          <w:color w:val="000000"/>
          <w:sz w:val="32"/>
          <w:szCs w:val="32"/>
        </w:rPr>
        <w:t> </w:t>
      </w:r>
      <w:r w:rsidRPr="009B66C9">
        <w:rPr>
          <w:rFonts w:ascii="Arial" w:hAnsi="Arial" w:cs="Arial"/>
          <w:color w:val="000000"/>
          <w:sz w:val="32"/>
          <w:szCs w:val="32"/>
        </w:rPr>
        <w:t>(Accessed: 14 July 2026).</w:t>
      </w:r>
    </w:p>
    <w:p w14:paraId="696C836D" w14:textId="649838C8" w:rsidR="00EA5FBC" w:rsidRPr="009B66C9" w:rsidRDefault="00EA5FBC">
      <w:pPr>
        <w:rPr>
          <w:rFonts w:ascii="Arial" w:hAnsi="Arial" w:cs="Arial"/>
          <w:color w:val="000000"/>
          <w:sz w:val="32"/>
          <w:szCs w:val="32"/>
        </w:rPr>
      </w:pPr>
    </w:p>
    <w:p w14:paraId="57357566" w14:textId="77777777" w:rsidR="00834525" w:rsidRDefault="00834525">
      <w:pPr>
        <w:rPr>
          <w:rFonts w:ascii="Arial" w:hAnsi="Arial" w:cs="Arial"/>
          <w:color w:val="000000"/>
          <w:sz w:val="32"/>
          <w:szCs w:val="32"/>
        </w:rPr>
      </w:pPr>
    </w:p>
    <w:p w14:paraId="03A20584" w14:textId="77777777" w:rsidR="006E381A" w:rsidRDefault="006E381A">
      <w:pPr>
        <w:rPr>
          <w:rFonts w:ascii="Arial" w:hAnsi="Arial" w:cs="Arial"/>
          <w:color w:val="000000"/>
          <w:sz w:val="32"/>
          <w:szCs w:val="32"/>
        </w:rPr>
      </w:pPr>
    </w:p>
    <w:p w14:paraId="7AB6EDC5" w14:textId="77777777" w:rsidR="006E381A" w:rsidRDefault="006E381A">
      <w:pPr>
        <w:rPr>
          <w:rFonts w:ascii="Arial" w:hAnsi="Arial" w:cs="Arial"/>
          <w:color w:val="000000"/>
          <w:sz w:val="32"/>
          <w:szCs w:val="32"/>
        </w:rPr>
      </w:pPr>
    </w:p>
    <w:p w14:paraId="7FA6A355" w14:textId="77777777" w:rsidR="006E381A" w:rsidRDefault="006E381A">
      <w:pPr>
        <w:rPr>
          <w:rFonts w:ascii="Arial" w:hAnsi="Arial" w:cs="Arial"/>
          <w:color w:val="000000"/>
          <w:sz w:val="32"/>
          <w:szCs w:val="32"/>
        </w:rPr>
      </w:pPr>
    </w:p>
    <w:p w14:paraId="21378BBA" w14:textId="77777777" w:rsidR="006E381A" w:rsidRDefault="006E381A">
      <w:pPr>
        <w:rPr>
          <w:rFonts w:ascii="Arial" w:hAnsi="Arial" w:cs="Arial"/>
          <w:color w:val="000000"/>
          <w:sz w:val="32"/>
          <w:szCs w:val="32"/>
        </w:rPr>
      </w:pPr>
    </w:p>
    <w:p w14:paraId="4D799E42" w14:textId="77777777" w:rsidR="006E381A" w:rsidRDefault="006E381A">
      <w:pPr>
        <w:rPr>
          <w:rFonts w:ascii="Arial" w:hAnsi="Arial" w:cs="Arial"/>
          <w:color w:val="000000"/>
          <w:sz w:val="32"/>
          <w:szCs w:val="32"/>
        </w:rPr>
      </w:pPr>
    </w:p>
    <w:p w14:paraId="544F0733" w14:textId="77777777" w:rsidR="006E381A" w:rsidRDefault="006E381A">
      <w:pPr>
        <w:rPr>
          <w:rFonts w:ascii="Arial" w:hAnsi="Arial" w:cs="Arial"/>
          <w:color w:val="000000"/>
          <w:sz w:val="32"/>
          <w:szCs w:val="32"/>
        </w:rPr>
      </w:pPr>
    </w:p>
    <w:p w14:paraId="38DCEF04" w14:textId="77777777" w:rsidR="006E381A" w:rsidRDefault="006E381A">
      <w:pPr>
        <w:rPr>
          <w:rFonts w:ascii="Arial" w:hAnsi="Arial" w:cs="Arial"/>
          <w:color w:val="000000"/>
          <w:sz w:val="32"/>
          <w:szCs w:val="32"/>
        </w:rPr>
      </w:pPr>
    </w:p>
    <w:sectPr w:rsidR="006E38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B63E9A"/>
    <w:multiLevelType w:val="multilevel"/>
    <w:tmpl w:val="962A3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145A8E"/>
    <w:multiLevelType w:val="multilevel"/>
    <w:tmpl w:val="64E65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EA77B3"/>
    <w:multiLevelType w:val="multilevel"/>
    <w:tmpl w:val="BC50D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8"/>
  </w:num>
  <w:num w:numId="2" w16cid:durableId="1622766073">
    <w:abstractNumId w:val="4"/>
  </w:num>
  <w:num w:numId="3" w16cid:durableId="521866105">
    <w:abstractNumId w:val="0"/>
  </w:num>
  <w:num w:numId="4" w16cid:durableId="1518612884">
    <w:abstractNumId w:val="11"/>
  </w:num>
  <w:num w:numId="5" w16cid:durableId="1113476408">
    <w:abstractNumId w:val="15"/>
  </w:num>
  <w:num w:numId="6" w16cid:durableId="2142140862">
    <w:abstractNumId w:val="14"/>
  </w:num>
  <w:num w:numId="7" w16cid:durableId="2060398449">
    <w:abstractNumId w:val="2"/>
  </w:num>
  <w:num w:numId="8" w16cid:durableId="1191258451">
    <w:abstractNumId w:val="3"/>
  </w:num>
  <w:num w:numId="9" w16cid:durableId="1457792697">
    <w:abstractNumId w:val="10"/>
  </w:num>
  <w:num w:numId="10" w16cid:durableId="78447588">
    <w:abstractNumId w:val="13"/>
  </w:num>
  <w:num w:numId="11" w16cid:durableId="1342471444">
    <w:abstractNumId w:val="6"/>
  </w:num>
  <w:num w:numId="12" w16cid:durableId="521866661">
    <w:abstractNumId w:val="7"/>
  </w:num>
  <w:num w:numId="13" w16cid:durableId="228422474">
    <w:abstractNumId w:val="5"/>
  </w:num>
  <w:num w:numId="14" w16cid:durableId="2116635732">
    <w:abstractNumId w:val="1"/>
  </w:num>
  <w:num w:numId="15" w16cid:durableId="295641843">
    <w:abstractNumId w:val="9"/>
  </w:num>
  <w:num w:numId="16" w16cid:durableId="99645542">
    <w:abstractNumId w:val="1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6256A"/>
    <w:rsid w:val="000812B9"/>
    <w:rsid w:val="000B1AFC"/>
    <w:rsid w:val="00114199"/>
    <w:rsid w:val="00156EBC"/>
    <w:rsid w:val="00165771"/>
    <w:rsid w:val="002548FE"/>
    <w:rsid w:val="00284F83"/>
    <w:rsid w:val="002D6AFD"/>
    <w:rsid w:val="0030397C"/>
    <w:rsid w:val="003356E3"/>
    <w:rsid w:val="00380519"/>
    <w:rsid w:val="0045203E"/>
    <w:rsid w:val="004539E5"/>
    <w:rsid w:val="00506CD5"/>
    <w:rsid w:val="00515A2C"/>
    <w:rsid w:val="005C28E8"/>
    <w:rsid w:val="0063219A"/>
    <w:rsid w:val="006E381A"/>
    <w:rsid w:val="006E4395"/>
    <w:rsid w:val="006F2207"/>
    <w:rsid w:val="006F6FC2"/>
    <w:rsid w:val="007472D0"/>
    <w:rsid w:val="007E02B9"/>
    <w:rsid w:val="007E79FB"/>
    <w:rsid w:val="00804E06"/>
    <w:rsid w:val="00832A43"/>
    <w:rsid w:val="00834525"/>
    <w:rsid w:val="00887A4B"/>
    <w:rsid w:val="008B4D0E"/>
    <w:rsid w:val="008C191B"/>
    <w:rsid w:val="009012AC"/>
    <w:rsid w:val="009B66C9"/>
    <w:rsid w:val="00A3467E"/>
    <w:rsid w:val="00A35419"/>
    <w:rsid w:val="00A64F40"/>
    <w:rsid w:val="00AC3E8F"/>
    <w:rsid w:val="00AE0D69"/>
    <w:rsid w:val="00B44499"/>
    <w:rsid w:val="00B52F82"/>
    <w:rsid w:val="00B80EF2"/>
    <w:rsid w:val="00BF56B7"/>
    <w:rsid w:val="00C1099B"/>
    <w:rsid w:val="00C54903"/>
    <w:rsid w:val="00C62C0D"/>
    <w:rsid w:val="00C960E7"/>
    <w:rsid w:val="00D2622A"/>
    <w:rsid w:val="00D46920"/>
    <w:rsid w:val="00E73C57"/>
    <w:rsid w:val="00E831D8"/>
    <w:rsid w:val="00EA5FBC"/>
    <w:rsid w:val="00F403F4"/>
    <w:rsid w:val="00FD1C7E"/>
    <w:rsid w:val="00FE6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A95D6F62-C68B-2349-831A-941FFF482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customStyle="1" w:styleId="pdq2pgselectionanchorcontainer">
    <w:name w:val="pdq2pg_selectionanchorcontainer"/>
    <w:basedOn w:val="Normal"/>
    <w:rsid w:val="00E73C57"/>
    <w:pPr>
      <w:spacing w:before="100" w:beforeAutospacing="1" w:after="100" w:afterAutospacing="1" w:line="240" w:lineRule="auto"/>
    </w:pPr>
    <w:rPr>
      <w:rFonts w:ascii="Times New Roman" w:eastAsia="Times New Roman" w:hAnsi="Times New Roman"/>
      <w:kern w:val="0"/>
      <w:lang w:eastAsia="en-GB"/>
    </w:rPr>
  </w:style>
  <w:style w:type="character" w:styleId="Emphasis">
    <w:name w:val="Emphasis"/>
    <w:basedOn w:val="DefaultParagraphFont"/>
    <w:uiPriority w:val="20"/>
    <w:qFormat/>
    <w:rsid w:val="00EA5FBC"/>
    <w:rPr>
      <w:i/>
      <w:iCs/>
    </w:rPr>
  </w:style>
  <w:style w:type="character" w:styleId="Hyperlink">
    <w:name w:val="Hyperlink"/>
    <w:basedOn w:val="DefaultParagraphFont"/>
    <w:uiPriority w:val="99"/>
    <w:semiHidden/>
    <w:unhideWhenUsed/>
    <w:rsid w:val="00EA5FBC"/>
    <w:rPr>
      <w:color w:val="0000FF"/>
      <w:u w:val="single"/>
    </w:rPr>
  </w:style>
  <w:style w:type="character" w:styleId="FollowedHyperlink">
    <w:name w:val="FollowedHyperlink"/>
    <w:basedOn w:val="DefaultParagraphFont"/>
    <w:uiPriority w:val="99"/>
    <w:semiHidden/>
    <w:unhideWhenUsed/>
    <w:rsid w:val="006F220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2307/249008" TargetMode="External"/><Relationship Id="rId18" Type="http://schemas.openxmlformats.org/officeDocument/2006/relationships/hyperlink" Target="https://www.england.nhs.uk/2024/05/nhs-plan-to-cut-avoidable-admissions-to-further-boost-efforts-to-reduce-waiting-times/?utm_source=chatgpt.com" TargetMode="External"/><Relationship Id="rId3" Type="http://schemas.openxmlformats.org/officeDocument/2006/relationships/styles" Target="styles.xml"/><Relationship Id="rId21" Type="http://schemas.openxmlformats.org/officeDocument/2006/relationships/hyperlink" Target="https://doi.org/10.1111/joim.12752" TargetMode="External"/><Relationship Id="rId7" Type="http://schemas.openxmlformats.org/officeDocument/2006/relationships/image" Target="media/image2.png"/><Relationship Id="rId12" Type="http://schemas.openxmlformats.org/officeDocument/2006/relationships/hyperlink" Target="https://doi.org/10.1186/s12960-020-00469-9" TargetMode="External"/><Relationship Id="rId17" Type="http://schemas.openxmlformats.org/officeDocument/2006/relationships/hyperlink" Target="https://www.england.nhs.uk/long-read/virtual-wards-operational-framework/?utm_source=chatgpt.com" TargetMode="External"/><Relationship Id="rId2" Type="http://schemas.openxmlformats.org/officeDocument/2006/relationships/numbering" Target="numbering.xml"/><Relationship Id="rId16" Type="http://schemas.openxmlformats.org/officeDocument/2006/relationships/hyperlink" Target="https://www.chelseagreen.com/product/thinking-in-systems/" TargetMode="External"/><Relationship Id="rId20" Type="http://schemas.openxmlformats.org/officeDocument/2006/relationships/hyperlink" Target="https://doi.org/10.1056/NEJMp1011024"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oi.org/10.1111/j.1467-6486.2004.00463.x" TargetMode="External"/><Relationship Id="rId5" Type="http://schemas.openxmlformats.org/officeDocument/2006/relationships/webSettings" Target="webSettings.xml"/><Relationship Id="rId15" Type="http://schemas.openxmlformats.org/officeDocument/2006/relationships/hyperlink" Target="https://doi.org/10.1002/job.4030020205" TargetMode="External"/><Relationship Id="rId23" Type="http://schemas.openxmlformats.org/officeDocument/2006/relationships/theme" Target="theme/theme1.xml"/><Relationship Id="rId10" Type="http://schemas.openxmlformats.org/officeDocument/2006/relationships/hyperlink" Target="https://us.sagepub.com/en-us/nam/improving-organizational-effectiveness-through-transformational-leadership/book4228" TargetMode="External"/><Relationship Id="rId19" Type="http://schemas.openxmlformats.org/officeDocument/2006/relationships/hyperlink" Target="https://www.leadershipacademy.nhs.uk/wp-content/uploads/dlm_uploads/2014/10/NHSLeadership-LeadershipModel-colour.pdf?utm_source=chatgpt.com" TargetMode="External"/><Relationship Id="rId4" Type="http://schemas.openxmlformats.org/officeDocument/2006/relationships/settings" Target="settings.xml"/><Relationship Id="rId9" Type="http://schemas.openxmlformats.org/officeDocument/2006/relationships/hyperlink" Target="https://doi.org/10.4324/9780429501234" TargetMode="External"/><Relationship Id="rId14" Type="http://schemas.openxmlformats.org/officeDocument/2006/relationships/hyperlink" Target="https://www.gibbsreflectivecycle.org.uk/gibbs-reflective-cycl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EBEF66-60BE-C844-8E1B-D64EAFC68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18</Pages>
  <Words>3555</Words>
  <Characters>20269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Michala Peterova (2418841)</cp:lastModifiedBy>
  <cp:revision>2</cp:revision>
  <dcterms:created xsi:type="dcterms:W3CDTF">2026-07-25T14:37:00Z</dcterms:created>
  <dcterms:modified xsi:type="dcterms:W3CDTF">2026-07-25T14:37:00Z</dcterms:modified>
</cp:coreProperties>
</file>