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C">
      <w:pPr>
        <w:pStyle w:val="Title"/>
        <w:jc w:val="center"/>
        <w:rPr>
          <w:rFonts w:ascii="Times New Roman" w:cs="Times New Roman" w:eastAsia="Times New Roman" w:hAnsi="Times New Roman"/>
          <w:b w:val="1"/>
          <w:sz w:val="40"/>
          <w:szCs w:val="40"/>
        </w:rPr>
      </w:pPr>
      <w:bookmarkStart w:colFirst="0" w:colLast="0" w:name="_heading=h.gjdgxs" w:id="0"/>
      <w:bookmarkEnd w:id="0"/>
      <w:r w:rsidDel="00000000" w:rsidR="00000000" w:rsidRPr="00000000">
        <w:rPr>
          <w:rFonts w:ascii="Times New Roman" w:cs="Times New Roman" w:eastAsia="Times New Roman" w:hAnsi="Times New Roman"/>
          <w:b w:val="1"/>
          <w:sz w:val="40"/>
          <w:szCs w:val="40"/>
          <w:rtl w:val="0"/>
        </w:rPr>
        <w:t xml:space="preserve">Foreign Languages &amp; Cultural Awareness</w:t>
      </w:r>
    </w:p>
    <w:p w:rsidR="00000000" w:rsidDel="00000000" w:rsidP="00000000" w:rsidRDefault="00000000" w:rsidRPr="00000000" w14:paraId="0000000D">
      <w:pPr>
        <w:pStyle w:val="Title"/>
        <w:jc w:val="center"/>
        <w:rPr>
          <w:rFonts w:ascii="Times New Roman" w:cs="Times New Roman" w:eastAsia="Times New Roman" w:hAnsi="Times New Roman"/>
          <w:b w:val="1"/>
          <w:sz w:val="40"/>
          <w:szCs w:val="40"/>
        </w:rPr>
      </w:pPr>
      <w:bookmarkStart w:colFirst="0" w:colLast="0" w:name="_heading=h.wkj53dvwqo5j" w:id="1"/>
      <w:bookmarkEnd w:id="1"/>
      <w:r w:rsidDel="00000000" w:rsidR="00000000" w:rsidRPr="00000000">
        <w:rPr>
          <w:rFonts w:ascii="Times New Roman" w:cs="Times New Roman" w:eastAsia="Times New Roman" w:hAnsi="Times New Roman"/>
          <w:b w:val="1"/>
          <w:sz w:val="40"/>
          <w:szCs w:val="40"/>
          <w:rtl w:val="0"/>
        </w:rPr>
        <w:t xml:space="preserve">Lecturer’s name:Giulia Chifari</w:t>
      </w:r>
    </w:p>
    <w:p w:rsidR="00000000" w:rsidDel="00000000" w:rsidP="00000000" w:rsidRDefault="00000000" w:rsidRPr="00000000" w14:paraId="0000000E">
      <w:pPr>
        <w:pStyle w:val="Title"/>
        <w:jc w:val="center"/>
        <w:rPr>
          <w:rFonts w:ascii="Times New Roman" w:cs="Times New Roman" w:eastAsia="Times New Roman" w:hAnsi="Times New Roman"/>
          <w:b w:val="1"/>
          <w:sz w:val="40"/>
          <w:szCs w:val="40"/>
        </w:rPr>
      </w:pPr>
      <w:bookmarkStart w:colFirst="0" w:colLast="0" w:name="_heading=h.697xh8o5xkcs" w:id="2"/>
      <w:bookmarkEnd w:id="2"/>
      <w:r w:rsidDel="00000000" w:rsidR="00000000" w:rsidRPr="00000000">
        <w:rPr>
          <w:rFonts w:ascii="Times New Roman" w:cs="Times New Roman" w:eastAsia="Times New Roman" w:hAnsi="Times New Roman"/>
          <w:b w:val="1"/>
          <w:sz w:val="40"/>
          <w:szCs w:val="40"/>
          <w:rtl w:val="0"/>
        </w:rPr>
        <w:t xml:space="preserve">Student name:Ana Ivascu</w:t>
      </w:r>
    </w:p>
    <w:p w:rsidR="00000000" w:rsidDel="00000000" w:rsidP="00000000" w:rsidRDefault="00000000" w:rsidRPr="00000000" w14:paraId="0000000F">
      <w:pPr>
        <w:pStyle w:val="Title"/>
        <w:jc w:val="center"/>
        <w:rPr>
          <w:rFonts w:ascii="Times New Roman" w:cs="Times New Roman" w:eastAsia="Times New Roman" w:hAnsi="Times New Roman"/>
          <w:b w:val="1"/>
        </w:rPr>
      </w:pPr>
      <w:bookmarkStart w:colFirst="0" w:colLast="0" w:name="_heading=h.6zffs7jno3j1" w:id="3"/>
      <w:bookmarkEnd w:id="3"/>
      <w:r w:rsidDel="00000000" w:rsidR="00000000" w:rsidRPr="00000000">
        <w:rPr>
          <w:rFonts w:ascii="Times New Roman" w:cs="Times New Roman" w:eastAsia="Times New Roman" w:hAnsi="Times New Roman"/>
          <w:b w:val="1"/>
          <w:sz w:val="40"/>
          <w:szCs w:val="40"/>
          <w:rtl w:val="0"/>
        </w:rPr>
        <w:t xml:space="preserve">Student ID:2239390</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366091"/>
          <w:sz w:val="28"/>
          <w:szCs w:val="28"/>
          <w:u w:val="none"/>
          <w:shd w:fill="auto" w:val="clear"/>
          <w:vertAlign w:val="baseline"/>
        </w:rPr>
      </w:pPr>
      <w:bookmarkStart w:colFirst="0" w:colLast="0" w:name="_heading=h.klkz98j3mc4u" w:id="4"/>
      <w:bookmarkEnd w:id="4"/>
      <w:r w:rsidDel="00000000" w:rsidR="00000000" w:rsidRPr="00000000">
        <w:rPr>
          <w:rFonts w:ascii="Calibri" w:cs="Calibri" w:eastAsia="Calibri" w:hAnsi="Calibri"/>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Assessment 2: Individual Report</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Key differences between England's and India’s cultures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Analysis and Comparison between the UK and India through GLOBE Project’s Culture and Leadership Study</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Challenges of Intercultural Leadership in the Hospitality Industry</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 and Recommendation</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9</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rFonts w:ascii="Times New Roman" w:cs="Times New Roman" w:eastAsia="Times New Roman" w:hAnsi="Times New Roman"/>
          <w:b w:val="1"/>
          <w:sz w:val="28"/>
          <w:szCs w:val="28"/>
        </w:rPr>
      </w:pPr>
      <w:bookmarkStart w:colFirst="0" w:colLast="0" w:name="_heading=h.30j0zll" w:id="5"/>
      <w:bookmarkEnd w:id="5"/>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heading=h.3dy6vkm" w:id="6"/>
      <w:bookmarkEnd w:id="6"/>
      <w:r w:rsidDel="00000000" w:rsidR="00000000" w:rsidRPr="00000000">
        <w:rPr>
          <w:rtl w:val="0"/>
        </w:rPr>
        <w:t xml:space="preserve">Assessment 2: Individual Report </w:t>
      </w:r>
    </w:p>
    <w:p w:rsidR="00000000" w:rsidDel="00000000" w:rsidP="00000000" w:rsidRDefault="00000000" w:rsidRPr="00000000" w14:paraId="0000001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Executive Summary</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focused on the cultural differences between Indian and UK markets for conducting management operations in a hospitality company. This study analysed and identified cultural differences and approaches of the hospitality sector’s leadership practices through the GLOBE framework and figured out the most efficient ways to overcome intercultural challenges in the global context. </w:t>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2"/>
        <w:rPr/>
      </w:pPr>
      <w:bookmarkStart w:colFirst="0" w:colLast="0" w:name="_heading=h.1fob9te" w:id="7"/>
      <w:bookmarkEnd w:id="7"/>
      <w:r w:rsidDel="00000000" w:rsidR="00000000" w:rsidRPr="00000000">
        <w:rPr>
          <w:rtl w:val="0"/>
        </w:rPr>
        <w:t xml:space="preserve">Introduction </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Expanding businesses in the international field need to conduct in-depth studies of cultural as well as linguistic understanding. In the hotel and hospitality industry, cross-cultural analysis and identification help companies determine the most effective ways to market expansion and reach potential customers. From the perspective of Wang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it is identified that managers of international companies need to be proficient in the customs, beliefs and cultural affairs to maintain regardless of business operations and get competitive advantages. This awareness facilitates clear communication and efficient customer services in cross-cultural fields. Multicultural Hotel &amp; Spa is an India-based international firm which also operates its business activities in different countries, including the UK. This study will identify key differences between the cultural aspects of India and the UK and also compare their leadership approaches. Moreover, this study also evaluates the challenges of intercultural leadership approaches in the international hospitality industry. </w:t>
      </w:r>
    </w:p>
    <w:p w:rsidR="00000000" w:rsidDel="00000000" w:rsidP="00000000" w:rsidRDefault="00000000" w:rsidRPr="00000000" w14:paraId="00000022">
      <w:pPr>
        <w:pStyle w:val="Heading2"/>
        <w:rPr/>
      </w:pPr>
      <w:bookmarkStart w:colFirst="0" w:colLast="0" w:name="_heading=h.3znysh7" w:id="8"/>
      <w:bookmarkEnd w:id="8"/>
      <w:r w:rsidDel="00000000" w:rsidR="00000000" w:rsidRPr="00000000">
        <w:rPr>
          <w:rtl w:val="0"/>
        </w:rPr>
        <w:t xml:space="preserve">Discussion </w:t>
      </w:r>
    </w:p>
    <w:p w:rsidR="00000000" w:rsidDel="00000000" w:rsidP="00000000" w:rsidRDefault="00000000" w:rsidRPr="00000000" w14:paraId="00000023">
      <w:pPr>
        <w:pStyle w:val="Heading3"/>
        <w:rPr/>
      </w:pPr>
      <w:bookmarkStart w:colFirst="0" w:colLast="0" w:name="_heading=h.1t3h5sf" w:id="9"/>
      <w:bookmarkEnd w:id="9"/>
      <w:r w:rsidDel="00000000" w:rsidR="00000000" w:rsidRPr="00000000">
        <w:rPr>
          <w:rtl w:val="0"/>
        </w:rPr>
        <w:t xml:space="preserve">Key differences between England's and India’s cultures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United Kingdom is popular for its customs and royal culture. However, India is the oldest living civilisation with lots of colours and cultural variations. It is believed that Indian cultures are the most enriched ancient cultures of the world which still exist in the 21st century. </w:t>
      </w:r>
    </w:p>
    <w:p w:rsidR="00000000" w:rsidDel="00000000" w:rsidP="00000000" w:rsidRDefault="00000000" w:rsidRPr="00000000" w14:paraId="0000002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10405" cy="2413635"/>
            <wp:effectExtent b="0" l="0" r="0" t="0"/>
            <wp:docPr id="9"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510405" cy="2413635"/>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Indian Hospitality Tagline</w:t>
      </w:r>
    </w:p>
    <w:p w:rsidR="00000000" w:rsidDel="00000000" w:rsidP="00000000" w:rsidRDefault="00000000" w:rsidRPr="00000000" w14:paraId="0000002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Sushantuniversity, 2022)</w:t>
      </w:r>
    </w:p>
    <w:p w:rsidR="00000000" w:rsidDel="00000000" w:rsidP="00000000" w:rsidRDefault="00000000" w:rsidRPr="00000000" w14:paraId="00000028">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Cultural Context:</w:t>
      </w:r>
      <w:r w:rsidDel="00000000" w:rsidR="00000000" w:rsidRPr="00000000">
        <w:rPr>
          <w:rFonts w:ascii="Times New Roman" w:cs="Times New Roman" w:eastAsia="Times New Roman" w:hAnsi="Times New Roman"/>
          <w:sz w:val="24"/>
          <w:szCs w:val="24"/>
          <w:rtl w:val="0"/>
        </w:rPr>
        <w:t xml:space="preserve"> On the basis of hospitality services, India follows deep and spiritual connections with their hospitality (Ibef, 2023). “Atithi Devo Bhava” is the fundamental ideology of Indians which means ‘The Guests are near to God’. In Indian traditions, hospitality is profoundly ingrained and considered as a holy responsibility. On the other side, the UK also values hospitality in their own form but hospitality companies of this country are not too much attached to spiritual bondings like Indians. </w:t>
      </w:r>
    </w:p>
    <w:p w:rsidR="00000000" w:rsidDel="00000000" w:rsidP="00000000" w:rsidRDefault="00000000" w:rsidRPr="00000000" w14:paraId="00000029">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Communication Styles: </w:t>
      </w:r>
      <w:r w:rsidDel="00000000" w:rsidR="00000000" w:rsidRPr="00000000">
        <w:rPr>
          <w:rFonts w:ascii="Times New Roman" w:cs="Times New Roman" w:eastAsia="Times New Roman" w:hAnsi="Times New Roman"/>
          <w:sz w:val="24"/>
          <w:szCs w:val="24"/>
          <w:rtl w:val="0"/>
        </w:rPr>
        <w:t xml:space="preserve">Communication styles matter in the hospitality sector to maintain worthy connections with employees and guests. In the field of hotel management, communication techniques can differ between India and England. While Indian hospitality focuses on informal communication as well as gestures to show respect and politeness whereas UK-based hospitality employees utilise a straightforward and brief communication approach. </w:t>
      </w:r>
    </w:p>
    <w:p w:rsidR="00000000" w:rsidDel="00000000" w:rsidP="00000000" w:rsidRDefault="00000000" w:rsidRPr="00000000" w14:paraId="0000002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Work Culture:</w:t>
      </w:r>
      <w:r w:rsidDel="00000000" w:rsidR="00000000" w:rsidRPr="00000000">
        <w:rPr>
          <w:rFonts w:ascii="Times New Roman" w:cs="Times New Roman" w:eastAsia="Times New Roman" w:hAnsi="Times New Roman"/>
          <w:sz w:val="24"/>
          <w:szCs w:val="24"/>
          <w:rtl w:val="0"/>
        </w:rPr>
        <w:t xml:space="preserve"> It is found that both Indian and UK hotel companies reflect larger societal values to welcome visitors and treat them accordingly. Based on the perspective of Nazarian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it can be mentioned that professionalism, punctuality and following regulations are valued more strongly in the UK rather than in India. Additionally, it can be also mentioned that professionalism is appreciated in India as well, although there might be greater opportunities for adaptability, creativity and attending to visitors’ requirements on a more individual basis. </w:t>
      </w:r>
    </w:p>
    <w:p w:rsidR="00000000" w:rsidDel="00000000" w:rsidP="00000000" w:rsidRDefault="00000000" w:rsidRPr="00000000" w14:paraId="0000002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10000" cy="2857500"/>
            <wp:effectExtent b="12700" l="12700" r="12700" t="12700"/>
            <wp:docPr id="10"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810000" cy="28575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English Hospitality Tagline </w:t>
      </w:r>
    </w:p>
    <w:p w:rsidR="00000000" w:rsidDel="00000000" w:rsidP="00000000" w:rsidRDefault="00000000" w:rsidRPr="00000000" w14:paraId="0000002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Restaurantonline, 2012)</w:t>
      </w:r>
    </w:p>
    <w:p w:rsidR="00000000" w:rsidDel="00000000" w:rsidP="00000000" w:rsidRDefault="00000000" w:rsidRPr="00000000" w14:paraId="0000002E">
      <w:pPr>
        <w:pStyle w:val="Heading3"/>
        <w:rPr>
          <w:color w:val="000000"/>
        </w:rPr>
      </w:pPr>
      <w:bookmarkStart w:colFirst="0" w:colLast="0" w:name="_heading=h.4d34og8" w:id="10"/>
      <w:bookmarkEnd w:id="10"/>
      <w:r w:rsidDel="00000000" w:rsidR="00000000" w:rsidRPr="00000000">
        <w:rPr>
          <w:color w:val="000000"/>
          <w:rtl w:val="0"/>
        </w:rPr>
        <w:t xml:space="preserve">Analysis and Comparison between the UK and India through GLOBE Project’s Culture and Leadership Study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GLOBE (Global Leadership and Organisational Behaviour Effectiveness is an important cross-cultural research project that tries to identify how culture affects organisational practices as well as leadership approaches in the international context. There are nine different stages aligned with this leadership study which shows leadership approaches from different perspectives. </w:t>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400"/>
      </w:tblPr>
      <w:tblGrid>
        <w:gridCol w:w="2865"/>
        <w:gridCol w:w="3210"/>
        <w:gridCol w:w="3285"/>
        <w:tblGridChange w:id="0">
          <w:tblGrid>
            <w:gridCol w:w="2865"/>
            <w:gridCol w:w="3210"/>
            <w:gridCol w:w="328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0">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0000ff" w:val="clear"/>
            <w:tcMar>
              <w:top w:w="100.0" w:type="dxa"/>
              <w:left w:w="100.0" w:type="dxa"/>
              <w:bottom w:w="100.0" w:type="dxa"/>
              <w:right w:w="100.0" w:type="dxa"/>
            </w:tcMar>
          </w:tcPr>
          <w:p w:rsidR="00000000" w:rsidDel="00000000" w:rsidP="00000000" w:rsidRDefault="00000000" w:rsidRPr="00000000" w14:paraId="00000031">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United Kingdom</w:t>
            </w:r>
          </w:p>
        </w:tc>
        <w:tc>
          <w:tcPr>
            <w:tcBorders>
              <w:top w:color="000000" w:space="0" w:sz="8" w:val="single"/>
              <w:left w:color="000000" w:space="0" w:sz="8" w:val="single"/>
              <w:bottom w:color="000000" w:space="0" w:sz="8" w:val="single"/>
              <w:right w:color="000000" w:space="0" w:sz="8" w:val="single"/>
            </w:tcBorders>
            <w:shd w:fill="ff9900" w:val="clear"/>
            <w:tcMar>
              <w:top w:w="100.0" w:type="dxa"/>
              <w:left w:w="100.0" w:type="dxa"/>
              <w:bottom w:w="100.0" w:type="dxa"/>
              <w:right w:w="100.0" w:type="dxa"/>
            </w:tcMar>
          </w:tcPr>
          <w:p w:rsidR="00000000" w:rsidDel="00000000" w:rsidP="00000000" w:rsidRDefault="00000000" w:rsidRPr="00000000" w14:paraId="00000032">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3">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Power Distance</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4">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power distance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5">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Power Distance</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6">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Uncertainty Avoidance</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7">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Uncertainty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Uncertainty </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9">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Assertiveness</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A">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Values effectiveness and direct communication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Exhibits assertiveness </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C">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Institutional Collectiveness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D">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Focus on personal goals</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E">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Focus on group achievements</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3F">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In-group Collectivism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active in-group collectivism</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Highly active in-group collectivism</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Gender Egalitarianism</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3">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Small gender gaps</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4">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gender gaps </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Future Orientation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Future focused culture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Future focused culture </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Performance Orientation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9">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B">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Humane Orientation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Places high importance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color="000000" w:space="0" w:sz="0" w:val="none"/>
                <w:left w:color="000000" w:space="0" w:sz="0" w:val="none"/>
                <w:bottom w:color="000000" w:space="0" w:sz="0" w:val="none"/>
                <w:right w:color="000000" w:space="0" w:sz="0" w:val="none"/>
                <w:between w:color="000000" w:space="0" w:sz="0" w:val="none"/>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Places moderate importance</w:t>
            </w:r>
          </w:p>
        </w:tc>
      </w:tr>
    </w:tbl>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Analysis and Comparison:</w:t>
      </w:r>
      <w:r w:rsidDel="00000000" w:rsidR="00000000" w:rsidRPr="00000000">
        <w:rPr>
          <w:rFonts w:ascii="Times New Roman" w:cs="Times New Roman" w:eastAsia="Times New Roman" w:hAnsi="Times New Roman"/>
          <w:sz w:val="24"/>
          <w:szCs w:val="24"/>
          <w:rtl w:val="0"/>
        </w:rPr>
        <w:t xml:space="preserve"> Based on the GLOBE Project leadership study, it is identified that both Indian and UK cultures and customs of leadership in professional domains are different in some areas and the same in some specific areas. From the nine-factor determinant, it can be analysed that the UK corporate culture has a low power distance among hierarchical structures whereas the Indian culture has a high power distance in corporate domains (Nazarian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On the other hand, UK corporate culture focuses on personal goal achievements whereas Indian culture focuses on teamwork. Gender gaps are low in the UK culture but it is very high in India. So, it can be mentioned that before conducting activities as a manager in the UK or Indian market, a foreign employee needs to focus on leadership-wise differences between targeted countries and determine future strategies accordingly. </w:t>
      </w:r>
    </w:p>
    <w:p w:rsidR="00000000" w:rsidDel="00000000" w:rsidP="00000000" w:rsidRDefault="00000000" w:rsidRPr="00000000" w14:paraId="00000050">
      <w:pPr>
        <w:pStyle w:val="Heading3"/>
        <w:rPr>
          <w:color w:val="000000"/>
        </w:rPr>
      </w:pPr>
      <w:bookmarkStart w:colFirst="0" w:colLast="0" w:name="_heading=h.2s8eyo1" w:id="11"/>
      <w:bookmarkEnd w:id="11"/>
      <w:r w:rsidDel="00000000" w:rsidR="00000000" w:rsidRPr="00000000">
        <w:rPr>
          <w:color w:val="000000"/>
          <w:rtl w:val="0"/>
        </w:rPr>
        <w:t xml:space="preserve">Challenges of Intercultural Leadership in the Hospitality Industry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research work of Ghani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it is identified that the hospitality sector presents distinct challenges for intercultural leadership because of the varied range of employees and customers. In the hospitality sector, effective communication is essential. However, interactions between workers and customers from different cultural backgrounds can be affected by linguistic issues. Moreover, from the viewpoint of Nazarian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it can be mentioned that misunderstanding can happen and impact the quality of services and the satisfaction of clientele. From the same study, it is also identified that every culture has its own communication styles, values and costumes which represent their uniqueness in the international market. To ensure that every worker feels respected, appreciated and engaged, leaders need to consider these differences seriously. Furthermore, delivering outstanding visitor experiences requires a thorough awareness of cultural preferences. </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viewpoints of Ghani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it can be also mentioned that to stop implicit biases from influencing decision-making processes, leaders need to apply great care. While operating international companies in the UK market, managers need to focus on racism, discrimination and other social issues. Discrimination or implicit stereotypes can have a detrimental effect on interactions with customers and employees from other cultural backgrounds (Huertas-Valdivia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Staff members from various cultural origins may get into conflicts because of their different points of view. Leaders need to be adept at fostering an environment of mutual respect and understanding of diplomatic disputes. </w:t>
      </w:r>
    </w:p>
    <w:p w:rsidR="00000000" w:rsidDel="00000000" w:rsidP="00000000" w:rsidRDefault="00000000" w:rsidRPr="00000000" w14:paraId="00000053">
      <w:pPr>
        <w:pStyle w:val="Heading2"/>
        <w:rPr/>
      </w:pPr>
      <w:bookmarkStart w:colFirst="0" w:colLast="0" w:name="_heading=h.2et92p0" w:id="12"/>
      <w:bookmarkEnd w:id="12"/>
      <w:r w:rsidDel="00000000" w:rsidR="00000000" w:rsidRPr="00000000">
        <w:rPr>
          <w:rtl w:val="0"/>
        </w:rPr>
        <w:t xml:space="preserve">Conclusion and Recommendation</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completing the study, it can be concluded that the corporate cultures of the UK are different in various aspects from Indian corporate cultures. Being a manager of a globally expanded tourism company, it is important to identify these differences and find out the most effective strategies for success and further development. It can be recommended that a manager needs to identify cultural differences, as per the perspective of the GLOBE project and identify the targeted market’s characteristics to become successful. It can be also recommended to the manager who is going to join the UK branch of an Indian hospitality company, needs to focus on cultural differences between Indian and English markets efficiently. </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2"/>
        <w:rPr/>
      </w:pPr>
      <w:bookmarkStart w:colFirst="0" w:colLast="0" w:name="_heading=h.tyjcwt" w:id="13"/>
      <w:bookmarkEnd w:id="13"/>
      <w:r w:rsidDel="00000000" w:rsidR="00000000" w:rsidRPr="00000000">
        <w:rPr>
          <w:rtl w:val="0"/>
        </w:rPr>
        <w:t xml:space="preserve">Reference List</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Ghani, B., Zada, M., Memon, K.R., Ullah, R., Khattak, A., Han, H., Ariza-Montes, A. and Araya-Castillo, L., 2022. Challenges and strategies for employee retention in the hospitality industry: A review.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(5), p.2885.</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Huertas-Valdivia, I., González-Torres, T. and Nájera-Sánchez, J.J., 2022. Contemporary leadership in hospitality: a review and research agenda. </w:t>
      </w:r>
      <w:r w:rsidDel="00000000" w:rsidR="00000000" w:rsidRPr="00000000">
        <w:rPr>
          <w:rFonts w:ascii="Times New Roman" w:cs="Times New Roman" w:eastAsia="Times New Roman" w:hAnsi="Times New Roman"/>
          <w:i w:val="1"/>
          <w:sz w:val="24"/>
          <w:szCs w:val="24"/>
          <w:rtl w:val="0"/>
        </w:rPr>
        <w:t xml:space="preserve">International Journal of Contemporary Hospitality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34</w:t>
      </w:r>
      <w:r w:rsidDel="00000000" w:rsidR="00000000" w:rsidRPr="00000000">
        <w:rPr>
          <w:rFonts w:ascii="Times New Roman" w:cs="Times New Roman" w:eastAsia="Times New Roman" w:hAnsi="Times New Roman"/>
          <w:sz w:val="24"/>
          <w:szCs w:val="24"/>
          <w:rtl w:val="0"/>
        </w:rPr>
        <w:t xml:space="preserve">(6), pp.2399-2422.</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Ibef, 2023, ‘Tourism and Hospitality Industry in India’,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https://www.ibef.org/industry/tourism-hospitality-india</w:t>
        </w:r>
      </w:hyperlink>
      <w:r w:rsidDel="00000000" w:rsidR="00000000" w:rsidRPr="00000000">
        <w:rPr>
          <w:rFonts w:ascii="Times New Roman" w:cs="Times New Roman" w:eastAsia="Times New Roman" w:hAnsi="Times New Roman"/>
          <w:sz w:val="24"/>
          <w:szCs w:val="24"/>
          <w:rtl w:val="0"/>
        </w:rPr>
        <w:t xml:space="preserve"> accessed on: 25-04-2024</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Nazarian, A., Shabankareh, M., Ranjbaran, A., Sadeghilar, N. and Atkinson, P., 2024. Determinants of intention to revisit in hospitality industry: A cross-cultural study based on globe project. </w:t>
      </w:r>
      <w:r w:rsidDel="00000000" w:rsidR="00000000" w:rsidRPr="00000000">
        <w:rPr>
          <w:rFonts w:ascii="Times New Roman" w:cs="Times New Roman" w:eastAsia="Times New Roman" w:hAnsi="Times New Roman"/>
          <w:i w:val="1"/>
          <w:sz w:val="24"/>
          <w:szCs w:val="24"/>
          <w:rtl w:val="0"/>
        </w:rPr>
        <w:t xml:space="preserve">Journal of International Consumer Marketing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36</w:t>
      </w:r>
      <w:r w:rsidDel="00000000" w:rsidR="00000000" w:rsidRPr="00000000">
        <w:rPr>
          <w:rFonts w:ascii="Times New Roman" w:cs="Times New Roman" w:eastAsia="Times New Roman" w:hAnsi="Times New Roman"/>
          <w:sz w:val="24"/>
          <w:szCs w:val="24"/>
          <w:rtl w:val="0"/>
        </w:rPr>
        <w:t xml:space="preserve">(1), pp.62-79.</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Nazarian, A., Velayati, R., Foroudi, P., Edirisinghe, D. and Atkinson, P., 2021. Organizational justice in the hotel industry: revisiting GLOBE from a national culture perspective. </w:t>
      </w:r>
      <w:r w:rsidDel="00000000" w:rsidR="00000000" w:rsidRPr="00000000">
        <w:rPr>
          <w:rFonts w:ascii="Times New Roman" w:cs="Times New Roman" w:eastAsia="Times New Roman" w:hAnsi="Times New Roman"/>
          <w:i w:val="1"/>
          <w:sz w:val="24"/>
          <w:szCs w:val="24"/>
          <w:rtl w:val="0"/>
        </w:rPr>
        <w:t xml:space="preserve">International Journal of Contemporary Hospitality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(12), pp.4418-4438.</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Restaurantonline, 2012, ‘VisitBritain Calls on Hospitality’,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https://www.restaurantonline.co.uk/Article/2012/01/06/VisitBritain-calls-on-hospitality-businesses-to-Share-Your-GREAT-Britain</w:t>
        </w:r>
      </w:hyperlink>
      <w:r w:rsidDel="00000000" w:rsidR="00000000" w:rsidRPr="00000000">
        <w:rPr>
          <w:rFonts w:ascii="Times New Roman" w:cs="Times New Roman" w:eastAsia="Times New Roman" w:hAnsi="Times New Roman"/>
          <w:sz w:val="24"/>
          <w:szCs w:val="24"/>
          <w:rtl w:val="0"/>
        </w:rPr>
        <w:t xml:space="preserve"> accessed on: 25-04-2024</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Sushantuniversity, 2022, ‘Indian Hospitality,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https://sushantuniversity.edu.in/blog/atithi-devo-bhava/</w:t>
        </w:r>
      </w:hyperlink>
      <w:r w:rsidDel="00000000" w:rsidR="00000000" w:rsidRPr="00000000">
        <w:rPr>
          <w:rFonts w:ascii="Times New Roman" w:cs="Times New Roman" w:eastAsia="Times New Roman" w:hAnsi="Times New Roman"/>
          <w:sz w:val="24"/>
          <w:szCs w:val="24"/>
          <w:rtl w:val="0"/>
        </w:rPr>
        <w:t xml:space="preserve"> accessed on: 25-04-2024</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Wang, C., Hu, R. and Zhang, T.C., 2020. Corporate social responsibility in international hotel chains and its effects on local employees: Scale development and empirical testing in China. </w:t>
      </w:r>
      <w:r w:rsidDel="00000000" w:rsidR="00000000" w:rsidRPr="00000000">
        <w:rPr>
          <w:rFonts w:ascii="Times New Roman" w:cs="Times New Roman" w:eastAsia="Times New Roman" w:hAnsi="Times New Roman"/>
          <w:i w:val="1"/>
          <w:sz w:val="24"/>
          <w:szCs w:val="24"/>
          <w:rtl w:val="0"/>
        </w:rPr>
        <w:t xml:space="preserve">International Journal of Hospitality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90</w:t>
      </w:r>
      <w:r w:rsidDel="00000000" w:rsidR="00000000" w:rsidRPr="00000000">
        <w:rPr>
          <w:rFonts w:ascii="Times New Roman" w:cs="Times New Roman" w:eastAsia="Times New Roman" w:hAnsi="Times New Roman"/>
          <w:sz w:val="24"/>
          <w:szCs w:val="24"/>
          <w:rtl w:val="0"/>
        </w:rPr>
        <w:t xml:space="preserve">, p.102598.</w:t>
      </w:r>
    </w:p>
    <w:sectPr>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jc w:val="both"/>
    </w:pPr>
    <w:rPr>
      <w:rFonts w:ascii="Times New Roman" w:cs="Times New Roman" w:eastAsia="Times New Roman" w:hAnsi="Times New Roman"/>
      <w:b w:val="1"/>
      <w:color w:val="434343"/>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pPr>
      <w:spacing w:line="276" w:lineRule="auto"/>
    </w:pPr>
    <w:rPr>
      <w:sz w:val="22"/>
      <w:szCs w:val="22"/>
      <w:lang w:eastAsia="en-IN"/>
    </w:rPr>
  </w:style>
  <w:style w:type="paragraph" w:styleId="Heading1">
    <w:name w:val="heading 1"/>
    <w:basedOn w:val="Normal"/>
    <w:next w:val="Normal"/>
    <w:pPr>
      <w:keepNext w:val="1"/>
      <w:keepLines w:val="1"/>
      <w:spacing w:after="120" w:before="400"/>
      <w:jc w:val="both"/>
      <w:outlineLvl w:val="0"/>
    </w:pPr>
    <w:rPr>
      <w:rFonts w:ascii="Times New Roman" w:hAnsi="Times New Roman"/>
      <w:b w:val="1"/>
      <w:sz w:val="28"/>
      <w:szCs w:val="40"/>
    </w:rPr>
  </w:style>
  <w:style w:type="paragraph" w:styleId="Heading2">
    <w:name w:val="heading 2"/>
    <w:basedOn w:val="Normal"/>
    <w:next w:val="Normal"/>
    <w:pPr>
      <w:keepNext w:val="1"/>
      <w:keepLines w:val="1"/>
      <w:spacing w:after="120" w:before="360"/>
      <w:jc w:val="both"/>
      <w:outlineLvl w:val="1"/>
    </w:pPr>
    <w:rPr>
      <w:rFonts w:ascii="Times New Roman" w:hAnsi="Times New Roman"/>
      <w:b w:val="1"/>
      <w:sz w:val="24"/>
      <w:szCs w:val="32"/>
    </w:rPr>
  </w:style>
  <w:style w:type="paragraph" w:styleId="Heading3">
    <w:name w:val="heading 3"/>
    <w:basedOn w:val="Normal"/>
    <w:next w:val="Normal"/>
    <w:pPr>
      <w:keepNext w:val="1"/>
      <w:keepLines w:val="1"/>
      <w:spacing w:after="80" w:before="320"/>
      <w:jc w:val="both"/>
      <w:outlineLvl w:val="2"/>
    </w:pPr>
    <w:rPr>
      <w:rFonts w:ascii="Times New Roman" w:hAnsi="Times New Roman"/>
      <w:b w:val="1"/>
      <w:color w:val="434343"/>
      <w:sz w:val="24"/>
      <w:szCs w:val="28"/>
    </w:rPr>
  </w:style>
  <w:style w:type="paragraph" w:styleId="Heading4">
    <w:name w:val="heading 4"/>
    <w:basedOn w:val="Normal"/>
    <w:next w:val="Normal"/>
    <w:qFormat w:val="1"/>
    <w:pPr>
      <w:keepNext w:val="1"/>
      <w:keepLines w:val="1"/>
      <w:spacing w:after="80" w:before="280"/>
      <w:outlineLvl w:val="3"/>
    </w:pPr>
    <w:rPr>
      <w:color w:val="666666"/>
      <w:sz w:val="24"/>
      <w:szCs w:val="24"/>
    </w:rPr>
  </w:style>
  <w:style w:type="paragraph" w:styleId="Heading5">
    <w:name w:val="heading 5"/>
    <w:basedOn w:val="Normal"/>
    <w:next w:val="Normal"/>
    <w:qFormat w:val="1"/>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alloonText">
    <w:name w:val="Balloon Text"/>
    <w:basedOn w:val="Normal"/>
    <w:link w:val="BalloonTextChar"/>
    <w:uiPriority w:val="99"/>
    <w:semiHidden w:val="1"/>
    <w:unhideWhenUsed w:val="1"/>
    <w:pPr>
      <w:spacing w:line="240" w:lineRule="auto"/>
    </w:pPr>
    <w:rPr>
      <w:rFonts w:ascii="Tahoma" w:cs="Tahoma" w:hAnsi="Tahoma"/>
      <w:sz w:val="16"/>
      <w:szCs w:val="16"/>
    </w:rPr>
  </w:style>
  <w:style w:type="paragraph" w:styleId="Footer">
    <w:name w:val="footer"/>
    <w:basedOn w:val="Normal"/>
    <w:link w:val="FooterChar"/>
    <w:uiPriority w:val="99"/>
    <w:unhideWhenUsed w:val="1"/>
    <w:pPr>
      <w:tabs>
        <w:tab w:val="center" w:pos="4513"/>
        <w:tab w:val="right" w:pos="9026"/>
      </w:tabs>
      <w:spacing w:line="240" w:lineRule="auto"/>
    </w:pPr>
  </w:style>
  <w:style w:type="paragraph" w:styleId="Header">
    <w:name w:val="header"/>
    <w:basedOn w:val="Normal"/>
    <w:link w:val="HeaderChar"/>
    <w:uiPriority w:val="99"/>
    <w:unhideWhenUsed w:val="1"/>
    <w:pPr>
      <w:tabs>
        <w:tab w:val="center" w:pos="4513"/>
        <w:tab w:val="right" w:pos="9026"/>
      </w:tabs>
      <w:spacing w:line="240" w:lineRule="auto"/>
    </w:pPr>
  </w:style>
  <w:style w:type="character" w:styleId="Hyperlink">
    <w:name w:val="Hyperlink"/>
    <w:basedOn w:val="DefaultParagraphFont"/>
    <w:uiPriority w:val="99"/>
    <w:unhideWhenUsed w:val="1"/>
    <w:rPr>
      <w:color w:val="0000ff" w:themeColor="hyperlink"/>
      <w:u w:val="single"/>
    </w:rPr>
  </w:style>
  <w:style w:type="paragraph" w:styleId="Subtitle">
    <w:name w:val="Subtitle"/>
    <w:basedOn w:val="Normal"/>
    <w:next w:val="Normal"/>
    <w:qFormat w:val="1"/>
    <w:pPr>
      <w:keepNext w:val="1"/>
      <w:keepLines w:val="1"/>
      <w:spacing w:after="320"/>
    </w:pPr>
    <w:rPr>
      <w:color w:val="666666"/>
      <w:sz w:val="30"/>
      <w:szCs w:val="30"/>
    </w:rPr>
  </w:style>
  <w:style w:type="paragraph" w:styleId="Title">
    <w:name w:val="Title"/>
    <w:basedOn w:val="Normal"/>
    <w:next w:val="Normal"/>
    <w:qFormat w:val="1"/>
    <w:pPr>
      <w:keepNext w:val="1"/>
      <w:keepLines w:val="1"/>
      <w:spacing w:after="60"/>
    </w:pPr>
    <w:rPr>
      <w:sz w:val="52"/>
      <w:szCs w:val="52"/>
    </w:rPr>
  </w:style>
  <w:style w:type="paragraph" w:styleId="TOC1">
    <w:name w:val="toc 1"/>
    <w:basedOn w:val="Normal"/>
    <w:next w:val="Normal"/>
    <w:autoRedefine w:val="1"/>
    <w:uiPriority w:val="39"/>
    <w:unhideWhenUsed w:val="1"/>
    <w:pPr>
      <w:spacing w:after="100"/>
    </w:pPr>
  </w:style>
  <w:style w:type="paragraph" w:styleId="TOC2">
    <w:name w:val="toc 2"/>
    <w:basedOn w:val="Normal"/>
    <w:next w:val="Normal"/>
    <w:autoRedefine w:val="1"/>
    <w:uiPriority w:val="39"/>
    <w:unhideWhenUsed w:val="1"/>
    <w:pPr>
      <w:spacing w:after="100"/>
      <w:ind w:left="220"/>
    </w:pPr>
  </w:style>
  <w:style w:type="paragraph" w:styleId="TOC3">
    <w:name w:val="toc 3"/>
    <w:basedOn w:val="Normal"/>
    <w:next w:val="Normal"/>
    <w:autoRedefine w:val="1"/>
    <w:uiPriority w:val="39"/>
    <w:unhideWhenUsed w:val="1"/>
    <w:pPr>
      <w:spacing w:after="100"/>
      <w:ind w:left="440"/>
    </w:pPr>
  </w:style>
  <w:style w:type="table" w:styleId="TableNormal1" w:customStyle="1">
    <w:name w:val="Table Normal1"/>
    <w:tblPr>
      <w:tblCellMar>
        <w:top w:w="0.0" w:type="dxa"/>
        <w:left w:w="0.0" w:type="dxa"/>
        <w:bottom w:w="0.0" w:type="dxa"/>
        <w:right w:w="0.0" w:type="dxa"/>
      </w:tblCellMar>
    </w:tblPr>
  </w:style>
  <w:style w:type="table" w:styleId="Style10" w:customStyle="1">
    <w:name w:val="_Style 10"/>
    <w:basedOn w:val="TableNormal1"/>
    <w:qFormat w:val="1"/>
    <w:tblPr>
      <w:tblCellMar>
        <w:top w:w="100.0" w:type="dxa"/>
        <w:left w:w="100.0" w:type="dxa"/>
        <w:bottom w:w="100.0" w:type="dxa"/>
        <w:right w:w="100.0" w:type="dxa"/>
      </w:tblCellMar>
    </w:tblPr>
  </w:style>
  <w:style w:type="paragraph" w:styleId="WPSOffice1" w:customStyle="1">
    <w:name w:val="WPSOffice手动目录 1"/>
    <w:pPr>
      <w:spacing w:line="276" w:lineRule="auto"/>
    </w:pPr>
    <w:rPr>
      <w:lang w:eastAsia="en-IN"/>
    </w:rPr>
  </w:style>
  <w:style w:type="paragraph" w:styleId="WPSOffice2" w:customStyle="1">
    <w:name w:val="WPSOffice手动目录 2"/>
    <w:pPr>
      <w:spacing w:line="276" w:lineRule="auto"/>
      <w:ind w:left="200" w:leftChars="200"/>
    </w:pPr>
    <w:rPr>
      <w:lang w:eastAsia="en-IN"/>
    </w:rPr>
  </w:style>
  <w:style w:type="table" w:styleId="Style15" w:customStyle="1">
    <w:name w:val="_Style 15"/>
    <w:basedOn w:val="TableNormal"/>
    <w:qFormat w:val="1"/>
    <w:tblPr>
      <w:tblCellMar>
        <w:top w:w="100.0" w:type="dxa"/>
        <w:left w:w="100.0" w:type="dxa"/>
        <w:bottom w:w="100.0" w:type="dxa"/>
        <w:right w:w="100.0" w:type="dxa"/>
      </w:tblCellMar>
    </w:tblPr>
  </w:style>
  <w:style w:type="table" w:styleId="Style16" w:customStyle="1">
    <w:name w:val="_Style 16"/>
    <w:basedOn w:val="TableNormal"/>
    <w:tblPr>
      <w:tblCellMar>
        <w:top w:w="100.0" w:type="dxa"/>
        <w:left w:w="100.0" w:type="dxa"/>
        <w:bottom w:w="100.0" w:type="dxa"/>
        <w:right w:w="100.0" w:type="dxa"/>
      </w:tblCellMar>
    </w:tblPr>
  </w:style>
  <w:style w:type="paragraph" w:styleId="TOCHeading1" w:customStyle="1">
    <w:name w:val="TOC Heading1"/>
    <w:basedOn w:val="Heading1"/>
    <w:next w:val="Normal"/>
    <w:uiPriority w:val="39"/>
    <w:semiHidden w:val="1"/>
    <w:unhideWhenUsed w:val="1"/>
    <w:qFormat w:val="1"/>
    <w:pPr>
      <w:spacing w:after="0" w:before="480"/>
      <w:jc w:val="left"/>
      <w:outlineLvl w:val="9"/>
    </w:pPr>
    <w:rPr>
      <w:rFonts w:asciiTheme="majorHAnsi" w:cstheme="majorBidi" w:eastAsiaTheme="majorEastAsia" w:hAnsiTheme="majorHAnsi"/>
      <w:bCs w:val="1"/>
      <w:color w:val="365f91" w:themeColor="accent1" w:themeShade="0000BF"/>
      <w:szCs w:val="28"/>
      <w:lang w:eastAsia="ja-JP" w:val="en-US"/>
    </w:rPr>
  </w:style>
  <w:style w:type="character" w:styleId="BalloonTextChar" w:customStyle="1">
    <w:name w:val="Balloon Text Char"/>
    <w:basedOn w:val="DefaultParagraphFont"/>
    <w:link w:val="BalloonText"/>
    <w:uiPriority w:val="99"/>
    <w:semiHidden w:val="1"/>
    <w:rPr>
      <w:rFonts w:ascii="Tahoma" w:cs="Tahoma" w:hAnsi="Tahoma"/>
      <w:sz w:val="16"/>
      <w:szCs w:val="16"/>
    </w:r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sushantuniversity.edu.in/blog/atithi-devo-bhava/" TargetMode="External"/><Relationship Id="rId10" Type="http://schemas.openxmlformats.org/officeDocument/2006/relationships/hyperlink" Target="https://www.restaurantonline.co.uk/Article/2012/01/06/VisitBritain-calls-on-hospitality-businesses-to-Share-Your-GREAT-Britain" TargetMode="External"/><Relationship Id="rId12" Type="http://schemas.openxmlformats.org/officeDocument/2006/relationships/footer" Target="footer1.xml"/><Relationship Id="rId9" Type="http://schemas.openxmlformats.org/officeDocument/2006/relationships/hyperlink" Target="https://www.ibef.org/industry/tourism-hospitality-india"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Z/KcedVpeZZBH+aZyt7uvUeMCw==">CgMxLjAyCGguZ2pkZ3hzMg5oLndrajUzZHZ3cW81ajIOaC42OTd4aDhvNXhrY3MyDmguNnpmZnM3am5vM2oxMg5oLmtsa3o5OGozbWM0dTIJaC4zMGowemxsMgloLjNkeTZ2a20yCWguMWZvYjl0ZTIJaC4zem55c2g3MgloLjF0M2g1c2YyCWguNGQzNG9nODIJaC4yczhleW8xMgloLjJldDkycDAyCGgudHlqY3d0OAByITFRbDh0Q3VmM1dKZFA4aG9iVDFJZG80Y1N1YWI2VGcxQ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2024-04-25T14:42:00Z</dcterms:created>
  <dc:creator>SAMIK BANERJEE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2057-12.2.0.16909</vt:lpwstr>
  </property>
  <property fmtid="{D5CDD505-2E9C-101B-9397-08002B2CF9AE}" pid="3" name="ICV">
    <vt:lpwstr>B10E003800164BB0A6A8E81C05880900_12</vt:lpwstr>
  </property>
</Properties>
</file>