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Times New Roman" w:hAnsi="Times New Roman" w:cs="Times New Roman" w:eastAsia="Times New Roman"/>
          <w:b/>
          <w:color w:val="000000"/>
          <w:spacing w:val="0"/>
          <w:position w:val="0"/>
          <w:sz w:val="40"/>
          <w:shd w:fill="auto" w:val="clear"/>
        </w:rPr>
      </w:pPr>
      <w:r>
        <w:rPr>
          <w:rFonts w:ascii="Times New Roman" w:hAnsi="Times New Roman" w:cs="Times New Roman" w:eastAsia="Times New Roman"/>
          <w:b/>
          <w:color w:val="000000"/>
          <w:spacing w:val="0"/>
          <w:position w:val="0"/>
          <w:sz w:val="40"/>
          <w:shd w:fill="auto" w:val="clear"/>
        </w:rPr>
        <w:t xml:space="preserve">Name: Ionut Petrisor Magareata</w:t>
      </w:r>
    </w:p>
    <w:p>
      <w:pPr>
        <w:spacing w:before="0" w:after="0" w:line="240"/>
        <w:ind w:right="0" w:left="0" w:firstLine="0"/>
        <w:jc w:val="center"/>
        <w:rPr>
          <w:rFonts w:ascii="Times New Roman" w:hAnsi="Times New Roman" w:cs="Times New Roman" w:eastAsia="Times New Roman"/>
          <w:b/>
          <w:color w:val="000000"/>
          <w:spacing w:val="0"/>
          <w:position w:val="0"/>
          <w:sz w:val="40"/>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40"/>
          <w:shd w:fill="auto" w:val="clear"/>
        </w:rPr>
      </w:pPr>
      <w:r>
        <w:rPr>
          <w:rFonts w:ascii="Times New Roman" w:hAnsi="Times New Roman" w:cs="Times New Roman" w:eastAsia="Times New Roman"/>
          <w:b/>
          <w:color w:val="000000"/>
          <w:spacing w:val="0"/>
          <w:position w:val="0"/>
          <w:sz w:val="40"/>
          <w:shd w:fill="auto" w:val="clear"/>
        </w:rPr>
        <w:t xml:space="preserve">Student id: 2131113</w:t>
      </w:r>
    </w:p>
    <w:p>
      <w:pPr>
        <w:spacing w:before="0" w:after="0" w:line="240"/>
        <w:ind w:right="0" w:left="0" w:firstLine="0"/>
        <w:jc w:val="center"/>
        <w:rPr>
          <w:rFonts w:ascii="Times New Roman" w:hAnsi="Times New Roman" w:cs="Times New Roman" w:eastAsia="Times New Roman"/>
          <w:b/>
          <w:color w:val="000000"/>
          <w:spacing w:val="0"/>
          <w:position w:val="0"/>
          <w:sz w:val="40"/>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40"/>
          <w:shd w:fill="auto" w:val="clear"/>
        </w:rPr>
      </w:pPr>
      <w:r>
        <w:rPr>
          <w:rFonts w:ascii="Times New Roman" w:hAnsi="Times New Roman" w:cs="Times New Roman" w:eastAsia="Times New Roman"/>
          <w:b/>
          <w:color w:val="000000"/>
          <w:spacing w:val="0"/>
          <w:position w:val="0"/>
          <w:sz w:val="40"/>
          <w:shd w:fill="auto" w:val="clear"/>
        </w:rPr>
        <w:t xml:space="preserve">Module code: BMSW4001_BIRM</w:t>
      </w:r>
    </w:p>
    <w:p>
      <w:pPr>
        <w:spacing w:before="0" w:after="0" w:line="240"/>
        <w:ind w:right="0" w:left="0" w:firstLine="0"/>
        <w:jc w:val="center"/>
        <w:rPr>
          <w:rFonts w:ascii="Times New Roman" w:hAnsi="Times New Roman" w:cs="Times New Roman" w:eastAsia="Times New Roman"/>
          <w:b/>
          <w:color w:val="000000"/>
          <w:spacing w:val="0"/>
          <w:position w:val="0"/>
          <w:sz w:val="40"/>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40"/>
          <w:shd w:fill="auto" w:val="clear"/>
        </w:rPr>
      </w:pPr>
      <w:r>
        <w:rPr>
          <w:rFonts w:ascii="Times New Roman" w:hAnsi="Times New Roman" w:cs="Times New Roman" w:eastAsia="Times New Roman"/>
          <w:b/>
          <w:color w:val="000000"/>
          <w:spacing w:val="0"/>
          <w:position w:val="0"/>
          <w:sz w:val="40"/>
          <w:shd w:fill="auto" w:val="clear"/>
        </w:rPr>
        <w:t xml:space="preserve">Lecturers name: Md Nazmul Hasan</w:t>
      </w:r>
    </w:p>
    <w:p>
      <w:pPr>
        <w:spacing w:before="0" w:after="0" w:line="240"/>
        <w:ind w:right="0" w:left="0" w:firstLine="0"/>
        <w:jc w:val="center"/>
        <w:rPr>
          <w:rFonts w:ascii="Arial" w:hAnsi="Arial" w:cs="Arial" w:eastAsia="Arial"/>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40"/>
          <w:shd w:fill="auto" w:val="clear"/>
        </w:rPr>
      </w:pPr>
      <w:r>
        <w:rPr>
          <w:rFonts w:ascii="Times New Roman" w:hAnsi="Times New Roman" w:cs="Times New Roman" w:eastAsia="Times New Roman"/>
          <w:b/>
          <w:color w:val="auto"/>
          <w:spacing w:val="-10"/>
          <w:position w:val="0"/>
          <w:sz w:val="40"/>
          <w:shd w:fill="auto" w:val="clear"/>
        </w:rPr>
        <w:t xml:space="preserve">Academic and Employability Skills</w:t>
      </w:r>
    </w:p>
    <w:p>
      <w:pPr>
        <w:spacing w:before="0" w:after="0" w:line="360"/>
        <w:ind w:right="0" w:left="0" w:firstLine="0"/>
        <w:jc w:val="center"/>
        <w:rPr>
          <w:rFonts w:ascii="Times New Roman" w:hAnsi="Times New Roman" w:cs="Times New Roman" w:eastAsia="Times New Roman"/>
          <w:b/>
          <w:color w:val="auto"/>
          <w:spacing w:val="-10"/>
          <w:position w:val="0"/>
          <w:sz w:val="40"/>
          <w:shd w:fill="auto" w:val="clear"/>
        </w:rPr>
      </w:pPr>
      <w:r>
        <w:rPr>
          <w:rFonts w:ascii="Times New Roman" w:hAnsi="Times New Roman" w:cs="Times New Roman" w:eastAsia="Times New Roman"/>
          <w:b/>
          <w:color w:val="auto"/>
          <w:spacing w:val="-10"/>
          <w:position w:val="0"/>
          <w:sz w:val="40"/>
          <w:shd w:fill="auto" w:val="clear"/>
        </w:rPr>
        <w:t xml:space="preserve">Task 2 - Academic report</w:t>
      </w:r>
    </w:p>
    <w:p>
      <w:pPr>
        <w:spacing w:before="0" w:after="0" w:line="360"/>
        <w:ind w:right="0" w:left="0" w:firstLine="0"/>
        <w:jc w:val="center"/>
        <w:rPr>
          <w:rFonts w:ascii="Times New Roman" w:hAnsi="Times New Roman" w:cs="Times New Roman" w:eastAsia="Times New Roman"/>
          <w:b/>
          <w:color w:val="auto"/>
          <w:spacing w:val="-10"/>
          <w:position w:val="0"/>
          <w:sz w:val="40"/>
          <w:shd w:fill="auto" w:val="clear"/>
        </w:rPr>
      </w:pPr>
      <w:r>
        <w:rPr>
          <w:rFonts w:ascii="Times New Roman" w:hAnsi="Times New Roman" w:cs="Times New Roman" w:eastAsia="Times New Roman"/>
          <w:b/>
          <w:color w:val="auto"/>
          <w:spacing w:val="-10"/>
          <w:position w:val="0"/>
          <w:sz w:val="40"/>
          <w:shd w:fill="auto" w:val="clear"/>
        </w:rPr>
        <w:t xml:space="preserve">“What is the most effective way to motivate staff?”</w:t>
      </w:r>
    </w:p>
    <w:p>
      <w:pPr>
        <w:widowControl w:val="false"/>
        <w:spacing w:before="0" w:after="160" w:line="259"/>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 </w:t>
      </w:r>
    </w:p>
    <w:p>
      <w:pPr>
        <w:widowControl w:val="false"/>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widowControl w:val="false"/>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widowControl w:val="false"/>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value of a job is motivation. To inspire personnel to achieve the finest work, efficiency, and productivity (Evans, 2019). This report seeks to assess some of the best practices for staff motivation. Additionally, some of the difficulties with motivation at work are discussed. Numerous psychologists have determined that humans can be motivated to take various activities by being exposed to certain external elements, acts, conditions, and causes. Additionally, it aids in the growth of expertise and self-development, both of which improve employees' ability to perform certain tasks. The behavioural responses of the individuals shaped the perspective on motivation. The productivity of your staff can be raised by consistently encouraging them. As a result, the majority of the efficient methods for inspiring employees at work.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Different ways to motivate staff</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Pay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many employees, who perceive it as a kind of discrimination against their peers, this presents a particularly delicate issue. The risk is that a worker's perception of compensation is biased toward the base wage the set amount rises yearly when service time and inflation are included. Base pay will also change if you get promoted to a job with increased authority. For certain businesses, base pay is less significant (Satinoff, 2014). Consider the following as an answer to the question of how to meet traditional incentive goals of hiring, motivating, and retaining staff while keeping the pay budget as cost-effective as possible: A crucial decision is whether to treat the variable components as a one-time bonus or add them to the base compensation. In the US, one-time cash bonuses have gained popularity (Osmani et al. 2019). Given that the organisation is trying to save money, it is hardly shocking. One-time cash bonuses have no bearing on future base salaries or any associated obligations, unlike other compensations like overtime and pensions. But before rewarding achievement, there must be a system in place for evaluating performance, most frequently in the form of an assessment or review system. Getting the right payment can motivate employees to work hard. </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Recognition and rewards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Rewarding employees for their efforts and assisting them in appreciating what they do for the organisation can help to raise morale among staff members. Even though merit pay has been the subject of much research, employees who have worked under a merit compensation structure have had little opportunity to express their opinions on their jobs and the merit pay system (Bhagra and Sharma, 2018). Because everyone who is "meritorious" may be recognised, there is no need to compare different types of performance, it looks to be an easy definition of merit, for example, in the context of employee retention and promotion. A performance-based compensation plan that was just implemented is discussed by employees at a large firm, and the paper reports on their opinions on it. The support for merit-based compensation was overwhelmingly positive. Employees are likely to perform at their best and produce greater results than those who are less successful because the currency is used as a motivator and workers believe that compensation is important (Keiper et al., 2019). Employees of a corporation are compensated, and given benefits, and given awards. Financial incentives can be used in many different ways to promote either good or bad behaviour. These consist of pay increases, bonuses, and other financial incentives. With the help of a thoughtfully created term reward, team involvement may be strengthened and fostered. By applauding the workers for their diligence a manager, may encourage and reinforce positive behaviours.</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Additional holiday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benefits both the company and the employees when a corporation manages holiday entitlement properly. Conflicts over paid vacations and holidays arise when rights are not expressly agreed upon and recorded in writing (Long, 2015). There are ways in which employees can be motivated because of the holiday. Employee vacation management and sick leave entitlements well can result in several business benefits. If workers are allowed to take regular holidays, they may feel more valued and enthused about their work, which will improve their performance (Suarta et al., 2018). Employees who frequently take breaks from their jobs are less likely to be engaged in accidents and are less likely to experience stress because they regularly have time to unwind. To ensure that everyone is aware of the policies and procedures, it is crucial to develop an annual leave policy for including paid holiday entitlement in employee employment contracts (Sarkar et al. 2020). A consistent strategy for personal leave should be used throughout the organisation if management wants employees to feel like employees have been treated fairly.</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Good working condition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positive work atmosphere can naturally stimulate staff, which results in stable or even higher performance as well as improved communication and client loyalty. This makes sure that the business's insider information is protected and may be used to inspire innovative ideas and adjustments that are necessary to remain competitive in the market today (Evans, 2019). In other words, employee motivation and productivity are directly impacted by a favourable work environment. People's work environment, which frequently affects their personal lives as well, affects their employment, the manner they work, the results of their work, as well as their interest in those results. In a hostile work environment, morale, productivity, and wellbeing may all suffer. Diversity in the workplace may encourage novel approaches to problem-solving and provide individuals with the freedom to choose the setting that best suits their requirements and the project at hand (Griffin and Coelhoso, 2018). Employee output is strongly influenced by their immediate working environment. The physical attributes of the workplace have a direct impact on employee motivation. </w:t>
      </w: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Conclusion and recommendations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Performance &amp; pay evaluations must be kept apart as long as the organisation is dedicated to implementing merit pay. Management should base pay decisions during performance reviews on how well people are performing daily or how well they are achieving the goals they have set for themselves. The compensation ranges should be sufficiently wide to keep the employee happy after receiving the award, according to management.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not a payment system that can accommodate every employee's needs. However, a successful management team is capable of creating a remuneration plan that enables them to realise their objective of a highly engaged and productive workforce. As a result, a commercial organisation's drive is a necessary tool for advancing with a unique structure and a novel approach to globalisation.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12121"/>
          <w:spacing w:val="0"/>
          <w:position w:val="0"/>
          <w:sz w:val="24"/>
          <w:shd w:fill="auto" w:val="clear"/>
        </w:rPr>
        <w:t xml:space="preserve">Bhagra,</w:t>
      </w:r>
      <w:r>
        <w:rPr>
          <w:rFonts w:ascii="Times New Roman" w:hAnsi="Times New Roman" w:cs="Times New Roman" w:eastAsia="Times New Roman"/>
          <w:color w:val="212121"/>
          <w:spacing w:val="-15"/>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A.</w:t>
      </w:r>
      <w:r>
        <w:rPr>
          <w:rFonts w:ascii="Times New Roman" w:hAnsi="Times New Roman" w:cs="Times New Roman" w:eastAsia="Times New Roman"/>
          <w:color w:val="212121"/>
          <w:spacing w:val="-2"/>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and</w:t>
      </w:r>
      <w:r>
        <w:rPr>
          <w:rFonts w:ascii="Times New Roman" w:hAnsi="Times New Roman" w:cs="Times New Roman" w:eastAsia="Times New Roman"/>
          <w:color w:val="212121"/>
          <w:spacing w:val="-3"/>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Sharma,</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D.K.,</w:t>
      </w:r>
      <w:r>
        <w:rPr>
          <w:rFonts w:ascii="Times New Roman" w:hAnsi="Times New Roman" w:cs="Times New Roman" w:eastAsia="Times New Roman"/>
          <w:color w:val="212121"/>
          <w:spacing w:val="-2"/>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2018.</w:t>
      </w:r>
      <w:r>
        <w:rPr>
          <w:rFonts w:ascii="Times New Roman" w:hAnsi="Times New Roman" w:cs="Times New Roman" w:eastAsia="Times New Roman"/>
          <w:color w:val="212121"/>
          <w:spacing w:val="-2"/>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Changing</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paradigm</w:t>
      </w:r>
      <w:r>
        <w:rPr>
          <w:rFonts w:ascii="Times New Roman" w:hAnsi="Times New Roman" w:cs="Times New Roman" w:eastAsia="Times New Roman"/>
          <w:color w:val="212121"/>
          <w:spacing w:val="-2"/>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of</w:t>
      </w:r>
      <w:r>
        <w:rPr>
          <w:rFonts w:ascii="Times New Roman" w:hAnsi="Times New Roman" w:cs="Times New Roman" w:eastAsia="Times New Roman"/>
          <w:color w:val="212121"/>
          <w:spacing w:val="-2"/>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employability</w:t>
      </w:r>
      <w:r>
        <w:rPr>
          <w:rFonts w:ascii="Times New Roman" w:hAnsi="Times New Roman" w:cs="Times New Roman" w:eastAsia="Times New Roman"/>
          <w:color w:val="212121"/>
          <w:spacing w:val="-2"/>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skills in</w:t>
      </w:r>
      <w:r>
        <w:rPr>
          <w:rFonts w:ascii="Times New Roman" w:hAnsi="Times New Roman" w:cs="Times New Roman" w:eastAsia="Times New Roman"/>
          <w:color w:val="212121"/>
          <w:spacing w:val="-2"/>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the</w:t>
      </w:r>
      <w:r>
        <w:rPr>
          <w:rFonts w:ascii="Times New Roman" w:hAnsi="Times New Roman" w:cs="Times New Roman" w:eastAsia="Times New Roman"/>
          <w:color w:val="212121"/>
          <w:spacing w:val="-2"/>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global</w:t>
      </w:r>
      <w:r>
        <w:rPr>
          <w:rFonts w:ascii="Times New Roman" w:hAnsi="Times New Roman" w:cs="Times New Roman" w:eastAsia="Times New Roman"/>
          <w:color w:val="212121"/>
          <w:spacing w:val="-57"/>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business</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world:</w:t>
      </w:r>
      <w:r>
        <w:rPr>
          <w:rFonts w:ascii="Times New Roman" w:hAnsi="Times New Roman" w:cs="Times New Roman" w:eastAsia="Times New Roman"/>
          <w:color w:val="212121"/>
          <w:spacing w:val="-13"/>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A</w:t>
      </w:r>
      <w:r>
        <w:rPr>
          <w:rFonts w:ascii="Times New Roman" w:hAnsi="Times New Roman" w:cs="Times New Roman" w:eastAsia="Times New Roman"/>
          <w:color w:val="212121"/>
          <w:spacing w:val="-15"/>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review.</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IUP</w:t>
      </w:r>
      <w:r>
        <w:rPr>
          <w:rFonts w:ascii="Times New Roman" w:hAnsi="Times New Roman" w:cs="Times New Roman" w:eastAsia="Times New Roman"/>
          <w:i/>
          <w:color w:val="212121"/>
          <w:spacing w:val="-6"/>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Journal</w:t>
      </w:r>
      <w:r>
        <w:rPr>
          <w:rFonts w:ascii="Times New Roman" w:hAnsi="Times New Roman" w:cs="Times New Roman" w:eastAsia="Times New Roman"/>
          <w:i/>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of Soft</w:t>
      </w:r>
      <w:r>
        <w:rPr>
          <w:rFonts w:ascii="Times New Roman" w:hAnsi="Times New Roman" w:cs="Times New Roman" w:eastAsia="Times New Roman"/>
          <w:i/>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Skills</w:t>
      </w:r>
      <w:r>
        <w:rPr>
          <w:rFonts w:ascii="Times New Roman" w:hAnsi="Times New Roman" w:cs="Times New Roman" w:eastAsia="Times New Roman"/>
          <w:color w:val="212121"/>
          <w:spacing w:val="0"/>
          <w:position w:val="0"/>
          <w:sz w:val="24"/>
          <w:shd w:fill="auto" w:val="clear"/>
        </w:rPr>
        <w:t xml:space="preserve">,</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12</w:t>
      </w:r>
      <w:r>
        <w:rPr>
          <w:rFonts w:ascii="Times New Roman" w:hAnsi="Times New Roman" w:cs="Times New Roman" w:eastAsia="Times New Roman"/>
          <w:color w:val="212121"/>
          <w:spacing w:val="0"/>
          <w:position w:val="0"/>
          <w:sz w:val="24"/>
          <w:shd w:fill="auto" w:val="clear"/>
        </w:rPr>
        <w:t xml:space="preserve">(2), pp.7-24.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Evans, P., 2019. </w:t>
      </w:r>
      <w:r>
        <w:rPr>
          <w:rFonts w:ascii="Times New Roman" w:hAnsi="Times New Roman" w:cs="Times New Roman" w:eastAsia="Times New Roman"/>
          <w:i/>
          <w:color w:val="auto"/>
          <w:spacing w:val="0"/>
          <w:position w:val="0"/>
          <w:sz w:val="24"/>
          <w:shd w:fill="auto" w:val="clear"/>
        </w:rPr>
        <w:t xml:space="preserve">Motivation.</w:t>
      </w:r>
      <w:r>
        <w:rPr>
          <w:rFonts w:ascii="Times New Roman" w:hAnsi="Times New Roman" w:cs="Times New Roman" w:eastAsia="Times New Roman"/>
          <w:color w:val="auto"/>
          <w:spacing w:val="0"/>
          <w:position w:val="0"/>
          <w:sz w:val="24"/>
          <w:shd w:fill="auto" w:val="clear"/>
        </w:rPr>
        <w:t xml:space="preserve"> Psychology Press.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12121"/>
          <w:spacing w:val="-1"/>
          <w:position w:val="0"/>
          <w:sz w:val="24"/>
          <w:shd w:fill="auto" w:val="clear"/>
        </w:rPr>
        <w:t xml:space="preserve">Griffin, M. and Coelhoso, P., 2018. Business students’ perspectives </w:t>
      </w:r>
      <w:r>
        <w:rPr>
          <w:rFonts w:ascii="Times New Roman" w:hAnsi="Times New Roman" w:cs="Times New Roman" w:eastAsia="Times New Roman"/>
          <w:color w:val="212121"/>
          <w:spacing w:val="0"/>
          <w:position w:val="0"/>
          <w:sz w:val="24"/>
          <w:shd w:fill="auto" w:val="clear"/>
        </w:rPr>
        <w:t xml:space="preserve">on employability skills</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post</w:t>
      </w:r>
      <w:r>
        <w:rPr>
          <w:rFonts w:ascii="Times New Roman" w:hAnsi="Times New Roman" w:cs="Times New Roman" w:eastAsia="Times New Roman"/>
          <w:color w:val="212121"/>
          <w:spacing w:val="-5"/>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internship</w:t>
      </w:r>
      <w:r>
        <w:rPr>
          <w:rFonts w:ascii="Times New Roman" w:hAnsi="Times New Roman" w:cs="Times New Roman" w:eastAsia="Times New Roman"/>
          <w:color w:val="212121"/>
          <w:spacing w:val="-4"/>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experience:</w:t>
      </w:r>
      <w:r>
        <w:rPr>
          <w:rFonts w:ascii="Times New Roman" w:hAnsi="Times New Roman" w:cs="Times New Roman" w:eastAsia="Times New Roman"/>
          <w:color w:val="212121"/>
          <w:spacing w:val="-5"/>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lessons</w:t>
      </w:r>
      <w:r>
        <w:rPr>
          <w:rFonts w:ascii="Times New Roman" w:hAnsi="Times New Roman" w:cs="Times New Roman" w:eastAsia="Times New Roman"/>
          <w:color w:val="212121"/>
          <w:spacing w:val="-3"/>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from</w:t>
      </w:r>
      <w:r>
        <w:rPr>
          <w:rFonts w:ascii="Times New Roman" w:hAnsi="Times New Roman" w:cs="Times New Roman" w:eastAsia="Times New Roman"/>
          <w:color w:val="212121"/>
          <w:spacing w:val="-5"/>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the</w:t>
      </w:r>
      <w:r>
        <w:rPr>
          <w:rFonts w:ascii="Times New Roman" w:hAnsi="Times New Roman" w:cs="Times New Roman" w:eastAsia="Times New Roman"/>
          <w:color w:val="212121"/>
          <w:spacing w:val="-3"/>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UAE.</w:t>
      </w:r>
      <w:r>
        <w:rPr>
          <w:rFonts w:ascii="Times New Roman" w:hAnsi="Times New Roman" w:cs="Times New Roman" w:eastAsia="Times New Roman"/>
          <w:color w:val="212121"/>
          <w:spacing w:val="-4"/>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Higher</w:t>
      </w:r>
      <w:r>
        <w:rPr>
          <w:rFonts w:ascii="Times New Roman" w:hAnsi="Times New Roman" w:cs="Times New Roman" w:eastAsia="Times New Roman"/>
          <w:i/>
          <w:color w:val="212121"/>
          <w:spacing w:val="-4"/>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Education,</w:t>
      </w:r>
      <w:r>
        <w:rPr>
          <w:rFonts w:ascii="Times New Roman" w:hAnsi="Times New Roman" w:cs="Times New Roman" w:eastAsia="Times New Roman"/>
          <w:i/>
          <w:color w:val="212121"/>
          <w:spacing w:val="-3"/>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Skills</w:t>
      </w:r>
      <w:r>
        <w:rPr>
          <w:rFonts w:ascii="Times New Roman" w:hAnsi="Times New Roman" w:cs="Times New Roman" w:eastAsia="Times New Roman"/>
          <w:i/>
          <w:color w:val="212121"/>
          <w:spacing w:val="-4"/>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and</w:t>
      </w:r>
      <w:r>
        <w:rPr>
          <w:rFonts w:ascii="Times New Roman" w:hAnsi="Times New Roman" w:cs="Times New Roman" w:eastAsia="Times New Roman"/>
          <w:i/>
          <w:color w:val="212121"/>
          <w:spacing w:val="-4"/>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Work-Based</w:t>
      </w:r>
      <w:r>
        <w:rPr>
          <w:rFonts w:ascii="Times New Roman" w:hAnsi="Times New Roman" w:cs="Times New Roman" w:eastAsia="Times New Roman"/>
          <w:i/>
          <w:color w:val="212121"/>
          <w:spacing w:val="-57"/>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Learning</w:t>
      </w:r>
      <w:r>
        <w:rPr>
          <w:rFonts w:ascii="Times New Roman" w:hAnsi="Times New Roman" w:cs="Times New Roman" w:eastAsia="Times New Roman"/>
          <w:color w:val="212121"/>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212121"/>
          <w:spacing w:val="0"/>
          <w:position w:val="0"/>
          <w:sz w:val="24"/>
          <w:shd w:fill="auto" w:val="clear"/>
        </w:rPr>
      </w:pPr>
      <w:r>
        <w:rPr>
          <w:rFonts w:ascii="Times New Roman" w:hAnsi="Times New Roman" w:cs="Times New Roman" w:eastAsia="Times New Roman"/>
          <w:color w:val="212121"/>
          <w:spacing w:val="-1"/>
          <w:position w:val="0"/>
          <w:sz w:val="24"/>
          <w:shd w:fill="auto" w:val="clear"/>
        </w:rPr>
        <w:t xml:space="preserve">Keiper,</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M.C.,</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Sieszputowski,</w:t>
      </w:r>
      <w:r>
        <w:rPr>
          <w:rFonts w:ascii="Times New Roman" w:hAnsi="Times New Roman" w:cs="Times New Roman" w:eastAsia="Times New Roman"/>
          <w:color w:val="212121"/>
          <w:spacing w:val="0"/>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J.,</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Morgan,</w:t>
      </w:r>
      <w:r>
        <w:rPr>
          <w:rFonts w:ascii="Times New Roman" w:hAnsi="Times New Roman" w:cs="Times New Roman" w:eastAsia="Times New Roman"/>
          <w:color w:val="212121"/>
          <w:spacing w:val="-5"/>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T.</w:t>
      </w:r>
      <w:r>
        <w:rPr>
          <w:rFonts w:ascii="Times New Roman" w:hAnsi="Times New Roman" w:cs="Times New Roman" w:eastAsia="Times New Roman"/>
          <w:color w:val="212121"/>
          <w:spacing w:val="2"/>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and</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Mackey,</w:t>
      </w:r>
      <w:r>
        <w:rPr>
          <w:rFonts w:ascii="Times New Roman" w:hAnsi="Times New Roman" w:cs="Times New Roman" w:eastAsia="Times New Roman"/>
          <w:color w:val="212121"/>
          <w:spacing w:val="0"/>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M.J.,</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2019.</w:t>
      </w:r>
      <w:r>
        <w:rPr>
          <w:rFonts w:ascii="Times New Roman" w:hAnsi="Times New Roman" w:cs="Times New Roman" w:eastAsia="Times New Roman"/>
          <w:color w:val="212121"/>
          <w:spacing w:val="0"/>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Employability</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1"/>
          <w:position w:val="0"/>
          <w:sz w:val="24"/>
          <w:shd w:fill="auto" w:val="clear"/>
        </w:rPr>
        <w:t xml:space="preserve">Skills:</w:t>
      </w:r>
      <w:r>
        <w:rPr>
          <w:rFonts w:ascii="Times New Roman" w:hAnsi="Times New Roman" w:cs="Times New Roman" w:eastAsia="Times New Roman"/>
          <w:color w:val="212121"/>
          <w:spacing w:val="-15"/>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A</w:t>
      </w:r>
      <w:r>
        <w:rPr>
          <w:rFonts w:ascii="Times New Roman" w:hAnsi="Times New Roman" w:cs="Times New Roman" w:eastAsia="Times New Roman"/>
          <w:color w:val="212121"/>
          <w:spacing w:val="-57"/>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Case Study on a Business-Oriented Sport Management Program. </w:t>
      </w:r>
      <w:r>
        <w:rPr>
          <w:rFonts w:ascii="Times New Roman" w:hAnsi="Times New Roman" w:cs="Times New Roman" w:eastAsia="Times New Roman"/>
          <w:i/>
          <w:color w:val="212121"/>
          <w:spacing w:val="0"/>
          <w:position w:val="0"/>
          <w:sz w:val="24"/>
          <w:shd w:fill="auto" w:val="clear"/>
        </w:rPr>
        <w:t xml:space="preserve">e-Journal of Business</w:t>
      </w:r>
      <w:r>
        <w:rPr>
          <w:rFonts w:ascii="Times New Roman" w:hAnsi="Times New Roman" w:cs="Times New Roman" w:eastAsia="Times New Roman"/>
          <w:i/>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Education and Scholarship of</w:t>
      </w:r>
      <w:r>
        <w:rPr>
          <w:rFonts w:ascii="Times New Roman" w:hAnsi="Times New Roman" w:cs="Times New Roman" w:eastAsia="Times New Roman"/>
          <w:i/>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Teaching</w:t>
      </w:r>
      <w:r>
        <w:rPr>
          <w:rFonts w:ascii="Times New Roman" w:hAnsi="Times New Roman" w:cs="Times New Roman" w:eastAsia="Times New Roman"/>
          <w:color w:val="212121"/>
          <w:spacing w:val="0"/>
          <w:position w:val="0"/>
          <w:sz w:val="24"/>
          <w:shd w:fill="auto" w:val="clear"/>
        </w:rPr>
        <w:t xml:space="preserve">,</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13</w:t>
      </w:r>
      <w:r>
        <w:rPr>
          <w:rFonts w:ascii="Times New Roman" w:hAnsi="Times New Roman" w:cs="Times New Roman" w:eastAsia="Times New Roman"/>
          <w:color w:val="212121"/>
          <w:spacing w:val="0"/>
          <w:position w:val="0"/>
          <w:sz w:val="24"/>
          <w:shd w:fill="auto" w:val="clear"/>
        </w:rPr>
        <w:t xml:space="preserve">(1), pp.59-68.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Long, R., 2015. </w:t>
      </w:r>
      <w:r>
        <w:rPr>
          <w:rFonts w:ascii="Times New Roman" w:hAnsi="Times New Roman" w:cs="Times New Roman" w:eastAsia="Times New Roman"/>
          <w:i/>
          <w:color w:val="auto"/>
          <w:spacing w:val="0"/>
          <w:position w:val="0"/>
          <w:sz w:val="24"/>
          <w:shd w:fill="auto" w:val="clear"/>
        </w:rPr>
        <w:t xml:space="preserve">Motivation</w:t>
      </w:r>
      <w:r>
        <w:rPr>
          <w:rFonts w:ascii="Times New Roman" w:hAnsi="Times New Roman" w:cs="Times New Roman" w:eastAsia="Times New Roman"/>
          <w:color w:val="auto"/>
          <w:spacing w:val="0"/>
          <w:position w:val="0"/>
          <w:sz w:val="24"/>
          <w:shd w:fill="auto" w:val="clear"/>
        </w:rPr>
        <w:t xml:space="preserve">. London: David Fulton Publishers.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12121"/>
          <w:spacing w:val="0"/>
          <w:position w:val="0"/>
          <w:sz w:val="24"/>
          <w:shd w:fill="auto" w:val="clear"/>
        </w:rPr>
        <w:t xml:space="preserve">Osmani,</w:t>
      </w:r>
      <w:r>
        <w:rPr>
          <w:rFonts w:ascii="Times New Roman" w:hAnsi="Times New Roman" w:cs="Times New Roman" w:eastAsia="Times New Roman"/>
          <w:color w:val="212121"/>
          <w:spacing w:val="-9"/>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M.,</w:t>
      </w:r>
      <w:r>
        <w:rPr>
          <w:rFonts w:ascii="Times New Roman" w:hAnsi="Times New Roman" w:cs="Times New Roman" w:eastAsia="Times New Roman"/>
          <w:color w:val="212121"/>
          <w:spacing w:val="-13"/>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Weerakkody,</w:t>
      </w:r>
      <w:r>
        <w:rPr>
          <w:rFonts w:ascii="Times New Roman" w:hAnsi="Times New Roman" w:cs="Times New Roman" w:eastAsia="Times New Roman"/>
          <w:color w:val="212121"/>
          <w:spacing w:val="-13"/>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V.,</w:t>
      </w:r>
      <w:r>
        <w:rPr>
          <w:rFonts w:ascii="Times New Roman" w:hAnsi="Times New Roman" w:cs="Times New Roman" w:eastAsia="Times New Roman"/>
          <w:color w:val="212121"/>
          <w:spacing w:val="-9"/>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Hindi,</w:t>
      </w:r>
      <w:r>
        <w:rPr>
          <w:rFonts w:ascii="Times New Roman" w:hAnsi="Times New Roman" w:cs="Times New Roman" w:eastAsia="Times New Roman"/>
          <w:color w:val="212121"/>
          <w:spacing w:val="-9"/>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N.</w:t>
      </w:r>
      <w:r>
        <w:rPr>
          <w:rFonts w:ascii="Times New Roman" w:hAnsi="Times New Roman" w:cs="Times New Roman" w:eastAsia="Times New Roman"/>
          <w:color w:val="212121"/>
          <w:spacing w:val="-9"/>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and</w:t>
      </w:r>
      <w:r>
        <w:rPr>
          <w:rFonts w:ascii="Times New Roman" w:hAnsi="Times New Roman" w:cs="Times New Roman" w:eastAsia="Times New Roman"/>
          <w:color w:val="212121"/>
          <w:spacing w:val="-9"/>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Eldabi,</w:t>
      </w:r>
      <w:r>
        <w:rPr>
          <w:rFonts w:ascii="Times New Roman" w:hAnsi="Times New Roman" w:cs="Times New Roman" w:eastAsia="Times New Roman"/>
          <w:color w:val="212121"/>
          <w:spacing w:val="-13"/>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T.,</w:t>
      </w:r>
      <w:r>
        <w:rPr>
          <w:rFonts w:ascii="Times New Roman" w:hAnsi="Times New Roman" w:cs="Times New Roman" w:eastAsia="Times New Roman"/>
          <w:color w:val="212121"/>
          <w:spacing w:val="-9"/>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2019.</w:t>
      </w:r>
      <w:r>
        <w:rPr>
          <w:rFonts w:ascii="Times New Roman" w:hAnsi="Times New Roman" w:cs="Times New Roman" w:eastAsia="Times New Roman"/>
          <w:color w:val="212121"/>
          <w:spacing w:val="-9"/>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Graduates</w:t>
      </w:r>
      <w:r>
        <w:rPr>
          <w:rFonts w:ascii="Times New Roman" w:hAnsi="Times New Roman" w:cs="Times New Roman" w:eastAsia="Times New Roman"/>
          <w:color w:val="212121"/>
          <w:spacing w:val="-9"/>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employability</w:t>
      </w:r>
      <w:r>
        <w:rPr>
          <w:rFonts w:ascii="Times New Roman" w:hAnsi="Times New Roman" w:cs="Times New Roman" w:eastAsia="Times New Roman"/>
          <w:color w:val="212121"/>
          <w:spacing w:val="-9"/>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skills:</w:t>
      </w:r>
      <w:r>
        <w:rPr>
          <w:rFonts w:ascii="Times New Roman" w:hAnsi="Times New Roman" w:cs="Times New Roman" w:eastAsia="Times New Roman"/>
          <w:color w:val="212121"/>
          <w:spacing w:val="-57"/>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A review of literature against market demand. </w:t>
      </w:r>
      <w:r>
        <w:rPr>
          <w:rFonts w:ascii="Times New Roman" w:hAnsi="Times New Roman" w:cs="Times New Roman" w:eastAsia="Times New Roman"/>
          <w:i/>
          <w:color w:val="212121"/>
          <w:spacing w:val="0"/>
          <w:position w:val="0"/>
          <w:sz w:val="24"/>
          <w:shd w:fill="auto" w:val="clear"/>
        </w:rPr>
        <w:t xml:space="preserve">Journal of Education for Business</w:t>
      </w:r>
      <w:r>
        <w:rPr>
          <w:rFonts w:ascii="Times New Roman" w:hAnsi="Times New Roman" w:cs="Times New Roman" w:eastAsia="Times New Roman"/>
          <w:color w:val="212121"/>
          <w:spacing w:val="0"/>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94</w:t>
      </w:r>
      <w:r>
        <w:rPr>
          <w:rFonts w:ascii="Times New Roman" w:hAnsi="Times New Roman" w:cs="Times New Roman" w:eastAsia="Times New Roman"/>
          <w:color w:val="212121"/>
          <w:spacing w:val="0"/>
          <w:position w:val="0"/>
          <w:sz w:val="24"/>
          <w:shd w:fill="auto" w:val="clear"/>
        </w:rPr>
        <w:t xml:space="preserve">(7),</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pp.423-432.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12121"/>
          <w:spacing w:val="-1"/>
          <w:position w:val="0"/>
          <w:sz w:val="24"/>
          <w:shd w:fill="auto" w:val="clear"/>
        </w:rPr>
        <w:t xml:space="preserve">Sarkar, M., Overton, T., Thompson, C.D. and Rayner, G., 2020. Academics’ perspectives </w:t>
      </w:r>
      <w:r>
        <w:rPr>
          <w:rFonts w:ascii="Times New Roman" w:hAnsi="Times New Roman" w:cs="Times New Roman" w:eastAsia="Times New Roman"/>
          <w:color w:val="212121"/>
          <w:spacing w:val="0"/>
          <w:position w:val="0"/>
          <w:sz w:val="24"/>
          <w:shd w:fill="auto" w:val="clear"/>
        </w:rPr>
        <w:t xml:space="preserve">of</w:t>
      </w:r>
      <w:r>
        <w:rPr>
          <w:rFonts w:ascii="Times New Roman" w:hAnsi="Times New Roman" w:cs="Times New Roman" w:eastAsia="Times New Roman"/>
          <w:color w:val="212121"/>
          <w:spacing w:val="-57"/>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the teaching and development of generic employability skills in science curricula. </w:t>
      </w:r>
      <w:r>
        <w:rPr>
          <w:rFonts w:ascii="Times New Roman" w:hAnsi="Times New Roman" w:cs="Times New Roman" w:eastAsia="Times New Roman"/>
          <w:i/>
          <w:color w:val="212121"/>
          <w:spacing w:val="0"/>
          <w:position w:val="0"/>
          <w:sz w:val="24"/>
          <w:shd w:fill="auto" w:val="clear"/>
        </w:rPr>
        <w:t xml:space="preserve">Higher</w:t>
      </w:r>
      <w:r>
        <w:rPr>
          <w:rFonts w:ascii="Times New Roman" w:hAnsi="Times New Roman" w:cs="Times New Roman" w:eastAsia="Times New Roman"/>
          <w:i/>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Education Research</w:t>
      </w:r>
      <w:r>
        <w:rPr>
          <w:rFonts w:ascii="Times New Roman" w:hAnsi="Times New Roman" w:cs="Times New Roman" w:eastAsia="Times New Roman"/>
          <w:i/>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&amp;</w:t>
      </w:r>
      <w:r>
        <w:rPr>
          <w:rFonts w:ascii="Times New Roman" w:hAnsi="Times New Roman" w:cs="Times New Roman" w:eastAsia="Times New Roman"/>
          <w:i/>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Development</w:t>
      </w:r>
      <w:r>
        <w:rPr>
          <w:rFonts w:ascii="Times New Roman" w:hAnsi="Times New Roman" w:cs="Times New Roman" w:eastAsia="Times New Roman"/>
          <w:color w:val="212121"/>
          <w:spacing w:val="0"/>
          <w:position w:val="0"/>
          <w:sz w:val="24"/>
          <w:shd w:fill="auto" w:val="clear"/>
        </w:rPr>
        <w:t xml:space="preserve">,</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39</w:t>
      </w:r>
      <w:r>
        <w:rPr>
          <w:rFonts w:ascii="Times New Roman" w:hAnsi="Times New Roman" w:cs="Times New Roman" w:eastAsia="Times New Roman"/>
          <w:color w:val="212121"/>
          <w:spacing w:val="0"/>
          <w:position w:val="0"/>
          <w:sz w:val="24"/>
          <w:shd w:fill="auto" w:val="clear"/>
        </w:rPr>
        <w:t xml:space="preserve">(2), pp.346-361.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Satinoff, E., 2014. </w:t>
      </w:r>
      <w:r>
        <w:rPr>
          <w:rFonts w:ascii="Times New Roman" w:hAnsi="Times New Roman" w:cs="Times New Roman" w:eastAsia="Times New Roman"/>
          <w:i/>
          <w:color w:val="auto"/>
          <w:spacing w:val="0"/>
          <w:position w:val="0"/>
          <w:sz w:val="24"/>
          <w:shd w:fill="auto" w:val="clear"/>
        </w:rPr>
        <w:t xml:space="preserve">Motivation.</w:t>
      </w:r>
      <w:r>
        <w:rPr>
          <w:rFonts w:ascii="Times New Roman" w:hAnsi="Times New Roman" w:cs="Times New Roman" w:eastAsia="Times New Roman"/>
          <w:color w:val="auto"/>
          <w:spacing w:val="0"/>
          <w:position w:val="0"/>
          <w:sz w:val="24"/>
          <w:shd w:fill="auto" w:val="clear"/>
        </w:rPr>
        <w:t xml:space="preserve"> Springer.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12121"/>
          <w:spacing w:val="0"/>
          <w:position w:val="0"/>
          <w:sz w:val="24"/>
          <w:shd w:fill="auto" w:val="clear"/>
        </w:rPr>
        <w:t xml:space="preserve">Suarta, I.M., Suwintana, I.K., Sudhana, I.F.P. and Hariyanti, N.K.D., 2018. Employability</w:t>
      </w:r>
      <w:r>
        <w:rPr>
          <w:rFonts w:ascii="Times New Roman" w:hAnsi="Times New Roman" w:cs="Times New Roman" w:eastAsia="Times New Roman"/>
          <w:color w:val="212121"/>
          <w:spacing w:val="1"/>
          <w:position w:val="0"/>
          <w:sz w:val="24"/>
          <w:shd w:fill="auto" w:val="clear"/>
        </w:rPr>
        <w:t xml:space="preserve"> </w:t>
      </w:r>
      <w:r>
        <w:rPr>
          <w:rFonts w:ascii="Times New Roman" w:hAnsi="Times New Roman" w:cs="Times New Roman" w:eastAsia="Times New Roman"/>
          <w:color w:val="212121"/>
          <w:spacing w:val="0"/>
          <w:position w:val="0"/>
          <w:sz w:val="24"/>
          <w:shd w:fill="auto" w:val="clear"/>
        </w:rPr>
        <w:t xml:space="preserve">skills for entry level workers: a content analysis of job advertisements in Indonesia. </w:t>
      </w:r>
      <w:r>
        <w:rPr>
          <w:rFonts w:ascii="Times New Roman" w:hAnsi="Times New Roman" w:cs="Times New Roman" w:eastAsia="Times New Roman"/>
          <w:i/>
          <w:color w:val="212121"/>
          <w:spacing w:val="0"/>
          <w:position w:val="0"/>
          <w:sz w:val="24"/>
          <w:shd w:fill="auto" w:val="clear"/>
        </w:rPr>
        <w:t xml:space="preserve">Journal</w:t>
      </w:r>
      <w:r>
        <w:rPr>
          <w:rFonts w:ascii="Times New Roman" w:hAnsi="Times New Roman" w:cs="Times New Roman" w:eastAsia="Times New Roman"/>
          <w:i/>
          <w:color w:val="212121"/>
          <w:spacing w:val="-57"/>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of Technical Education and</w:t>
      </w:r>
      <w:r>
        <w:rPr>
          <w:rFonts w:ascii="Times New Roman" w:hAnsi="Times New Roman" w:cs="Times New Roman" w:eastAsia="Times New Roman"/>
          <w:i/>
          <w:color w:val="212121"/>
          <w:spacing w:val="-1"/>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Training</w:t>
      </w:r>
      <w:r>
        <w:rPr>
          <w:rFonts w:ascii="Times New Roman" w:hAnsi="Times New Roman" w:cs="Times New Roman" w:eastAsia="Times New Roman"/>
          <w:color w:val="212121"/>
          <w:spacing w:val="0"/>
          <w:position w:val="0"/>
          <w:sz w:val="24"/>
          <w:shd w:fill="auto" w:val="clear"/>
        </w:rPr>
        <w:t xml:space="preserve">, </w:t>
      </w:r>
      <w:r>
        <w:rPr>
          <w:rFonts w:ascii="Times New Roman" w:hAnsi="Times New Roman" w:cs="Times New Roman" w:eastAsia="Times New Roman"/>
          <w:i/>
          <w:color w:val="212121"/>
          <w:spacing w:val="0"/>
          <w:position w:val="0"/>
          <w:sz w:val="24"/>
          <w:shd w:fill="auto" w:val="clear"/>
        </w:rPr>
        <w:t xml:space="preserve">10</w:t>
      </w:r>
      <w:r>
        <w:rPr>
          <w:rFonts w:ascii="Times New Roman" w:hAnsi="Times New Roman" w:cs="Times New Roman" w:eastAsia="Times New Roman"/>
          <w:color w:val="212121"/>
          <w:spacing w:val="0"/>
          <w:position w:val="0"/>
          <w:sz w:val="24"/>
          <w:shd w:fill="auto" w:val="clear"/>
        </w:rPr>
        <w:t xml:space="preserve">(2).</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