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7DF9EB"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41959C68"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028B2077"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132BDADB"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4E627534"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06C0DEDA"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0C962D61"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55844338" w14:textId="77777777" w:rsidR="00CF119C" w:rsidRDefault="00CF119C" w:rsidP="00F702B6">
      <w:pPr>
        <w:spacing w:after="160" w:line="259" w:lineRule="auto"/>
        <w:jc w:val="center"/>
        <w:rPr>
          <w:rFonts w:eastAsia="Times New Roman" w:cs="Times New Roman"/>
          <w:b/>
          <w:bCs/>
          <w:color w:val="000000" w:themeColor="text1"/>
          <w:sz w:val="32"/>
          <w:szCs w:val="32"/>
          <w:lang w:val="en-GB" w:bidi="bn-IN"/>
        </w:rPr>
      </w:pPr>
    </w:p>
    <w:p w14:paraId="1C0CBBE1" w14:textId="7857A5E5" w:rsidR="00F702B6" w:rsidRPr="00CF119C" w:rsidRDefault="00F702B6" w:rsidP="00F702B6">
      <w:pPr>
        <w:spacing w:after="160" w:line="259" w:lineRule="auto"/>
        <w:jc w:val="center"/>
        <w:rPr>
          <w:rFonts w:eastAsia="Times New Roman" w:cs="Times New Roman"/>
          <w:b/>
          <w:bCs/>
          <w:color w:val="000000" w:themeColor="text1"/>
          <w:sz w:val="32"/>
          <w:szCs w:val="32"/>
          <w:lang w:val="en-GB" w:bidi="bn-IN"/>
        </w:rPr>
      </w:pPr>
      <w:r w:rsidRPr="00CF119C">
        <w:rPr>
          <w:rFonts w:eastAsia="Times New Roman" w:cs="Times New Roman"/>
          <w:b/>
          <w:bCs/>
          <w:color w:val="000000" w:themeColor="text1"/>
          <w:sz w:val="32"/>
          <w:szCs w:val="32"/>
          <w:lang w:val="en-GB" w:bidi="bn-IN"/>
        </w:rPr>
        <w:t>TITLE OF THE MODULE- BMSW4001</w:t>
      </w:r>
    </w:p>
    <w:p w14:paraId="2F906DEC" w14:textId="77777777" w:rsidR="00F702B6" w:rsidRPr="00CF119C" w:rsidRDefault="00F702B6" w:rsidP="00F702B6">
      <w:pPr>
        <w:spacing w:after="160" w:line="259" w:lineRule="auto"/>
        <w:jc w:val="center"/>
        <w:rPr>
          <w:rFonts w:eastAsia="Times New Roman" w:cs="Times New Roman"/>
          <w:b/>
          <w:bCs/>
          <w:color w:val="000000" w:themeColor="text1"/>
          <w:sz w:val="32"/>
          <w:szCs w:val="32"/>
          <w:lang w:val="en-GB" w:bidi="bn-IN"/>
        </w:rPr>
      </w:pPr>
      <w:r w:rsidRPr="00CF119C">
        <w:rPr>
          <w:rFonts w:eastAsia="Times New Roman" w:cs="Times New Roman"/>
          <w:b/>
          <w:bCs/>
          <w:color w:val="000000" w:themeColor="text1"/>
          <w:sz w:val="32"/>
          <w:szCs w:val="32"/>
          <w:lang w:val="en-GB" w:bidi="bn-IN"/>
        </w:rPr>
        <w:t>TITLE OF THE ASSIGNMENT- ACADEMIC AND EMPLOYABILITY SKILLS</w:t>
      </w:r>
    </w:p>
    <w:p w14:paraId="52D5BFA4" w14:textId="31D0F671" w:rsidR="00F702B6" w:rsidRPr="00CF119C" w:rsidRDefault="00F702B6" w:rsidP="00F702B6">
      <w:pPr>
        <w:spacing w:after="160" w:line="259" w:lineRule="auto"/>
        <w:jc w:val="center"/>
        <w:rPr>
          <w:rFonts w:eastAsia="Times New Roman" w:cs="Times New Roman"/>
          <w:b/>
          <w:bCs/>
          <w:color w:val="000000" w:themeColor="text1"/>
          <w:sz w:val="32"/>
          <w:szCs w:val="32"/>
          <w:lang w:val="en-GB" w:bidi="bn-IN"/>
        </w:rPr>
      </w:pPr>
      <w:r w:rsidRPr="00CF119C">
        <w:rPr>
          <w:rFonts w:eastAsia="Times New Roman" w:cs="Times New Roman"/>
          <w:b/>
          <w:bCs/>
          <w:color w:val="000000" w:themeColor="text1"/>
          <w:sz w:val="32"/>
          <w:szCs w:val="32"/>
          <w:lang w:val="en-GB" w:bidi="bn-IN"/>
        </w:rPr>
        <w:t>STUDENT NAME-</w:t>
      </w:r>
      <w:r w:rsidR="00CF6EC6">
        <w:rPr>
          <w:rFonts w:eastAsia="Times New Roman" w:cs="Times New Roman"/>
          <w:b/>
          <w:bCs/>
          <w:color w:val="000000" w:themeColor="text1"/>
          <w:sz w:val="32"/>
          <w:szCs w:val="32"/>
          <w:lang w:val="en-GB" w:bidi="bn-IN"/>
        </w:rPr>
        <w:t xml:space="preserve"> Vasile Cibotariu</w:t>
      </w:r>
    </w:p>
    <w:p w14:paraId="6D25C64D" w14:textId="7DA9017D" w:rsidR="00F702B6" w:rsidRPr="00CF119C" w:rsidRDefault="00F702B6" w:rsidP="00F702B6">
      <w:pPr>
        <w:spacing w:after="160" w:line="259" w:lineRule="auto"/>
        <w:jc w:val="center"/>
        <w:rPr>
          <w:rFonts w:eastAsia="Times New Roman" w:cs="Times New Roman"/>
          <w:b/>
          <w:bCs/>
          <w:color w:val="000000" w:themeColor="text1"/>
          <w:sz w:val="32"/>
          <w:szCs w:val="32"/>
          <w:lang w:val="en-GB" w:bidi="bn-IN"/>
        </w:rPr>
      </w:pPr>
      <w:r w:rsidRPr="00CF119C">
        <w:rPr>
          <w:rFonts w:eastAsia="Times New Roman" w:cs="Times New Roman"/>
          <w:b/>
          <w:bCs/>
          <w:color w:val="000000" w:themeColor="text1"/>
          <w:sz w:val="32"/>
          <w:szCs w:val="32"/>
          <w:lang w:val="en-GB" w:bidi="bn-IN"/>
        </w:rPr>
        <w:t>STUDENT NUMBER-</w:t>
      </w:r>
      <w:r w:rsidR="00CF6EC6">
        <w:rPr>
          <w:rFonts w:eastAsia="Times New Roman" w:cs="Times New Roman"/>
          <w:b/>
          <w:bCs/>
          <w:color w:val="000000" w:themeColor="text1"/>
          <w:sz w:val="32"/>
          <w:szCs w:val="32"/>
          <w:lang w:val="en-GB" w:bidi="bn-IN"/>
        </w:rPr>
        <w:t xml:space="preserve"> 1921333</w:t>
      </w:r>
    </w:p>
    <w:p w14:paraId="5D355C00" w14:textId="7EB185C8" w:rsidR="00F702B6" w:rsidRDefault="00F702B6" w:rsidP="00F702B6">
      <w:pPr>
        <w:spacing w:after="160" w:line="259" w:lineRule="auto"/>
        <w:jc w:val="center"/>
        <w:rPr>
          <w:rFonts w:eastAsia="Times New Roman" w:cs="Times New Roman"/>
          <w:b/>
          <w:bCs/>
          <w:color w:val="000000" w:themeColor="text1"/>
          <w:sz w:val="32"/>
          <w:szCs w:val="32"/>
          <w:lang w:val="en-GB" w:bidi="bn-IN"/>
        </w:rPr>
      </w:pPr>
      <w:r w:rsidRPr="00CF119C">
        <w:rPr>
          <w:rFonts w:eastAsia="Times New Roman" w:cs="Times New Roman"/>
          <w:b/>
          <w:bCs/>
          <w:color w:val="000000" w:themeColor="text1"/>
          <w:sz w:val="32"/>
          <w:szCs w:val="32"/>
          <w:lang w:val="en-GB" w:bidi="bn-IN"/>
        </w:rPr>
        <w:t>MODULE LECTURER-</w:t>
      </w:r>
      <w:r w:rsidR="00CF6EC6">
        <w:rPr>
          <w:rFonts w:eastAsia="Times New Roman" w:cs="Times New Roman"/>
          <w:b/>
          <w:bCs/>
          <w:color w:val="000000" w:themeColor="text1"/>
          <w:sz w:val="32"/>
          <w:szCs w:val="32"/>
          <w:lang w:val="en-GB" w:bidi="bn-IN"/>
        </w:rPr>
        <w:t xml:space="preserve"> PETER ALLEN</w:t>
      </w:r>
    </w:p>
    <w:p w14:paraId="7B66358D" w14:textId="408A2A50" w:rsidR="00CF6EC6" w:rsidRPr="00CF119C" w:rsidRDefault="00CF6EC6" w:rsidP="00F702B6">
      <w:pPr>
        <w:spacing w:after="160" w:line="259" w:lineRule="auto"/>
        <w:jc w:val="center"/>
        <w:rPr>
          <w:rFonts w:eastAsia="Times New Roman" w:cs="Times New Roman"/>
          <w:b/>
          <w:bCs/>
          <w:color w:val="000000" w:themeColor="text1"/>
          <w:sz w:val="32"/>
          <w:szCs w:val="32"/>
          <w:lang w:val="en-GB" w:bidi="bn-IN"/>
        </w:rPr>
      </w:pPr>
      <w:r>
        <w:rPr>
          <w:rFonts w:eastAsia="Times New Roman" w:cs="Times New Roman"/>
          <w:b/>
          <w:bCs/>
          <w:color w:val="000000" w:themeColor="text1"/>
          <w:sz w:val="32"/>
          <w:szCs w:val="32"/>
          <w:lang w:val="en-GB" w:bidi="bn-IN"/>
        </w:rPr>
        <w:t>August 2020</w:t>
      </w:r>
    </w:p>
    <w:p w14:paraId="7D52687B" w14:textId="77777777" w:rsidR="00CF119C" w:rsidRDefault="00CF119C" w:rsidP="00F702B6">
      <w:pPr>
        <w:spacing w:after="160" w:line="259" w:lineRule="auto"/>
        <w:jc w:val="left"/>
        <w:rPr>
          <w:rFonts w:eastAsia="Times New Roman" w:cs="Times New Roman"/>
          <w:b/>
          <w:bCs/>
          <w:color w:val="000000" w:themeColor="text1"/>
          <w:szCs w:val="24"/>
          <w:lang w:val="en-GB" w:bidi="bn-IN"/>
        </w:rPr>
      </w:pPr>
    </w:p>
    <w:p w14:paraId="719AD48A" w14:textId="77777777" w:rsidR="00CF119C" w:rsidRDefault="00CF119C" w:rsidP="00F702B6">
      <w:pPr>
        <w:spacing w:after="160" w:line="259" w:lineRule="auto"/>
        <w:jc w:val="left"/>
        <w:rPr>
          <w:rFonts w:eastAsia="Times New Roman" w:cs="Times New Roman"/>
          <w:b/>
          <w:bCs/>
          <w:color w:val="000000" w:themeColor="text1"/>
          <w:szCs w:val="24"/>
          <w:lang w:val="en-GB" w:bidi="bn-IN"/>
        </w:rPr>
      </w:pPr>
    </w:p>
    <w:p w14:paraId="2363BD3C" w14:textId="77777777" w:rsidR="00CF119C" w:rsidRDefault="00CF119C" w:rsidP="00F702B6">
      <w:pPr>
        <w:spacing w:after="160" w:line="259" w:lineRule="auto"/>
        <w:jc w:val="left"/>
        <w:rPr>
          <w:rFonts w:eastAsia="Times New Roman" w:cs="Times New Roman"/>
          <w:b/>
          <w:bCs/>
          <w:color w:val="000000" w:themeColor="text1"/>
          <w:szCs w:val="24"/>
          <w:lang w:val="en-GB" w:bidi="bn-IN"/>
        </w:rPr>
      </w:pPr>
    </w:p>
    <w:p w14:paraId="631758B8" w14:textId="5BD8B34F" w:rsidR="00F702B6" w:rsidRPr="00CF119C" w:rsidRDefault="00F702B6" w:rsidP="00F702B6">
      <w:pPr>
        <w:spacing w:after="160" w:line="259" w:lineRule="auto"/>
        <w:jc w:val="left"/>
        <w:rPr>
          <w:rFonts w:eastAsia="Times New Roman" w:cs="Times New Roman"/>
          <w:b/>
          <w:bCs/>
          <w:color w:val="000000" w:themeColor="text1"/>
          <w:szCs w:val="24"/>
          <w:lang w:val="en-GB" w:bidi="bn-IN"/>
        </w:rPr>
      </w:pPr>
      <w:r w:rsidRPr="00CF119C">
        <w:rPr>
          <w:rFonts w:eastAsia="Times New Roman" w:cs="Times New Roman"/>
          <w:b/>
          <w:bCs/>
          <w:color w:val="000000" w:themeColor="text1"/>
          <w:szCs w:val="24"/>
          <w:lang w:val="en-GB" w:bidi="bn-IN"/>
        </w:rPr>
        <w:t> </w:t>
      </w:r>
      <w:r w:rsidRPr="00CF119C">
        <w:rPr>
          <w:rFonts w:eastAsia="Times New Roman" w:cs="Times New Roman"/>
          <w:b/>
          <w:bCs/>
          <w:color w:val="000000" w:themeColor="text1"/>
          <w:szCs w:val="24"/>
          <w:lang w:val="en-GB" w:bidi="bn-IN"/>
        </w:rPr>
        <w:br w:type="page"/>
      </w:r>
    </w:p>
    <w:sdt>
      <w:sdtPr>
        <w:rPr>
          <w:rFonts w:ascii="Times New Roman" w:eastAsiaTheme="minorHAnsi" w:hAnsi="Times New Roman" w:cs="Times New Roman"/>
          <w:color w:val="000000" w:themeColor="text1"/>
          <w:sz w:val="24"/>
          <w:szCs w:val="24"/>
          <w:lang w:val="en-GB"/>
        </w:rPr>
        <w:id w:val="-1099476143"/>
        <w:docPartObj>
          <w:docPartGallery w:val="Table of Contents"/>
          <w:docPartUnique/>
        </w:docPartObj>
      </w:sdtPr>
      <w:sdtEndPr>
        <w:rPr>
          <w:b/>
          <w:bCs/>
          <w:noProof/>
        </w:rPr>
      </w:sdtEndPr>
      <w:sdtContent>
        <w:p w14:paraId="11B37A31" w14:textId="77777777" w:rsidR="00F702B6" w:rsidRPr="00CF119C" w:rsidRDefault="00F702B6" w:rsidP="00CF119C">
          <w:pPr>
            <w:pStyle w:val="TOCHeading"/>
            <w:jc w:val="center"/>
            <w:rPr>
              <w:rFonts w:ascii="Times New Roman" w:hAnsi="Times New Roman" w:cs="Times New Roman"/>
              <w:b/>
              <w:bCs/>
              <w:color w:val="000000" w:themeColor="text1"/>
              <w:sz w:val="28"/>
              <w:szCs w:val="28"/>
              <w:lang w:val="en-GB"/>
            </w:rPr>
          </w:pPr>
          <w:r w:rsidRPr="00CF119C">
            <w:rPr>
              <w:rFonts w:ascii="Times New Roman" w:hAnsi="Times New Roman" w:cs="Times New Roman"/>
              <w:b/>
              <w:bCs/>
              <w:color w:val="000000" w:themeColor="text1"/>
              <w:sz w:val="28"/>
              <w:szCs w:val="28"/>
              <w:lang w:val="en-GB"/>
            </w:rPr>
            <w:t>Table of Contents</w:t>
          </w:r>
        </w:p>
        <w:p w14:paraId="2D635A22" w14:textId="77777777" w:rsidR="00F702B6" w:rsidRPr="00CF119C" w:rsidRDefault="00F702B6">
          <w:pPr>
            <w:pStyle w:val="TOC1"/>
            <w:tabs>
              <w:tab w:val="right" w:leader="dot" w:pos="9350"/>
            </w:tabs>
            <w:rPr>
              <w:rFonts w:cs="Times New Roman"/>
              <w:noProof/>
              <w:color w:val="000000" w:themeColor="text1"/>
              <w:szCs w:val="24"/>
              <w:lang w:val="en-GB"/>
            </w:rPr>
          </w:pPr>
          <w:r w:rsidRPr="00CF119C">
            <w:rPr>
              <w:rFonts w:cs="Times New Roman"/>
              <w:color w:val="000000" w:themeColor="text1"/>
              <w:szCs w:val="24"/>
              <w:lang w:val="en-GB"/>
            </w:rPr>
            <w:fldChar w:fldCharType="begin"/>
          </w:r>
          <w:r w:rsidRPr="00CF119C">
            <w:rPr>
              <w:rFonts w:cs="Times New Roman"/>
              <w:color w:val="000000" w:themeColor="text1"/>
              <w:szCs w:val="24"/>
              <w:lang w:val="en-GB"/>
            </w:rPr>
            <w:instrText xml:space="preserve"> TOC \o "1-3" \h \z \u </w:instrText>
          </w:r>
          <w:r w:rsidRPr="00CF119C">
            <w:rPr>
              <w:rFonts w:cs="Times New Roman"/>
              <w:color w:val="000000" w:themeColor="text1"/>
              <w:szCs w:val="24"/>
              <w:lang w:val="en-GB"/>
            </w:rPr>
            <w:fldChar w:fldCharType="separate"/>
          </w:r>
          <w:hyperlink w:anchor="_Toc46590285" w:history="1">
            <w:r w:rsidRPr="00CF119C">
              <w:rPr>
                <w:rStyle w:val="Hyperlink"/>
                <w:rFonts w:eastAsia="Times New Roman" w:cs="Times New Roman"/>
                <w:noProof/>
                <w:color w:val="000000" w:themeColor="text1"/>
                <w:szCs w:val="24"/>
                <w:lang w:val="en-GB"/>
              </w:rPr>
              <w:t>Introduction</w:t>
            </w:r>
            <w:r w:rsidRPr="00CF119C">
              <w:rPr>
                <w:rFonts w:cs="Times New Roman"/>
                <w:noProof/>
                <w:webHidden/>
                <w:color w:val="000000" w:themeColor="text1"/>
                <w:szCs w:val="24"/>
                <w:lang w:val="en-GB"/>
              </w:rPr>
              <w:tab/>
            </w:r>
            <w:r w:rsidRPr="00CF119C">
              <w:rPr>
                <w:rFonts w:cs="Times New Roman"/>
                <w:noProof/>
                <w:webHidden/>
                <w:color w:val="000000" w:themeColor="text1"/>
                <w:szCs w:val="24"/>
                <w:lang w:val="en-GB"/>
              </w:rPr>
              <w:fldChar w:fldCharType="begin"/>
            </w:r>
            <w:r w:rsidRPr="00CF119C">
              <w:rPr>
                <w:rFonts w:cs="Times New Roman"/>
                <w:noProof/>
                <w:webHidden/>
                <w:color w:val="000000" w:themeColor="text1"/>
                <w:szCs w:val="24"/>
                <w:lang w:val="en-GB"/>
              </w:rPr>
              <w:instrText xml:space="preserve"> PAGEREF _Toc46590285 \h </w:instrText>
            </w:r>
            <w:r w:rsidRPr="00CF119C">
              <w:rPr>
                <w:rFonts w:cs="Times New Roman"/>
                <w:noProof/>
                <w:webHidden/>
                <w:color w:val="000000" w:themeColor="text1"/>
                <w:szCs w:val="24"/>
                <w:lang w:val="en-GB"/>
              </w:rPr>
            </w:r>
            <w:r w:rsidRPr="00CF119C">
              <w:rPr>
                <w:rFonts w:cs="Times New Roman"/>
                <w:noProof/>
                <w:webHidden/>
                <w:color w:val="000000" w:themeColor="text1"/>
                <w:szCs w:val="24"/>
                <w:lang w:val="en-GB"/>
              </w:rPr>
              <w:fldChar w:fldCharType="separate"/>
            </w:r>
            <w:r w:rsidRPr="00CF119C">
              <w:rPr>
                <w:rFonts w:cs="Times New Roman"/>
                <w:noProof/>
                <w:webHidden/>
                <w:color w:val="000000" w:themeColor="text1"/>
                <w:szCs w:val="24"/>
                <w:lang w:val="en-GB"/>
              </w:rPr>
              <w:t>3</w:t>
            </w:r>
            <w:r w:rsidRPr="00CF119C">
              <w:rPr>
                <w:rFonts w:cs="Times New Roman"/>
                <w:noProof/>
                <w:webHidden/>
                <w:color w:val="000000" w:themeColor="text1"/>
                <w:szCs w:val="24"/>
                <w:lang w:val="en-GB"/>
              </w:rPr>
              <w:fldChar w:fldCharType="end"/>
            </w:r>
          </w:hyperlink>
        </w:p>
        <w:p w14:paraId="578583E5"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86" w:history="1">
            <w:r w:rsidR="00F702B6" w:rsidRPr="00CF119C">
              <w:rPr>
                <w:rStyle w:val="Hyperlink"/>
                <w:rFonts w:eastAsia="Times New Roman" w:cs="Times New Roman"/>
                <w:noProof/>
                <w:color w:val="000000" w:themeColor="text1"/>
                <w:szCs w:val="24"/>
                <w:lang w:val="en-GB"/>
              </w:rPr>
              <w:t>Evolution of employability</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_Toc46590286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3</w:t>
            </w:r>
            <w:r w:rsidR="00F702B6" w:rsidRPr="00CF119C">
              <w:rPr>
                <w:rFonts w:cs="Times New Roman"/>
                <w:noProof/>
                <w:webHidden/>
                <w:color w:val="000000" w:themeColor="text1"/>
                <w:szCs w:val="24"/>
                <w:lang w:val="en-GB"/>
              </w:rPr>
              <w:fldChar w:fldCharType="end"/>
            </w:r>
          </w:hyperlink>
        </w:p>
        <w:p w14:paraId="3821D536"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87" w:history="1">
            <w:r w:rsidR="00F702B6" w:rsidRPr="00CF119C">
              <w:rPr>
                <w:rStyle w:val="Hyperlink"/>
                <w:rFonts w:eastAsia="Times New Roman" w:cs="Times New Roman"/>
                <w:noProof/>
                <w:color w:val="000000" w:themeColor="text1"/>
                <w:szCs w:val="24"/>
                <w:lang w:val="en-GB"/>
              </w:rPr>
              <w:t>Employability Stages</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_Toc46590287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3</w:t>
            </w:r>
            <w:r w:rsidR="00F702B6" w:rsidRPr="00CF119C">
              <w:rPr>
                <w:rFonts w:cs="Times New Roman"/>
                <w:noProof/>
                <w:webHidden/>
                <w:color w:val="000000" w:themeColor="text1"/>
                <w:szCs w:val="24"/>
                <w:lang w:val="en-GB"/>
              </w:rPr>
              <w:fldChar w:fldCharType="end"/>
            </w:r>
          </w:hyperlink>
        </w:p>
        <w:p w14:paraId="04FD5D79"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88" w:history="1">
            <w:r w:rsidR="00F702B6" w:rsidRPr="00CF119C">
              <w:rPr>
                <w:rStyle w:val="Hyperlink"/>
                <w:rFonts w:eastAsia="Times New Roman" w:cs="Times New Roman"/>
                <w:noProof/>
                <w:color w:val="000000" w:themeColor="text1"/>
                <w:szCs w:val="24"/>
                <w:lang w:val="en-GB"/>
              </w:rPr>
              <w:t>Theories of employability</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_Toc46590288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4</w:t>
            </w:r>
            <w:r w:rsidR="00F702B6" w:rsidRPr="00CF119C">
              <w:rPr>
                <w:rFonts w:cs="Times New Roman"/>
                <w:noProof/>
                <w:webHidden/>
                <w:color w:val="000000" w:themeColor="text1"/>
                <w:szCs w:val="24"/>
                <w:lang w:val="en-GB"/>
              </w:rPr>
              <w:fldChar w:fldCharType="end"/>
            </w:r>
          </w:hyperlink>
        </w:p>
        <w:p w14:paraId="06F7B12B"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89" w:history="1">
            <w:r w:rsidR="00F702B6" w:rsidRPr="00CF119C">
              <w:rPr>
                <w:rStyle w:val="Hyperlink"/>
                <w:rFonts w:eastAsia="Times New Roman" w:cs="Times New Roman"/>
                <w:noProof/>
                <w:color w:val="000000" w:themeColor="text1"/>
                <w:szCs w:val="24"/>
                <w:lang w:val="en-GB"/>
              </w:rPr>
              <w:t>Employability skills</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_Toc46590289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5</w:t>
            </w:r>
            <w:r w:rsidR="00F702B6" w:rsidRPr="00CF119C">
              <w:rPr>
                <w:rFonts w:cs="Times New Roman"/>
                <w:noProof/>
                <w:webHidden/>
                <w:color w:val="000000" w:themeColor="text1"/>
                <w:szCs w:val="24"/>
                <w:lang w:val="en-GB"/>
              </w:rPr>
              <w:fldChar w:fldCharType="end"/>
            </w:r>
          </w:hyperlink>
        </w:p>
        <w:p w14:paraId="675479AA"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90" w:history="1">
            <w:r w:rsidR="00F702B6" w:rsidRPr="00CF119C">
              <w:rPr>
                <w:rStyle w:val="Hyperlink"/>
                <w:rFonts w:eastAsia="Times New Roman" w:cs="Times New Roman"/>
                <w:noProof/>
                <w:color w:val="000000" w:themeColor="text1"/>
                <w:szCs w:val="24"/>
                <w:lang w:val="en-GB"/>
              </w:rPr>
              <w:t>Model of learning</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_Toc46590290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6</w:t>
            </w:r>
            <w:r w:rsidR="00F702B6" w:rsidRPr="00CF119C">
              <w:rPr>
                <w:rFonts w:cs="Times New Roman"/>
                <w:noProof/>
                <w:webHidden/>
                <w:color w:val="000000" w:themeColor="text1"/>
                <w:szCs w:val="24"/>
                <w:lang w:val="en-GB"/>
              </w:rPr>
              <w:fldChar w:fldCharType="end"/>
            </w:r>
          </w:hyperlink>
        </w:p>
        <w:p w14:paraId="2ECC4DB1"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91" w:history="1">
            <w:r w:rsidR="00F702B6" w:rsidRPr="00CF119C">
              <w:rPr>
                <w:rStyle w:val="Hyperlink"/>
                <w:rFonts w:eastAsia="Times New Roman" w:cs="Times New Roman"/>
                <w:noProof/>
                <w:color w:val="000000" w:themeColor="text1"/>
                <w:szCs w:val="24"/>
                <w:lang w:val="en-GB"/>
              </w:rPr>
              <w:t>Mandatory skills for acquiring the area of employability</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_Toc46590291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6</w:t>
            </w:r>
            <w:r w:rsidR="00F702B6" w:rsidRPr="00CF119C">
              <w:rPr>
                <w:rFonts w:cs="Times New Roman"/>
                <w:noProof/>
                <w:webHidden/>
                <w:color w:val="000000" w:themeColor="text1"/>
                <w:szCs w:val="24"/>
                <w:lang w:val="en-GB"/>
              </w:rPr>
              <w:fldChar w:fldCharType="end"/>
            </w:r>
          </w:hyperlink>
        </w:p>
        <w:p w14:paraId="6ECD5E75"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92" w:history="1">
            <w:r w:rsidR="00F702B6" w:rsidRPr="00CF119C">
              <w:rPr>
                <w:rStyle w:val="Hyperlink"/>
                <w:rFonts w:eastAsia="Times New Roman" w:cs="Times New Roman"/>
                <w:noProof/>
                <w:color w:val="000000" w:themeColor="text1"/>
                <w:szCs w:val="24"/>
                <w:lang w:val="en-GB"/>
              </w:rPr>
              <w:t>Personal and Professional Development Plan</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_Toc46590292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7</w:t>
            </w:r>
            <w:r w:rsidR="00F702B6" w:rsidRPr="00CF119C">
              <w:rPr>
                <w:rFonts w:cs="Times New Roman"/>
                <w:noProof/>
                <w:webHidden/>
                <w:color w:val="000000" w:themeColor="text1"/>
                <w:szCs w:val="24"/>
                <w:lang w:val="en-GB"/>
              </w:rPr>
              <w:fldChar w:fldCharType="end"/>
            </w:r>
          </w:hyperlink>
        </w:p>
        <w:p w14:paraId="57ADA291"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93" w:history="1">
            <w:r w:rsidR="00F702B6" w:rsidRPr="00CF119C">
              <w:rPr>
                <w:rStyle w:val="Hyperlink"/>
                <w:rFonts w:eastAsia="Times New Roman" w:cs="Times New Roman"/>
                <w:noProof/>
                <w:color w:val="000000" w:themeColor="text1"/>
                <w:szCs w:val="24"/>
                <w:lang w:val="en-GB"/>
              </w:rPr>
              <w:t>Conclusion</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_Toc46590293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8</w:t>
            </w:r>
            <w:r w:rsidR="00F702B6" w:rsidRPr="00CF119C">
              <w:rPr>
                <w:rFonts w:cs="Times New Roman"/>
                <w:noProof/>
                <w:webHidden/>
                <w:color w:val="000000" w:themeColor="text1"/>
                <w:szCs w:val="24"/>
                <w:lang w:val="en-GB"/>
              </w:rPr>
              <w:fldChar w:fldCharType="end"/>
            </w:r>
          </w:hyperlink>
        </w:p>
        <w:p w14:paraId="3B427C74" w14:textId="77777777" w:rsidR="00F702B6" w:rsidRPr="00CF119C" w:rsidRDefault="009E7DED">
          <w:pPr>
            <w:pStyle w:val="TOC1"/>
            <w:tabs>
              <w:tab w:val="right" w:leader="dot" w:pos="9350"/>
            </w:tabs>
            <w:rPr>
              <w:rFonts w:cs="Times New Roman"/>
              <w:noProof/>
              <w:color w:val="000000" w:themeColor="text1"/>
              <w:szCs w:val="24"/>
              <w:lang w:val="en-GB"/>
            </w:rPr>
          </w:pPr>
          <w:hyperlink w:anchor="_Toc46590294" w:history="1">
            <w:r w:rsidR="00F702B6" w:rsidRPr="00CF119C">
              <w:rPr>
                <w:rStyle w:val="Hyperlink"/>
                <w:rFonts w:cs="Times New Roman"/>
                <w:noProof/>
                <w:color w:val="000000" w:themeColor="text1"/>
                <w:szCs w:val="24"/>
                <w:lang w:val="en-GB"/>
              </w:rPr>
              <w:t>References</w:t>
            </w:r>
            <w:r w:rsidR="00F702B6" w:rsidRPr="00CF119C">
              <w:rPr>
                <w:rFonts w:cs="Times New Roman"/>
                <w:noProof/>
                <w:webHidden/>
                <w:color w:val="000000" w:themeColor="text1"/>
                <w:szCs w:val="24"/>
                <w:lang w:val="en-GB"/>
              </w:rPr>
              <w:tab/>
            </w:r>
            <w:r w:rsidR="00F702B6" w:rsidRPr="00CF119C">
              <w:rPr>
                <w:rFonts w:cs="Times New Roman"/>
                <w:noProof/>
                <w:webHidden/>
                <w:color w:val="000000" w:themeColor="text1"/>
                <w:szCs w:val="24"/>
                <w:lang w:val="en-GB"/>
              </w:rPr>
              <w:fldChar w:fldCharType="begin"/>
            </w:r>
            <w:r w:rsidR="00F702B6" w:rsidRPr="00CF119C">
              <w:rPr>
                <w:rFonts w:cs="Times New Roman"/>
                <w:noProof/>
                <w:webHidden/>
                <w:color w:val="000000" w:themeColor="text1"/>
                <w:szCs w:val="24"/>
                <w:lang w:val="en-GB"/>
              </w:rPr>
              <w:instrText xml:space="preserve"> PAGEREF _Toc46590294 \h </w:instrText>
            </w:r>
            <w:r w:rsidR="00F702B6" w:rsidRPr="00CF119C">
              <w:rPr>
                <w:rFonts w:cs="Times New Roman"/>
                <w:noProof/>
                <w:webHidden/>
                <w:color w:val="000000" w:themeColor="text1"/>
                <w:szCs w:val="24"/>
                <w:lang w:val="en-GB"/>
              </w:rPr>
            </w:r>
            <w:r w:rsidR="00F702B6" w:rsidRPr="00CF119C">
              <w:rPr>
                <w:rFonts w:cs="Times New Roman"/>
                <w:noProof/>
                <w:webHidden/>
                <w:color w:val="000000" w:themeColor="text1"/>
                <w:szCs w:val="24"/>
                <w:lang w:val="en-GB"/>
              </w:rPr>
              <w:fldChar w:fldCharType="separate"/>
            </w:r>
            <w:r w:rsidR="00F702B6" w:rsidRPr="00CF119C">
              <w:rPr>
                <w:rFonts w:cs="Times New Roman"/>
                <w:noProof/>
                <w:webHidden/>
                <w:color w:val="000000" w:themeColor="text1"/>
                <w:szCs w:val="24"/>
                <w:lang w:val="en-GB"/>
              </w:rPr>
              <w:t>9</w:t>
            </w:r>
            <w:r w:rsidR="00F702B6" w:rsidRPr="00CF119C">
              <w:rPr>
                <w:rFonts w:cs="Times New Roman"/>
                <w:noProof/>
                <w:webHidden/>
                <w:color w:val="000000" w:themeColor="text1"/>
                <w:szCs w:val="24"/>
                <w:lang w:val="en-GB"/>
              </w:rPr>
              <w:fldChar w:fldCharType="end"/>
            </w:r>
          </w:hyperlink>
        </w:p>
        <w:p w14:paraId="00AD3793" w14:textId="77777777" w:rsidR="00F702B6" w:rsidRPr="00CF119C" w:rsidRDefault="00F702B6">
          <w:pPr>
            <w:rPr>
              <w:rFonts w:cs="Times New Roman"/>
              <w:color w:val="000000" w:themeColor="text1"/>
              <w:szCs w:val="24"/>
              <w:lang w:val="en-GB"/>
            </w:rPr>
          </w:pPr>
          <w:r w:rsidRPr="00CF119C">
            <w:rPr>
              <w:rFonts w:cs="Times New Roman"/>
              <w:b/>
              <w:bCs/>
              <w:noProof/>
              <w:color w:val="000000" w:themeColor="text1"/>
              <w:szCs w:val="24"/>
              <w:lang w:val="en-GB"/>
            </w:rPr>
            <w:fldChar w:fldCharType="end"/>
          </w:r>
        </w:p>
      </w:sdtContent>
    </w:sdt>
    <w:p w14:paraId="1039B62E" w14:textId="77777777" w:rsidR="00F702B6" w:rsidRPr="00CF119C" w:rsidRDefault="00F702B6">
      <w:pPr>
        <w:spacing w:after="160" w:line="259" w:lineRule="auto"/>
        <w:jc w:val="left"/>
        <w:rPr>
          <w:rFonts w:eastAsia="Times New Roman" w:cs="Times New Roman"/>
          <w:b/>
          <w:bCs/>
          <w:color w:val="000000" w:themeColor="text1"/>
          <w:szCs w:val="24"/>
          <w:lang w:val="en-GB" w:bidi="bn-IN"/>
        </w:rPr>
      </w:pPr>
      <w:r w:rsidRPr="00CF119C">
        <w:rPr>
          <w:rFonts w:eastAsia="Times New Roman" w:cs="Times New Roman"/>
          <w:b/>
          <w:bCs/>
          <w:color w:val="000000" w:themeColor="text1"/>
          <w:szCs w:val="24"/>
          <w:lang w:val="en-GB" w:bidi="bn-IN"/>
        </w:rPr>
        <w:br w:type="page"/>
      </w:r>
    </w:p>
    <w:p w14:paraId="110EC9E6"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0" w:name="_Toc46590285"/>
      <w:r w:rsidRPr="00CF119C">
        <w:rPr>
          <w:rFonts w:eastAsia="Times New Roman" w:cs="Times New Roman"/>
          <w:color w:val="000000" w:themeColor="text1"/>
          <w:sz w:val="24"/>
          <w:szCs w:val="24"/>
          <w:lang w:val="en-GB"/>
        </w:rPr>
        <w:lastRenderedPageBreak/>
        <w:t>Introduction</w:t>
      </w:r>
      <w:bookmarkEnd w:id="0"/>
    </w:p>
    <w:p w14:paraId="7F642A98" w14:textId="35D71DDC"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The academic and employability skills have the capacity to deal with the effectiveness of learning which is necessary for the gradual development. Academic skills help to gather proper knowledge that eventually reflects on the process of getting a job. The area of employability is connected with the system of academic qualification that is much needed for getting success in life. The following report is going to cover the area of the skills of academic and also employability that will be effective for developing a personal career. The advantages and shortcomings of the will also be figured out to conduct a personal and professional development plan which will lead to enhance the skills of academic and employability. The </w:t>
      </w:r>
      <w:r w:rsidR="00CF119C" w:rsidRPr="00CF119C">
        <w:rPr>
          <w:rFonts w:eastAsia="Times New Roman" w:cs="Times New Roman"/>
          <w:color w:val="000000" w:themeColor="text1"/>
          <w:szCs w:val="24"/>
          <w:lang w:val="en-GB" w:bidi="bn-IN"/>
        </w:rPr>
        <w:t>long-term</w:t>
      </w:r>
      <w:r w:rsidRPr="00CF119C">
        <w:rPr>
          <w:rFonts w:eastAsia="Times New Roman" w:cs="Times New Roman"/>
          <w:color w:val="000000" w:themeColor="text1"/>
          <w:szCs w:val="24"/>
          <w:lang w:val="en-GB" w:bidi="bn-IN"/>
        </w:rPr>
        <w:t xml:space="preserve"> sustainability and development of the growth and career will be possible with the help of the escalation of academic and employability skills. A range of academic pieces is there on the theme of academic and employability that is applicable to the processing of personal and professional development. </w:t>
      </w:r>
    </w:p>
    <w:p w14:paraId="40C30DF4"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1" w:name="_Toc46590286"/>
      <w:r w:rsidRPr="00CF119C">
        <w:rPr>
          <w:rFonts w:eastAsia="Times New Roman" w:cs="Times New Roman"/>
          <w:color w:val="000000" w:themeColor="text1"/>
          <w:sz w:val="24"/>
          <w:szCs w:val="24"/>
          <w:lang w:val="en-GB"/>
        </w:rPr>
        <w:t>Evolution of employability</w:t>
      </w:r>
      <w:bookmarkEnd w:id="1"/>
    </w:p>
    <w:p w14:paraId="15FB2E1F"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The term employability is coined by Beveridge in his book the “Unemployment: A Problem of Industry”. The concept is reflected in the area of unemployment that is getting escalated for a long time. Security of job reflects employability that secures the area of employment. The conception of supply-side and the area of employability is generous that has divided </w:t>
      </w:r>
      <w:r w:rsidRPr="00CF119C">
        <w:rPr>
          <w:rFonts w:eastAsia="Times New Roman" w:cs="Times New Roman"/>
          <w:b/>
          <w:bCs/>
          <w:color w:val="000000" w:themeColor="text1"/>
          <w:szCs w:val="24"/>
          <w:lang w:val="en-GB" w:bidi="bn-IN"/>
        </w:rPr>
        <w:t xml:space="preserve">the concept of employability into different stages </w:t>
      </w:r>
      <w:r w:rsidRPr="00CF119C">
        <w:rPr>
          <w:rFonts w:eastAsia="Times New Roman" w:cs="Times New Roman"/>
          <w:color w:val="000000" w:themeColor="text1"/>
          <w:szCs w:val="24"/>
          <w:lang w:val="en-GB" w:bidi="bn-IN"/>
        </w:rPr>
        <w:t>which are going to be discussed.</w:t>
      </w:r>
    </w:p>
    <w:p w14:paraId="602524FD"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2" w:name="_Toc46590287"/>
      <w:r w:rsidRPr="00CF119C">
        <w:rPr>
          <w:rFonts w:eastAsia="Times New Roman" w:cs="Times New Roman"/>
          <w:color w:val="000000" w:themeColor="text1"/>
          <w:sz w:val="24"/>
          <w:szCs w:val="24"/>
          <w:lang w:val="en-GB"/>
        </w:rPr>
        <w:t>Employability Stages</w:t>
      </w:r>
      <w:bookmarkEnd w:id="2"/>
    </w:p>
    <w:p w14:paraId="0C08F3ED"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Dichotomic Employability-</w:t>
      </w:r>
      <w:r w:rsidRPr="00CF119C">
        <w:rPr>
          <w:rFonts w:eastAsia="Times New Roman" w:cs="Times New Roman"/>
          <w:color w:val="000000" w:themeColor="text1"/>
          <w:szCs w:val="24"/>
          <w:lang w:val="en-GB" w:bidi="bn-IN"/>
        </w:rPr>
        <w:t xml:space="preserve"> This is the simplest version of employability that helps to figure out the able-bodied employees. The area mainly focuses on the people who are unable to work properly and at the edge of old age</w:t>
      </w:r>
      <w:r w:rsidR="005E2945" w:rsidRPr="00CF119C">
        <w:rPr>
          <w:rFonts w:eastAsia="Times New Roman" w:cs="Times New Roman"/>
          <w:noProof/>
          <w:color w:val="000000" w:themeColor="text1"/>
          <w:szCs w:val="24"/>
          <w:lang w:val="en-US" w:bidi="bn-IN"/>
        </w:rPr>
        <w:t xml:space="preserve"> (Horsburgh &amp; Ippolito, 2018)</w:t>
      </w:r>
      <w:r w:rsidRPr="00CF119C">
        <w:rPr>
          <w:rFonts w:eastAsia="Times New Roman" w:cs="Times New Roman"/>
          <w:color w:val="000000" w:themeColor="text1"/>
          <w:szCs w:val="24"/>
          <w:lang w:val="en-GB" w:bidi="bn-IN"/>
        </w:rPr>
        <w:t>. Educational qualification is overlooked in these kinds of employability. </w:t>
      </w:r>
    </w:p>
    <w:p w14:paraId="4E8281CB"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 xml:space="preserve">Socio-Medico Employability- </w:t>
      </w:r>
      <w:r w:rsidRPr="00CF119C">
        <w:rPr>
          <w:rFonts w:eastAsia="Times New Roman" w:cs="Times New Roman"/>
          <w:color w:val="000000" w:themeColor="text1"/>
          <w:szCs w:val="24"/>
          <w:lang w:val="en-GB" w:bidi="bn-IN"/>
        </w:rPr>
        <w:t>this kind of employability mainly focuses on different kinds of deficiencies that are found after the effect of post-war. According to the identification of the employability, different kinds of measurements are taken. </w:t>
      </w:r>
    </w:p>
    <w:p w14:paraId="7FBA3982"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Manpower Policy Employability-</w:t>
      </w:r>
      <w:r w:rsidRPr="00CF119C">
        <w:rPr>
          <w:rFonts w:eastAsia="Times New Roman" w:cs="Times New Roman"/>
          <w:color w:val="000000" w:themeColor="text1"/>
          <w:szCs w:val="24"/>
          <w:lang w:val="en-GB" w:bidi="bn-IN"/>
        </w:rPr>
        <w:t xml:space="preserve"> The area of social and physical disability along with mobility is mainly discussed in this approach. The policymakers mainly encompass the area of the attitude of the employees. </w:t>
      </w:r>
    </w:p>
    <w:p w14:paraId="263D3E98" w14:textId="77777777" w:rsidR="00301139" w:rsidRPr="00CF119C" w:rsidRDefault="00301139" w:rsidP="00301139">
      <w:pPr>
        <w:spacing w:after="0"/>
        <w:jc w:val="center"/>
        <w:rPr>
          <w:rFonts w:eastAsia="Times New Roman" w:cs="Times New Roman"/>
          <w:color w:val="000000" w:themeColor="text1"/>
          <w:szCs w:val="24"/>
          <w:lang w:val="en-GB" w:bidi="bn-IN"/>
        </w:rPr>
      </w:pPr>
      <w:r w:rsidRPr="00CF119C">
        <w:rPr>
          <w:rFonts w:cs="Times New Roman"/>
          <w:noProof/>
          <w:color w:val="000000" w:themeColor="text1"/>
          <w:szCs w:val="24"/>
          <w:lang w:val="en-US"/>
        </w:rPr>
        <w:lastRenderedPageBreak/>
        <w:drawing>
          <wp:inline distT="0" distB="0" distL="0" distR="0" wp14:anchorId="188188BA" wp14:editId="3C671712">
            <wp:extent cx="4171950" cy="22762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1351"/>
                    <a:stretch/>
                  </pic:blipFill>
                  <pic:spPr bwMode="auto">
                    <a:xfrm>
                      <a:off x="0" y="0"/>
                      <a:ext cx="4180124" cy="2280667"/>
                    </a:xfrm>
                    <a:prstGeom prst="rect">
                      <a:avLst/>
                    </a:prstGeom>
                    <a:ln>
                      <a:noFill/>
                    </a:ln>
                    <a:extLst>
                      <a:ext uri="{53640926-AAD7-44D8-BBD7-CCE9431645EC}">
                        <a14:shadowObscured xmlns:a14="http://schemas.microsoft.com/office/drawing/2010/main"/>
                      </a:ext>
                    </a:extLst>
                  </pic:spPr>
                </pic:pic>
              </a:graphicData>
            </a:graphic>
          </wp:inline>
        </w:drawing>
      </w:r>
    </w:p>
    <w:p w14:paraId="16970531" w14:textId="77777777" w:rsidR="00B707D1" w:rsidRPr="00CF119C" w:rsidRDefault="00301139" w:rsidP="00B707D1">
      <w:pPr>
        <w:spacing w:after="0"/>
        <w:jc w:val="center"/>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Source:</w:t>
      </w:r>
      <w:r w:rsidRPr="00CF119C">
        <w:rPr>
          <w:rFonts w:cs="Times New Roman"/>
          <w:b/>
          <w:bCs/>
          <w:color w:val="000000" w:themeColor="text1"/>
          <w:szCs w:val="24"/>
        </w:rPr>
        <w:t xml:space="preserve"> </w:t>
      </w:r>
      <w:r w:rsidR="00B707D1" w:rsidRPr="00CF119C">
        <w:rPr>
          <w:rFonts w:eastAsia="Times New Roman" w:cs="Times New Roman"/>
          <w:noProof/>
          <w:color w:val="000000" w:themeColor="text1"/>
          <w:szCs w:val="24"/>
          <w:lang w:val="en-US" w:bidi="bn-IN"/>
        </w:rPr>
        <w:t>(Akers &amp; Jennings, 2016)</w:t>
      </w:r>
      <w:r w:rsidR="00B707D1" w:rsidRPr="00CF119C">
        <w:rPr>
          <w:rFonts w:eastAsia="Times New Roman" w:cs="Times New Roman"/>
          <w:color w:val="000000" w:themeColor="text1"/>
          <w:szCs w:val="24"/>
          <w:lang w:val="en-GB" w:bidi="bn-IN"/>
        </w:rPr>
        <w:t>. </w:t>
      </w:r>
    </w:p>
    <w:p w14:paraId="3AAEF694" w14:textId="77777777" w:rsidR="00F702B6" w:rsidRPr="00CF119C" w:rsidRDefault="00F702B6" w:rsidP="00B707D1">
      <w:pPr>
        <w:rPr>
          <w:rFonts w:cs="Times New Roman"/>
          <w:color w:val="000000" w:themeColor="text1"/>
          <w:szCs w:val="24"/>
          <w:lang w:val="en-GB" w:bidi="bn-IN"/>
        </w:rPr>
      </w:pPr>
      <w:r w:rsidRPr="00CF119C">
        <w:rPr>
          <w:rFonts w:cs="Times New Roman"/>
          <w:b/>
          <w:bCs/>
          <w:color w:val="000000" w:themeColor="text1"/>
          <w:szCs w:val="24"/>
          <w:lang w:val="en-GB" w:bidi="bn-IN"/>
        </w:rPr>
        <w:t>Flow Employability-</w:t>
      </w:r>
      <w:r w:rsidRPr="00CF119C">
        <w:rPr>
          <w:rFonts w:cs="Times New Roman"/>
          <w:color w:val="000000" w:themeColor="text1"/>
          <w:szCs w:val="24"/>
          <w:lang w:val="en-GB" w:bidi="bn-IN"/>
        </w:rPr>
        <w:t xml:space="preserve"> This stage has reflected on the process of giving employment to an unemployed by following the area of local and national economies. The expectation of the objectives and the occupational knowledge of the individuals are mainly followed in the skills and competencies of this kind of employability</w:t>
      </w:r>
      <w:r w:rsidR="005E2945" w:rsidRPr="00CF119C">
        <w:rPr>
          <w:rFonts w:cs="Times New Roman"/>
          <w:noProof/>
          <w:color w:val="000000" w:themeColor="text1"/>
          <w:szCs w:val="24"/>
          <w:lang w:val="en-US" w:bidi="bn-IN"/>
        </w:rPr>
        <w:t xml:space="preserve"> (Akers &amp; Jennings, 2016)</w:t>
      </w:r>
      <w:r w:rsidRPr="00CF119C">
        <w:rPr>
          <w:rFonts w:cs="Times New Roman"/>
          <w:color w:val="000000" w:themeColor="text1"/>
          <w:szCs w:val="24"/>
          <w:lang w:val="en-GB" w:bidi="bn-IN"/>
        </w:rPr>
        <w:t>. </w:t>
      </w:r>
    </w:p>
    <w:p w14:paraId="65365412"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 xml:space="preserve">Labour Market Performance Employability- </w:t>
      </w:r>
      <w:r w:rsidRPr="00CF119C">
        <w:rPr>
          <w:rFonts w:eastAsia="Times New Roman" w:cs="Times New Roman"/>
          <w:color w:val="000000" w:themeColor="text1"/>
          <w:szCs w:val="24"/>
          <w:lang w:val="en-GB" w:bidi="bn-IN"/>
        </w:rPr>
        <w:t>The measurement of the labour market and the area of the human capital are followed thoroughly for the escalation for this employability. This measurement helps in the determination of the employment and the area of wages of the employees. </w:t>
      </w:r>
    </w:p>
    <w:p w14:paraId="70441B3D" w14:textId="77777777" w:rsidR="00F702B6" w:rsidRPr="00CF119C" w:rsidRDefault="00F702B6" w:rsidP="009B54AA">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 xml:space="preserve">Initiative Employability- </w:t>
      </w:r>
      <w:r w:rsidRPr="00CF119C">
        <w:rPr>
          <w:rFonts w:eastAsia="Times New Roman" w:cs="Times New Roman"/>
          <w:color w:val="000000" w:themeColor="text1"/>
          <w:szCs w:val="24"/>
          <w:lang w:val="en-GB" w:bidi="bn-IN"/>
        </w:rPr>
        <w:t>this process leads to the escalation of the initiatives of the individuals that help in the successful development of career by following the area of academic development. The needs of the individuals and their development of career become possible with the help of initiative employability. The difference of human capital is also found in this process wheat is also helpful for determining the cumulative and individual skill.</w:t>
      </w:r>
    </w:p>
    <w:p w14:paraId="7FD5F828"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3" w:name="_Toc46590288"/>
      <w:r w:rsidRPr="00CF119C">
        <w:rPr>
          <w:rFonts w:eastAsia="Times New Roman" w:cs="Times New Roman"/>
          <w:color w:val="000000" w:themeColor="text1"/>
          <w:sz w:val="24"/>
          <w:szCs w:val="24"/>
          <w:lang w:val="en-GB"/>
        </w:rPr>
        <w:t>Theories of employability</w:t>
      </w:r>
      <w:bookmarkEnd w:id="3"/>
    </w:p>
    <w:p w14:paraId="4E9E0041"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Different kinds of fuel are also there to focus on the process of employability. The broader perspective and the processing of policymaking along with the strategies of shareholders are mainly followed in the determination process of interactive employability focus on the relative importance of theor</w:t>
      </w:r>
      <w:r w:rsidR="009B54AA" w:rsidRPr="00CF119C">
        <w:rPr>
          <w:rFonts w:eastAsia="Times New Roman" w:cs="Times New Roman"/>
          <w:color w:val="000000" w:themeColor="text1"/>
          <w:szCs w:val="24"/>
          <w:lang w:val="en-GB" w:bidi="bn-IN"/>
        </w:rPr>
        <w:t>y which is mainly found in the </w:t>
      </w:r>
      <w:r w:rsidRPr="00CF119C">
        <w:rPr>
          <w:rFonts w:eastAsia="Times New Roman" w:cs="Times New Roman"/>
          <w:color w:val="000000" w:themeColor="text1"/>
          <w:szCs w:val="24"/>
          <w:lang w:val="en-GB" w:bidi="bn-IN"/>
        </w:rPr>
        <w:t>‘</w:t>
      </w:r>
      <w:r w:rsidR="009B54AA" w:rsidRPr="00CF119C">
        <w:rPr>
          <w:rFonts w:eastAsia="Times New Roman" w:cs="Times New Roman"/>
          <w:color w:val="000000" w:themeColor="text1"/>
          <w:szCs w:val="24"/>
          <w:lang w:val="en-GB" w:bidi="bn-IN"/>
        </w:rPr>
        <w:t xml:space="preserve">foci’ of </w:t>
      </w:r>
      <w:r w:rsidRPr="00CF119C">
        <w:rPr>
          <w:rFonts w:eastAsia="Times New Roman" w:cs="Times New Roman"/>
          <w:color w:val="000000" w:themeColor="text1"/>
          <w:szCs w:val="24"/>
          <w:lang w:val="en-GB" w:bidi="bn-IN"/>
        </w:rPr>
        <w:t>employment commitment. </w:t>
      </w:r>
    </w:p>
    <w:p w14:paraId="1E7CA2D8"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Conflict theory</w:t>
      </w:r>
    </w:p>
    <w:p w14:paraId="2E7FFB28" w14:textId="3C859CAA"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Different kinds of stakeholders are mainly followed in this theory where the work like employer academicians and also like employee altogether. This theory mainly </w:t>
      </w:r>
      <w:r w:rsidR="00CF119C" w:rsidRPr="00CF119C">
        <w:rPr>
          <w:rFonts w:eastAsia="Times New Roman" w:cs="Times New Roman"/>
          <w:color w:val="000000" w:themeColor="text1"/>
          <w:szCs w:val="24"/>
          <w:lang w:val="en-GB" w:bidi="bn-IN"/>
        </w:rPr>
        <w:t>focusses</w:t>
      </w:r>
      <w:r w:rsidRPr="00CF119C">
        <w:rPr>
          <w:rFonts w:eastAsia="Times New Roman" w:cs="Times New Roman"/>
          <w:color w:val="000000" w:themeColor="text1"/>
          <w:szCs w:val="24"/>
          <w:lang w:val="en-GB" w:bidi="bn-IN"/>
        </w:rPr>
        <w:t xml:space="preserve"> on the role and </w:t>
      </w:r>
      <w:r w:rsidRPr="00CF119C">
        <w:rPr>
          <w:rFonts w:eastAsia="Times New Roman" w:cs="Times New Roman"/>
          <w:color w:val="000000" w:themeColor="text1"/>
          <w:szCs w:val="24"/>
          <w:lang w:val="en-GB" w:bidi="bn-IN"/>
        </w:rPr>
        <w:lastRenderedPageBreak/>
        <w:t>responsibility of stakeholders where different kinds of debates also take place the skill development of the employees of the organisation becomes possible with the help of different kinds of skill development training and teaching. The employers are bound to take the responsibilities of all the employees of the organisation and the CSR of the organisation should be to look after the employability of the local place</w:t>
      </w:r>
      <w:r w:rsidR="005E2945" w:rsidRPr="00CF119C">
        <w:rPr>
          <w:rFonts w:eastAsia="Times New Roman" w:cs="Times New Roman"/>
          <w:noProof/>
          <w:color w:val="000000" w:themeColor="text1"/>
          <w:szCs w:val="24"/>
          <w:lang w:val="en-US" w:bidi="bn-IN"/>
        </w:rPr>
        <w:t xml:space="preserve"> (Kahveci &amp; Serin, 2017)</w:t>
      </w:r>
      <w:r w:rsidRPr="00CF119C">
        <w:rPr>
          <w:rFonts w:eastAsia="Times New Roman" w:cs="Times New Roman"/>
          <w:color w:val="000000" w:themeColor="text1"/>
          <w:szCs w:val="24"/>
          <w:lang w:val="en-GB" w:bidi="bn-IN"/>
        </w:rPr>
        <w:t>. Some limitations are also different level in the processing of conflict theory that also deviates the growth of skill development by acquiring different kinds of skills from family, school and workplace. </w:t>
      </w:r>
    </w:p>
    <w:p w14:paraId="7ED2FA54" w14:textId="77777777" w:rsidR="00301139" w:rsidRPr="00CF119C" w:rsidRDefault="00301139" w:rsidP="00301139">
      <w:pPr>
        <w:spacing w:after="0"/>
        <w:jc w:val="center"/>
        <w:rPr>
          <w:rFonts w:eastAsia="Times New Roman" w:cs="Times New Roman"/>
          <w:color w:val="000000" w:themeColor="text1"/>
          <w:szCs w:val="24"/>
          <w:lang w:val="en-GB" w:bidi="bn-IN"/>
        </w:rPr>
      </w:pPr>
      <w:r w:rsidRPr="00CF119C">
        <w:rPr>
          <w:rFonts w:cs="Times New Roman"/>
          <w:noProof/>
          <w:color w:val="000000" w:themeColor="text1"/>
          <w:szCs w:val="24"/>
          <w:lang w:val="en-US"/>
        </w:rPr>
        <w:drawing>
          <wp:inline distT="0" distB="0" distL="0" distR="0" wp14:anchorId="59ECDCA9" wp14:editId="6EDA3867">
            <wp:extent cx="3571875" cy="224600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79596" cy="2250862"/>
                    </a:xfrm>
                    <a:prstGeom prst="rect">
                      <a:avLst/>
                    </a:prstGeom>
                  </pic:spPr>
                </pic:pic>
              </a:graphicData>
            </a:graphic>
          </wp:inline>
        </w:drawing>
      </w:r>
    </w:p>
    <w:p w14:paraId="7EDA6FAF" w14:textId="77777777" w:rsidR="00B707D1" w:rsidRPr="00CF119C" w:rsidRDefault="00301139" w:rsidP="00B707D1">
      <w:pPr>
        <w:spacing w:after="0"/>
        <w:jc w:val="center"/>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Source:</w:t>
      </w:r>
      <w:r w:rsidRPr="00CF119C">
        <w:rPr>
          <w:rFonts w:cs="Times New Roman"/>
          <w:b/>
          <w:bCs/>
          <w:color w:val="000000" w:themeColor="text1"/>
          <w:szCs w:val="24"/>
        </w:rPr>
        <w:t xml:space="preserve"> </w:t>
      </w:r>
      <w:r w:rsidR="00B707D1" w:rsidRPr="00CF119C">
        <w:rPr>
          <w:rFonts w:eastAsia="Times New Roman" w:cs="Times New Roman"/>
          <w:noProof/>
          <w:color w:val="000000" w:themeColor="text1"/>
          <w:szCs w:val="24"/>
          <w:lang w:val="en-US" w:bidi="bn-IN"/>
        </w:rPr>
        <w:t>(Kahveci &amp; Serin, 2017)</w:t>
      </w:r>
      <w:r w:rsidR="00B707D1" w:rsidRPr="00CF119C">
        <w:rPr>
          <w:rFonts w:eastAsia="Times New Roman" w:cs="Times New Roman"/>
          <w:color w:val="000000" w:themeColor="text1"/>
          <w:szCs w:val="24"/>
          <w:lang w:val="en-GB" w:bidi="bn-IN"/>
        </w:rPr>
        <w:t xml:space="preserve">. </w:t>
      </w:r>
    </w:p>
    <w:p w14:paraId="1CFB807E" w14:textId="77777777" w:rsidR="00F702B6" w:rsidRPr="00CF119C" w:rsidRDefault="00F702B6" w:rsidP="00B707D1">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Consensus Theory</w:t>
      </w:r>
    </w:p>
    <w:p w14:paraId="777D153F"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The commonalities of the social group are mainly followed in this theory that also prefers to look into the respect and belief Of Cultural society</w:t>
      </w:r>
      <w:r w:rsidRPr="00CF119C">
        <w:rPr>
          <w:rFonts w:eastAsia="Times New Roman" w:cs="Times New Roman"/>
          <w:b/>
          <w:bCs/>
          <w:color w:val="000000" w:themeColor="text1"/>
          <w:szCs w:val="24"/>
          <w:lang w:val="en-GB" w:bidi="bn-IN"/>
        </w:rPr>
        <w:t xml:space="preserve">. </w:t>
      </w:r>
      <w:r w:rsidRPr="00CF119C">
        <w:rPr>
          <w:rFonts w:eastAsia="Times New Roman" w:cs="Times New Roman"/>
          <w:color w:val="000000" w:themeColor="text1"/>
          <w:szCs w:val="24"/>
          <w:lang w:val="en-GB" w:bidi="bn-IN"/>
        </w:rPr>
        <w:t>The belief of general skills also helped in the installation process of a tertiary level that ultimately enhance the power of employability through education. The increasing number of unemployed people in the corporate sector is gradually increasing and a range of people are also getting engaged in the process of accumulating knowledge. The people who are to develop their academic skill get motivated by the application of this theory. Responsibilities of the academicians also get increased in this theory full stop the correct method of pedagogy and all the necessary curriculum of studentship are also followed in this theory to make them understand about the entire process of Learning and Development</w:t>
      </w:r>
      <w:r w:rsidR="005E2945" w:rsidRPr="00CF119C">
        <w:rPr>
          <w:rFonts w:eastAsia="Times New Roman" w:cs="Times New Roman"/>
          <w:noProof/>
          <w:color w:val="000000" w:themeColor="text1"/>
          <w:szCs w:val="24"/>
          <w:lang w:val="en-US" w:bidi="bn-IN"/>
        </w:rPr>
        <w:t xml:space="preserve"> (shodhganga, 2019)</w:t>
      </w:r>
      <w:r w:rsidRPr="00CF119C">
        <w:rPr>
          <w:rFonts w:eastAsia="Times New Roman" w:cs="Times New Roman"/>
          <w:color w:val="000000" w:themeColor="text1"/>
          <w:szCs w:val="24"/>
          <w:lang w:val="en-GB" w:bidi="bn-IN"/>
        </w:rPr>
        <w:t>.</w:t>
      </w:r>
    </w:p>
    <w:p w14:paraId="14A509ED" w14:textId="77777777" w:rsidR="005E2945" w:rsidRPr="00CF119C" w:rsidRDefault="005E2945">
      <w:pPr>
        <w:spacing w:after="160" w:line="259" w:lineRule="auto"/>
        <w:jc w:val="left"/>
        <w:rPr>
          <w:rFonts w:eastAsia="Times New Roman" w:cs="Times New Roman"/>
          <w:b/>
          <w:bCs/>
          <w:color w:val="000000" w:themeColor="text1"/>
          <w:szCs w:val="24"/>
          <w:lang w:val="en-GB" w:bidi="bn-IN"/>
        </w:rPr>
      </w:pPr>
      <w:r w:rsidRPr="00CF119C">
        <w:rPr>
          <w:rFonts w:eastAsia="Times New Roman" w:cs="Times New Roman"/>
          <w:b/>
          <w:bCs/>
          <w:color w:val="000000" w:themeColor="text1"/>
          <w:szCs w:val="24"/>
          <w:lang w:val="en-GB" w:bidi="bn-IN"/>
        </w:rPr>
        <w:br w:type="page"/>
      </w:r>
    </w:p>
    <w:p w14:paraId="1A7A7C47"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lastRenderedPageBreak/>
        <w:t>Human Capital Theory</w:t>
      </w:r>
    </w:p>
    <w:p w14:paraId="67FE6597"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This theory states that education is the Ultimate theme to gather knowledge about productivity and job the development of the performance of a person also gets develop with the help of education and acquiring general skills are also important for working successfully in a workplace. Different kinds of Technical and theoretical knowledge also important in which theory to figure out the effectiveness of the opportunities and success of a person. This year also .tell that education is such a thing that it has the capacity to provide proper skills and abilities for focusing on the area of different kinds of job</w:t>
      </w:r>
      <w:r w:rsidR="005E2945" w:rsidRPr="00CF119C">
        <w:rPr>
          <w:rFonts w:eastAsia="Times New Roman" w:cs="Times New Roman"/>
          <w:noProof/>
          <w:color w:val="000000" w:themeColor="text1"/>
          <w:szCs w:val="24"/>
          <w:lang w:val="en-US" w:bidi="bn-IN"/>
        </w:rPr>
        <w:t xml:space="preserve"> (Taylor, 2016)</w:t>
      </w:r>
      <w:r w:rsidRPr="00CF119C">
        <w:rPr>
          <w:rFonts w:eastAsia="Times New Roman" w:cs="Times New Roman"/>
          <w:color w:val="000000" w:themeColor="text1"/>
          <w:szCs w:val="24"/>
          <w:lang w:val="en-GB" w:bidi="bn-IN"/>
        </w:rPr>
        <w:t xml:space="preserve"> When motion is that and educated people would be more responsible than a normal paper and this concept leads to the progression of different kinds of theories.</w:t>
      </w:r>
    </w:p>
    <w:p w14:paraId="258C3BBB"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4" w:name="_Toc46590289"/>
      <w:r w:rsidRPr="00CF119C">
        <w:rPr>
          <w:rFonts w:eastAsia="Times New Roman" w:cs="Times New Roman"/>
          <w:color w:val="000000" w:themeColor="text1"/>
          <w:sz w:val="24"/>
          <w:szCs w:val="24"/>
          <w:lang w:val="en-GB"/>
        </w:rPr>
        <w:t>Employability skills</w:t>
      </w:r>
      <w:bookmarkEnd w:id="4"/>
    </w:p>
    <w:p w14:paraId="0FDC41AA" w14:textId="77777777" w:rsidR="00A83354"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Different kinds of abilities such as quality skill aptitude are all utilised for the development of occupation and the formation of a career that is mainly called as employability skills. The main thing is the capacity that is leading a person towards the destination of him the escalation of the skills of employability is mainly the reflection of the process of learning and training that people usually get from the experiences of working in an organisation</w:t>
      </w:r>
      <w:r w:rsidR="005E2945" w:rsidRPr="00CF119C">
        <w:rPr>
          <w:rFonts w:eastAsia="Times New Roman" w:cs="Times New Roman"/>
          <w:noProof/>
          <w:color w:val="000000" w:themeColor="text1"/>
          <w:szCs w:val="24"/>
          <w:lang w:val="en-US" w:bidi="bn-IN"/>
        </w:rPr>
        <w:t xml:space="preserve"> (Di Gregorio, et al., 2019)</w:t>
      </w:r>
      <w:r w:rsidRPr="00CF119C">
        <w:rPr>
          <w:rFonts w:eastAsia="Times New Roman" w:cs="Times New Roman"/>
          <w:color w:val="000000" w:themeColor="text1"/>
          <w:szCs w:val="24"/>
          <w:lang w:val="en-GB" w:bidi="bn-IN"/>
        </w:rPr>
        <w:t>. Mainly of two types name</w:t>
      </w:r>
      <w:r w:rsidR="009B54AA" w:rsidRPr="00CF119C">
        <w:rPr>
          <w:rFonts w:eastAsia="Times New Roman" w:cs="Times New Roman"/>
          <w:color w:val="000000" w:themeColor="text1"/>
          <w:szCs w:val="24"/>
          <w:lang w:val="en-GB" w:bidi="bn-IN"/>
        </w:rPr>
        <w:t xml:space="preserve">ly soft skill and hard skills. A </w:t>
      </w:r>
      <w:r w:rsidRPr="00CF119C">
        <w:rPr>
          <w:rFonts w:eastAsia="Times New Roman" w:cs="Times New Roman"/>
          <w:color w:val="000000" w:themeColor="text1"/>
          <w:szCs w:val="24"/>
          <w:lang w:val="en-GB" w:bidi="bn-IN"/>
        </w:rPr>
        <w:t xml:space="preserve">good degree of the essential requirement are mainly followed in the accumulation of employability skills that ultimately helps to get a job in a quick manner. </w:t>
      </w:r>
    </w:p>
    <w:p w14:paraId="0FCFCA3D" w14:textId="77777777" w:rsidR="00A83354" w:rsidRPr="00CF119C" w:rsidRDefault="00A83354" w:rsidP="00A83354">
      <w:pPr>
        <w:spacing w:after="0"/>
        <w:jc w:val="center"/>
        <w:rPr>
          <w:rFonts w:eastAsia="Times New Roman" w:cs="Times New Roman"/>
          <w:color w:val="000000" w:themeColor="text1"/>
          <w:szCs w:val="24"/>
          <w:lang w:val="en-GB" w:bidi="bn-IN"/>
        </w:rPr>
      </w:pPr>
      <w:r w:rsidRPr="00CF119C">
        <w:rPr>
          <w:rFonts w:cs="Times New Roman"/>
          <w:noProof/>
          <w:color w:val="000000" w:themeColor="text1"/>
          <w:szCs w:val="24"/>
          <w:lang w:val="en-US"/>
        </w:rPr>
        <w:drawing>
          <wp:inline distT="0" distB="0" distL="0" distR="0" wp14:anchorId="44B2AEAB" wp14:editId="15E3BBA7">
            <wp:extent cx="3362325" cy="2131215"/>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76433" cy="2140158"/>
                    </a:xfrm>
                    <a:prstGeom prst="rect">
                      <a:avLst/>
                    </a:prstGeom>
                  </pic:spPr>
                </pic:pic>
              </a:graphicData>
            </a:graphic>
          </wp:inline>
        </w:drawing>
      </w:r>
    </w:p>
    <w:p w14:paraId="318E3178" w14:textId="77777777" w:rsidR="00A83354" w:rsidRPr="00CF119C" w:rsidRDefault="00A83354" w:rsidP="00A83354">
      <w:pPr>
        <w:spacing w:after="0"/>
        <w:jc w:val="center"/>
        <w:rPr>
          <w:rFonts w:eastAsia="Times New Roman" w:cs="Times New Roman"/>
          <w:b/>
          <w:bCs/>
          <w:color w:val="000000" w:themeColor="text1"/>
          <w:szCs w:val="24"/>
          <w:lang w:val="en-GB" w:bidi="bn-IN"/>
        </w:rPr>
      </w:pPr>
      <w:r w:rsidRPr="00CF119C">
        <w:rPr>
          <w:rFonts w:eastAsia="Times New Roman" w:cs="Times New Roman"/>
          <w:b/>
          <w:bCs/>
          <w:color w:val="000000" w:themeColor="text1"/>
          <w:szCs w:val="24"/>
          <w:lang w:val="en-GB" w:bidi="bn-IN"/>
        </w:rPr>
        <w:t>Source:</w:t>
      </w:r>
      <w:r w:rsidRPr="00CF119C">
        <w:rPr>
          <w:rFonts w:cs="Times New Roman"/>
          <w:b/>
          <w:bCs/>
          <w:color w:val="000000" w:themeColor="text1"/>
          <w:szCs w:val="24"/>
        </w:rPr>
        <w:t xml:space="preserve"> </w:t>
      </w:r>
      <w:r w:rsidR="00B707D1" w:rsidRPr="00CF119C">
        <w:rPr>
          <w:rFonts w:eastAsia="Times New Roman" w:cs="Times New Roman"/>
          <w:noProof/>
          <w:color w:val="000000" w:themeColor="text1"/>
          <w:szCs w:val="24"/>
          <w:lang w:val="en-US" w:bidi="bn-IN"/>
        </w:rPr>
        <w:t>(Di Gregorio, et al., 2019)</w:t>
      </w:r>
      <w:r w:rsidR="00B707D1" w:rsidRPr="00CF119C">
        <w:rPr>
          <w:rFonts w:eastAsia="Times New Roman" w:cs="Times New Roman"/>
          <w:color w:val="000000" w:themeColor="text1"/>
          <w:szCs w:val="24"/>
          <w:lang w:val="en-GB" w:bidi="bn-IN"/>
        </w:rPr>
        <w:t>.</w:t>
      </w:r>
    </w:p>
    <w:p w14:paraId="370CA1FC"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The competitiveness of the labour market Hills the people to get a proper job and main thing its control by the economic situation of the organisation. Soft skills are doors quilt are done through instincts while hard skills are supposed to learn it. Both hard and soft skills are necessary to be </w:t>
      </w:r>
      <w:r w:rsidRPr="00CF119C">
        <w:rPr>
          <w:rFonts w:eastAsia="Times New Roman" w:cs="Times New Roman"/>
          <w:color w:val="000000" w:themeColor="text1"/>
          <w:szCs w:val="24"/>
          <w:lang w:val="en-GB" w:bidi="bn-IN"/>
        </w:rPr>
        <w:lastRenderedPageBreak/>
        <w:t>followed for the escalation of the process of the idea employability. Different kinds of personality skills for table skills and personal attributes are also to be followed for the persecution of the stages of employability.</w:t>
      </w:r>
      <w:r w:rsidR="00301139" w:rsidRPr="00CF119C">
        <w:rPr>
          <w:rFonts w:eastAsia="Times New Roman" w:cs="Times New Roman"/>
          <w:color w:val="000000" w:themeColor="text1"/>
          <w:szCs w:val="24"/>
          <w:lang w:val="en-GB" w:bidi="bn-IN"/>
        </w:rPr>
        <w:t xml:space="preserve"> </w:t>
      </w:r>
      <w:r w:rsidRPr="00CF119C">
        <w:rPr>
          <w:rFonts w:eastAsia="Times New Roman" w:cs="Times New Roman"/>
          <w:color w:val="000000" w:themeColor="text1"/>
          <w:szCs w:val="24"/>
          <w:lang w:val="en-GB" w:bidi="bn-IN"/>
        </w:rPr>
        <w:t>Different kinds of theories about also there to portray the concept of learning the area of different models and theories of learning. </w:t>
      </w:r>
    </w:p>
    <w:p w14:paraId="7AAF0EC5"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5" w:name="_Toc46590290"/>
      <w:r w:rsidRPr="00CF119C">
        <w:rPr>
          <w:rFonts w:eastAsia="Times New Roman" w:cs="Times New Roman"/>
          <w:color w:val="000000" w:themeColor="text1"/>
          <w:sz w:val="24"/>
          <w:szCs w:val="24"/>
          <w:lang w:val="en-GB"/>
        </w:rPr>
        <w:t>Model of learning</w:t>
      </w:r>
      <w:bookmarkEnd w:id="5"/>
      <w:r w:rsidRPr="00CF119C">
        <w:rPr>
          <w:rFonts w:eastAsia="Times New Roman" w:cs="Times New Roman"/>
          <w:color w:val="000000" w:themeColor="text1"/>
          <w:sz w:val="24"/>
          <w:szCs w:val="24"/>
          <w:lang w:val="en-GB"/>
        </w:rPr>
        <w:t> </w:t>
      </w:r>
    </w:p>
    <w:p w14:paraId="28D68DAF"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Different kinds of models are there had to be followed for passing the process of learning which will we eventually if the for the escalation of employability the personality and the traits of the learner also get reflected in the process of learning and all the necessary information also imbibed by the learner. The learners are supposed to go through a range of academic species different kinds of articles etc. to impart different kinds of knowledge. </w:t>
      </w:r>
    </w:p>
    <w:p w14:paraId="4A063EA0"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Kolb’s learning style</w:t>
      </w:r>
    </w:p>
    <w:p w14:paraId="6C9D67F9" w14:textId="77777777" w:rsidR="003A02F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One of the most famous styles of learning is called learning style which is applicable for the participation of the studies of employability.</w:t>
      </w:r>
    </w:p>
    <w:p w14:paraId="6DAAB237" w14:textId="77777777" w:rsidR="003A02F6" w:rsidRPr="00CF119C" w:rsidRDefault="003A02F6" w:rsidP="003A02F6">
      <w:pPr>
        <w:spacing w:after="0"/>
        <w:jc w:val="center"/>
        <w:rPr>
          <w:rFonts w:eastAsia="Times New Roman" w:cs="Times New Roman"/>
          <w:color w:val="000000" w:themeColor="text1"/>
          <w:szCs w:val="24"/>
          <w:lang w:val="en-GB" w:bidi="bn-IN"/>
        </w:rPr>
      </w:pPr>
      <w:r w:rsidRPr="00CF119C">
        <w:rPr>
          <w:rFonts w:cs="Times New Roman"/>
          <w:noProof/>
          <w:color w:val="000000" w:themeColor="text1"/>
          <w:szCs w:val="24"/>
          <w:lang w:val="en-US"/>
        </w:rPr>
        <w:drawing>
          <wp:inline distT="0" distB="0" distL="0" distR="0" wp14:anchorId="5CA2ADDD" wp14:editId="67F4D9F7">
            <wp:extent cx="2800350" cy="2726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06347" cy="2732689"/>
                    </a:xfrm>
                    <a:prstGeom prst="rect">
                      <a:avLst/>
                    </a:prstGeom>
                  </pic:spPr>
                </pic:pic>
              </a:graphicData>
            </a:graphic>
          </wp:inline>
        </w:drawing>
      </w:r>
    </w:p>
    <w:p w14:paraId="4883E470" w14:textId="77777777" w:rsidR="003A02F6" w:rsidRPr="00CF119C" w:rsidRDefault="003A02F6" w:rsidP="003A02F6">
      <w:pPr>
        <w:spacing w:after="0"/>
        <w:jc w:val="center"/>
        <w:rPr>
          <w:rFonts w:eastAsia="Times New Roman" w:cs="Times New Roman"/>
          <w:b/>
          <w:bCs/>
          <w:color w:val="000000" w:themeColor="text1"/>
          <w:szCs w:val="24"/>
          <w:lang w:val="en-GB" w:bidi="bn-IN"/>
        </w:rPr>
      </w:pPr>
      <w:r w:rsidRPr="00CF119C">
        <w:rPr>
          <w:rFonts w:eastAsia="Times New Roman" w:cs="Times New Roman"/>
          <w:b/>
          <w:bCs/>
          <w:color w:val="000000" w:themeColor="text1"/>
          <w:szCs w:val="24"/>
          <w:lang w:val="en-GB" w:bidi="bn-IN"/>
        </w:rPr>
        <w:t>Source:</w:t>
      </w:r>
      <w:r w:rsidRPr="00CF119C">
        <w:rPr>
          <w:rFonts w:cs="Times New Roman"/>
          <w:b/>
          <w:bCs/>
          <w:color w:val="000000" w:themeColor="text1"/>
          <w:szCs w:val="24"/>
        </w:rPr>
        <w:t xml:space="preserve"> </w:t>
      </w:r>
      <w:r w:rsidR="00B707D1" w:rsidRPr="00CF119C">
        <w:rPr>
          <w:rFonts w:eastAsia="Times New Roman" w:cs="Times New Roman"/>
          <w:noProof/>
          <w:color w:val="000000" w:themeColor="text1"/>
          <w:szCs w:val="24"/>
          <w:lang w:val="en-US" w:bidi="bn-IN"/>
        </w:rPr>
        <w:t>(Flaherty, et al., 2019)</w:t>
      </w:r>
    </w:p>
    <w:p w14:paraId="06DF6B4B"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 </w:t>
      </w:r>
      <w:r w:rsidR="008F20A6" w:rsidRPr="00CF119C">
        <w:rPr>
          <w:rFonts w:eastAsia="Times New Roman" w:cs="Times New Roman"/>
          <w:color w:val="000000" w:themeColor="text1"/>
          <w:szCs w:val="24"/>
          <w:lang w:val="en-GB" w:bidi="bn-IN"/>
        </w:rPr>
        <w:t>The</w:t>
      </w:r>
      <w:r w:rsidRPr="00CF119C">
        <w:rPr>
          <w:rFonts w:eastAsia="Times New Roman" w:cs="Times New Roman"/>
          <w:color w:val="000000" w:themeColor="text1"/>
          <w:szCs w:val="24"/>
          <w:lang w:val="en-GB" w:bidi="bn-IN"/>
        </w:rPr>
        <w:t xml:space="preserve"> learning style encompasses four consecutive stages namely concrete experience, reflective observation, active experimentation and abstract conceptualisation. All those steps are helpful for acquiring proper knowledge which will be effective for getting a job the method of problem-solving is mainly used in the learning style of Kolb where the converges, diverges, accommodator and assimilate are there all to put together in learning cycle of Kolb</w:t>
      </w:r>
      <w:r w:rsidR="005E2945" w:rsidRPr="00CF119C">
        <w:rPr>
          <w:rFonts w:eastAsia="Times New Roman" w:cs="Times New Roman"/>
          <w:noProof/>
          <w:color w:val="000000" w:themeColor="text1"/>
          <w:szCs w:val="24"/>
          <w:lang w:val="en-US" w:bidi="bn-IN"/>
        </w:rPr>
        <w:t xml:space="preserve"> (Flaherty, et al.</w:t>
      </w:r>
      <w:r w:rsidR="00B707D1" w:rsidRPr="00CF119C">
        <w:rPr>
          <w:rFonts w:eastAsia="Times New Roman" w:cs="Times New Roman"/>
          <w:noProof/>
          <w:color w:val="000000" w:themeColor="text1"/>
          <w:szCs w:val="24"/>
          <w:lang w:val="en-US" w:bidi="bn-IN"/>
        </w:rPr>
        <w:t>, 2019)</w:t>
      </w:r>
      <w:r w:rsidR="00B707D1" w:rsidRPr="00CF119C">
        <w:rPr>
          <w:rFonts w:eastAsia="Times New Roman" w:cs="Times New Roman"/>
          <w:color w:val="000000" w:themeColor="text1"/>
          <w:szCs w:val="24"/>
          <w:lang w:val="en-GB" w:bidi="bn-IN"/>
        </w:rPr>
        <w:t xml:space="preserve">. </w:t>
      </w:r>
      <w:r w:rsidRPr="00CF119C">
        <w:rPr>
          <w:rFonts w:eastAsia="Times New Roman" w:cs="Times New Roman"/>
          <w:color w:val="000000" w:themeColor="text1"/>
          <w:szCs w:val="24"/>
          <w:lang w:val="en-GB" w:bidi="bn-IN"/>
        </w:rPr>
        <w:lastRenderedPageBreak/>
        <w:t>According to the area of advantages, skills and competencies, it is to say that learning cycle is important for the escalation of the practical and experiential approach of learning. </w:t>
      </w:r>
    </w:p>
    <w:p w14:paraId="4423BE1D"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6" w:name="_Toc46590291"/>
      <w:r w:rsidRPr="00CF119C">
        <w:rPr>
          <w:rFonts w:eastAsia="Times New Roman" w:cs="Times New Roman"/>
          <w:color w:val="000000" w:themeColor="text1"/>
          <w:sz w:val="24"/>
          <w:szCs w:val="24"/>
          <w:lang w:val="en-GB"/>
        </w:rPr>
        <w:t>Mandatory skills for acquiring the area of employability</w:t>
      </w:r>
      <w:bookmarkEnd w:id="6"/>
    </w:p>
    <w:p w14:paraId="2A413C46"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Planning and organizing skills-</w:t>
      </w:r>
      <w:r w:rsidRPr="00CF119C">
        <w:rPr>
          <w:rFonts w:eastAsia="Times New Roman" w:cs="Times New Roman"/>
          <w:color w:val="000000" w:themeColor="text1"/>
          <w:szCs w:val="24"/>
          <w:lang w:val="en-GB" w:bidi="bn-IN"/>
        </w:rPr>
        <w:t xml:space="preserve"> in the learning process, a learner needs to look into the matter of different kinds of planning and Organisation skill that is important for being a competent applicant. Along with academic references, promptness is also necessary for getting a job</w:t>
      </w:r>
      <w:r w:rsidR="005E2945" w:rsidRPr="00CF119C">
        <w:rPr>
          <w:rFonts w:eastAsia="Times New Roman" w:cs="Times New Roman"/>
          <w:noProof/>
          <w:color w:val="000000" w:themeColor="text1"/>
          <w:szCs w:val="24"/>
          <w:lang w:val="en-US" w:bidi="bn-IN"/>
        </w:rPr>
        <w:t xml:space="preserve"> (Di Gregorio, et al., 2019)</w:t>
      </w:r>
      <w:r w:rsidR="00B707D1" w:rsidRPr="00CF119C">
        <w:rPr>
          <w:rFonts w:eastAsia="Times New Roman" w:cs="Times New Roman"/>
          <w:noProof/>
          <w:color w:val="000000" w:themeColor="text1"/>
          <w:szCs w:val="24"/>
          <w:lang w:val="en-US" w:bidi="bn-IN"/>
        </w:rPr>
        <w:t>.</w:t>
      </w:r>
      <w:r w:rsidRPr="00CF119C">
        <w:rPr>
          <w:rFonts w:eastAsia="Times New Roman" w:cs="Times New Roman"/>
          <w:color w:val="000000" w:themeColor="text1"/>
          <w:szCs w:val="24"/>
          <w:lang w:val="en-GB" w:bidi="bn-IN"/>
        </w:rPr>
        <w:t xml:space="preserve"> The process of organising work is also important along with all kinds of academic and other necessary skills. </w:t>
      </w:r>
    </w:p>
    <w:p w14:paraId="23B205D3"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 xml:space="preserve">Communication skills- </w:t>
      </w:r>
      <w:r w:rsidRPr="00CF119C">
        <w:rPr>
          <w:rFonts w:eastAsia="Times New Roman" w:cs="Times New Roman"/>
          <w:color w:val="000000" w:themeColor="text1"/>
          <w:szCs w:val="24"/>
          <w:lang w:val="en-GB" w:bidi="bn-IN"/>
        </w:rPr>
        <w:t>The process of executing effective communication is also important for the position of a career. After gathering knowledge about anything coma it is necessary to demonstrate it a proper way.</w:t>
      </w:r>
    </w:p>
    <w:p w14:paraId="7F96328F"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 xml:space="preserve">Area of negotiation- </w:t>
      </w:r>
      <w:r w:rsidRPr="00CF119C">
        <w:rPr>
          <w:rFonts w:eastAsia="Times New Roman" w:cs="Times New Roman"/>
          <w:color w:val="000000" w:themeColor="text1"/>
          <w:szCs w:val="24"/>
          <w:lang w:val="en-GB" w:bidi="bn-IN"/>
        </w:rPr>
        <w:t xml:space="preserve">The area of negotiation is also </w:t>
      </w:r>
      <w:r w:rsidR="009B54AA" w:rsidRPr="00CF119C">
        <w:rPr>
          <w:rFonts w:eastAsia="Times New Roman" w:cs="Times New Roman"/>
          <w:color w:val="000000" w:themeColor="text1"/>
          <w:szCs w:val="24"/>
          <w:lang w:val="en-GB" w:bidi="bn-IN"/>
        </w:rPr>
        <w:t>necessary to be i</w:t>
      </w:r>
      <w:r w:rsidRPr="00CF119C">
        <w:rPr>
          <w:rFonts w:eastAsia="Times New Roman" w:cs="Times New Roman"/>
          <w:color w:val="000000" w:themeColor="text1"/>
          <w:szCs w:val="24"/>
          <w:lang w:val="en-GB" w:bidi="bn-IN"/>
        </w:rPr>
        <w:t>ncorporated in the processing of learning and training. The skill of negotiation helps to take a proper decision even in an unfavourable situation</w:t>
      </w:r>
    </w:p>
    <w:p w14:paraId="401EA005"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Self-evaluation and planning</w:t>
      </w:r>
    </w:p>
    <w:p w14:paraId="71EDB442"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Advantages</w:t>
      </w:r>
    </w:p>
    <w:p w14:paraId="47293D04" w14:textId="77777777" w:rsidR="00F702B6" w:rsidRPr="00CF119C" w:rsidRDefault="00F702B6" w:rsidP="00F702B6">
      <w:pPr>
        <w:numPr>
          <w:ilvl w:val="0"/>
          <w:numId w:val="1"/>
        </w:numPr>
        <w:spacing w:after="0"/>
        <w:textAlignment w:val="baseline"/>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the capacity to learn anything quickly and memorize it properly.</w:t>
      </w:r>
    </w:p>
    <w:p w14:paraId="141691CE" w14:textId="77777777" w:rsidR="00F702B6" w:rsidRPr="00CF119C" w:rsidRDefault="00F702B6" w:rsidP="00F702B6">
      <w:pPr>
        <w:numPr>
          <w:ilvl w:val="0"/>
          <w:numId w:val="1"/>
        </w:numPr>
        <w:spacing w:after="0"/>
        <w:textAlignment w:val="baseline"/>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the power of communication with all kinds of people in the society which helps me be proficient and resilient as well.</w:t>
      </w:r>
    </w:p>
    <w:p w14:paraId="40E44D06" w14:textId="77777777" w:rsidR="00F702B6" w:rsidRPr="00CF119C" w:rsidRDefault="00F702B6" w:rsidP="00F702B6">
      <w:pPr>
        <w:numPr>
          <w:ilvl w:val="0"/>
          <w:numId w:val="1"/>
        </w:numPr>
        <w:spacing w:after="0"/>
        <w:textAlignment w:val="baseline"/>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the tenacity of learning a new thing with proper patience.</w:t>
      </w:r>
    </w:p>
    <w:p w14:paraId="116BBA12" w14:textId="77777777" w:rsidR="00F702B6"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Shortcomings</w:t>
      </w:r>
    </w:p>
    <w:p w14:paraId="6CCE04AD" w14:textId="77777777" w:rsidR="00F702B6" w:rsidRPr="00CF119C" w:rsidRDefault="00F702B6" w:rsidP="00F702B6">
      <w:pPr>
        <w:numPr>
          <w:ilvl w:val="0"/>
          <w:numId w:val="2"/>
        </w:numPr>
        <w:spacing w:after="0"/>
        <w:textAlignment w:val="baseline"/>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I often get puzzled when I usually run out of time. In that case, it is necessary for </w:t>
      </w:r>
      <w:r w:rsidR="00310686" w:rsidRPr="00CF119C">
        <w:rPr>
          <w:rFonts w:eastAsia="Times New Roman" w:cs="Times New Roman"/>
          <w:color w:val="000000" w:themeColor="text1"/>
          <w:szCs w:val="24"/>
          <w:lang w:val="en-GB" w:bidi="bn-IN"/>
        </w:rPr>
        <w:t>me</w:t>
      </w:r>
      <w:r w:rsidRPr="00CF119C">
        <w:rPr>
          <w:rFonts w:eastAsia="Times New Roman" w:cs="Times New Roman"/>
          <w:color w:val="000000" w:themeColor="text1"/>
          <w:szCs w:val="24"/>
          <w:lang w:val="en-GB" w:bidi="bn-IN"/>
        </w:rPr>
        <w:t xml:space="preserve"> to learn the process of time management to get rid of the problems of this kind of tension.</w:t>
      </w:r>
    </w:p>
    <w:p w14:paraId="36964D45" w14:textId="77777777" w:rsidR="00F702B6" w:rsidRPr="00CF119C" w:rsidRDefault="00F702B6" w:rsidP="00F702B6">
      <w:pPr>
        <w:numPr>
          <w:ilvl w:val="0"/>
          <w:numId w:val="2"/>
        </w:numPr>
        <w:spacing w:after="0"/>
        <w:textAlignment w:val="baseline"/>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to learn some easy tricks which will surely help me persist in the competitiveness of the market.</w:t>
      </w:r>
    </w:p>
    <w:p w14:paraId="3F1F239D" w14:textId="77777777" w:rsidR="005E2945" w:rsidRPr="00CF119C" w:rsidRDefault="00F702B6" w:rsidP="00310686">
      <w:pPr>
        <w:numPr>
          <w:ilvl w:val="0"/>
          <w:numId w:val="2"/>
        </w:numPr>
        <w:spacing w:after="0"/>
        <w:textAlignment w:val="baseline"/>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also problems regarding multiple languages which is actually hampering my career.</w:t>
      </w:r>
    </w:p>
    <w:p w14:paraId="28A605D1" w14:textId="77777777" w:rsidR="00F702B6" w:rsidRPr="00CF119C" w:rsidRDefault="005E2945" w:rsidP="00B912E6">
      <w:pPr>
        <w:spacing w:after="160" w:line="259" w:lineRule="auto"/>
        <w:jc w:val="left"/>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br w:type="page"/>
      </w:r>
    </w:p>
    <w:p w14:paraId="0439FD38" w14:textId="77777777" w:rsidR="00F702B6" w:rsidRPr="00CF119C" w:rsidRDefault="00F702B6" w:rsidP="00310686">
      <w:pPr>
        <w:pStyle w:val="Heading1"/>
        <w:spacing w:before="0"/>
        <w:rPr>
          <w:rFonts w:eastAsia="Times New Roman" w:cs="Times New Roman"/>
          <w:color w:val="000000" w:themeColor="text1"/>
          <w:sz w:val="24"/>
          <w:szCs w:val="24"/>
          <w:lang w:val="en-GB"/>
        </w:rPr>
      </w:pPr>
      <w:bookmarkStart w:id="7" w:name="_Toc46590292"/>
      <w:r w:rsidRPr="00CF119C">
        <w:rPr>
          <w:rFonts w:eastAsia="Times New Roman" w:cs="Times New Roman"/>
          <w:color w:val="000000" w:themeColor="text1"/>
          <w:sz w:val="24"/>
          <w:szCs w:val="24"/>
          <w:lang w:val="en-GB"/>
        </w:rPr>
        <w:lastRenderedPageBreak/>
        <w:t>Personal and Professional Development Plan</w:t>
      </w:r>
      <w:bookmarkEnd w:id="7"/>
    </w:p>
    <w:tbl>
      <w:tblPr>
        <w:tblW w:w="0" w:type="auto"/>
        <w:tblCellMar>
          <w:top w:w="15" w:type="dxa"/>
          <w:left w:w="15" w:type="dxa"/>
          <w:bottom w:w="15" w:type="dxa"/>
          <w:right w:w="15" w:type="dxa"/>
        </w:tblCellMar>
        <w:tblLook w:val="04A0" w:firstRow="1" w:lastRow="0" w:firstColumn="1" w:lastColumn="0" w:noHBand="0" w:noVBand="1"/>
      </w:tblPr>
      <w:tblGrid>
        <w:gridCol w:w="2003"/>
        <w:gridCol w:w="1144"/>
        <w:gridCol w:w="3576"/>
        <w:gridCol w:w="2617"/>
      </w:tblGrid>
      <w:tr w:rsidR="00CF119C" w:rsidRPr="00CF119C" w14:paraId="204E37A4" w14:textId="77777777" w:rsidTr="00F702B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B3FC19" w14:textId="77777777" w:rsidR="00F702B6" w:rsidRPr="00CF119C" w:rsidRDefault="00F702B6" w:rsidP="00476243">
            <w:pPr>
              <w:spacing w:before="240" w:after="0"/>
              <w:jc w:val="center"/>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B321B" w14:textId="77777777" w:rsidR="00F702B6" w:rsidRPr="00CF119C" w:rsidRDefault="00F702B6" w:rsidP="00476243">
            <w:pPr>
              <w:spacing w:before="240" w:after="0"/>
              <w:jc w:val="center"/>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Current position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1E2CA5" w14:textId="77777777" w:rsidR="00F702B6" w:rsidRPr="00CF119C" w:rsidRDefault="00F702B6" w:rsidP="00476243">
            <w:pPr>
              <w:spacing w:before="240" w:after="0"/>
              <w:jc w:val="center"/>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Activities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A39313" w14:textId="77777777" w:rsidR="00F702B6" w:rsidRPr="00CF119C" w:rsidRDefault="00F702B6" w:rsidP="00476243">
            <w:pPr>
              <w:spacing w:before="240" w:after="0"/>
              <w:jc w:val="center"/>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Success criteria</w:t>
            </w:r>
          </w:p>
        </w:tc>
      </w:tr>
      <w:tr w:rsidR="00CF119C" w:rsidRPr="00CF119C" w14:paraId="656B696D" w14:textId="77777777" w:rsidTr="007B1B77">
        <w:trPr>
          <w:trHeight w:val="229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94C17"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A9136E"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 Average</w:t>
            </w:r>
          </w:p>
          <w:p w14:paraId="3F5B2D37"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E2710C"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average communication skills which I will develop by learning different kinds of languages</w:t>
            </w:r>
            <w:r w:rsidR="00B912E6" w:rsidRPr="00CF119C">
              <w:rPr>
                <w:rFonts w:eastAsia="Times New Roman" w:cs="Times New Roman"/>
                <w:noProof/>
                <w:color w:val="000000" w:themeColor="text1"/>
                <w:szCs w:val="24"/>
                <w:lang w:val="en-US" w:bidi="bn-IN"/>
              </w:rPr>
              <w:t xml:space="preserve"> (Kinsey, 2017)</w:t>
            </w:r>
            <w:r w:rsidRPr="00CF119C">
              <w:rPr>
                <w:rFonts w:eastAsia="Times New Roman" w:cs="Times New Roman"/>
                <w:color w:val="000000" w:themeColor="text1"/>
                <w:szCs w:val="24"/>
                <w:lang w:val="en-GB" w:bidi="bn-IN"/>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79993"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will be able to solve all the problems of the customers by following the area of all kinds of communication. </w:t>
            </w:r>
          </w:p>
        </w:tc>
      </w:tr>
      <w:tr w:rsidR="00CF119C" w:rsidRPr="00CF119C" w14:paraId="02BD99F8" w14:textId="77777777" w:rsidTr="007B1B77">
        <w:trPr>
          <w:trHeight w:val="14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8704F"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Problem-solving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B96E41"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 Good</w:t>
            </w:r>
          </w:p>
          <w:p w14:paraId="6EC76823"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F2ED37"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My problem-solving skill is good and I will make it even better by following all the other senior.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34366"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 I will be able to take proper decision in an </w:t>
            </w:r>
            <w:r w:rsidR="00310686" w:rsidRPr="00CF119C">
              <w:rPr>
                <w:rFonts w:eastAsia="Times New Roman" w:cs="Times New Roman"/>
                <w:color w:val="000000" w:themeColor="text1"/>
                <w:szCs w:val="24"/>
                <w:lang w:val="en-GB" w:bidi="bn-IN"/>
              </w:rPr>
              <w:t>unfavourable</w:t>
            </w:r>
            <w:r w:rsidRPr="00CF119C">
              <w:rPr>
                <w:rFonts w:eastAsia="Times New Roman" w:cs="Times New Roman"/>
                <w:color w:val="000000" w:themeColor="text1"/>
                <w:szCs w:val="24"/>
                <w:lang w:val="en-GB" w:bidi="bn-IN"/>
              </w:rPr>
              <w:t xml:space="preserve"> situation.</w:t>
            </w:r>
          </w:p>
        </w:tc>
      </w:tr>
      <w:tr w:rsidR="00CF119C" w:rsidRPr="00CF119C" w14:paraId="17C4F9B8" w14:textId="77777777" w:rsidTr="00F702B6">
        <w:trPr>
          <w:trHeight w:val="20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C86096"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Planning and organization skills</w:t>
            </w:r>
          </w:p>
          <w:p w14:paraId="282E3BC1"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B71CC1"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 excellent</w:t>
            </w:r>
          </w:p>
          <w:p w14:paraId="5BD6D015"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9A9C4"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great organizing and planning skills and I want to enhance it in more detailed manner to be a proficient leader. I will also be able to understand the progress of the process through this.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2B2E0"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will be able to conduct all kinds of short and long projects.</w:t>
            </w:r>
          </w:p>
        </w:tc>
      </w:tr>
      <w:tr w:rsidR="00CF119C" w:rsidRPr="00CF119C" w14:paraId="0CBAF257" w14:textId="77777777" w:rsidTr="00F702B6">
        <w:trPr>
          <w:trHeight w:val="25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CC01D"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t>Leadership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3022F"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Good</w:t>
            </w:r>
          </w:p>
          <w:p w14:paraId="1B87A369"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4C0EC"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good leadership skills and I will enhance it in a proper manner to be more proficient. It will help to conduct different kinds of projects in an easier manner. Democratic theories of leadership would be suitable for my career.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9E60B"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will be able to lead a team in a proper manner by convincing all the employees and the other members.</w:t>
            </w:r>
          </w:p>
        </w:tc>
      </w:tr>
      <w:tr w:rsidR="00CF119C" w:rsidRPr="00CF119C" w14:paraId="316229AE" w14:textId="77777777" w:rsidTr="00F702B6">
        <w:trPr>
          <w:trHeight w:val="23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FABE0"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b/>
                <w:bCs/>
                <w:color w:val="000000" w:themeColor="text1"/>
                <w:szCs w:val="24"/>
                <w:lang w:val="en-GB" w:bidi="bn-IN"/>
              </w:rPr>
              <w:lastRenderedPageBreak/>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19A06"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xml:space="preserve"> Average</w:t>
            </w:r>
          </w:p>
          <w:p w14:paraId="6D9EB683"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CCB3BA"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have limited skills in time management. I will learn to adjust my schedules as per the urgency of the work in order to be ore punctual unto my work. Different kinds of time management matrix will help to proceed with this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17D563" w14:textId="77777777" w:rsidR="00F702B6" w:rsidRPr="00CF119C" w:rsidRDefault="00F702B6" w:rsidP="00F702B6">
            <w:pPr>
              <w:spacing w:before="240"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 will be able to complete all the works within proper time and also even in a tight schedule. </w:t>
            </w:r>
          </w:p>
        </w:tc>
      </w:tr>
    </w:tbl>
    <w:p w14:paraId="1DE5D593" w14:textId="77777777" w:rsidR="00F702B6" w:rsidRPr="00CF119C" w:rsidRDefault="00F702B6" w:rsidP="00F702B6">
      <w:pPr>
        <w:spacing w:after="0"/>
        <w:jc w:val="left"/>
        <w:rPr>
          <w:rFonts w:eastAsia="Times New Roman" w:cs="Times New Roman"/>
          <w:color w:val="000000" w:themeColor="text1"/>
          <w:szCs w:val="24"/>
          <w:lang w:val="en-GB" w:bidi="bn-IN"/>
        </w:rPr>
      </w:pPr>
    </w:p>
    <w:p w14:paraId="153F2852" w14:textId="77777777" w:rsidR="00F702B6" w:rsidRPr="00CF119C" w:rsidRDefault="00F702B6" w:rsidP="00F702B6">
      <w:pPr>
        <w:pStyle w:val="Heading1"/>
        <w:spacing w:before="0"/>
        <w:rPr>
          <w:rFonts w:eastAsia="Times New Roman" w:cs="Times New Roman"/>
          <w:color w:val="000000" w:themeColor="text1"/>
          <w:sz w:val="24"/>
          <w:szCs w:val="24"/>
          <w:lang w:val="en-GB"/>
        </w:rPr>
      </w:pPr>
      <w:bookmarkStart w:id="8" w:name="_Toc46590293"/>
      <w:r w:rsidRPr="00CF119C">
        <w:rPr>
          <w:rFonts w:eastAsia="Times New Roman" w:cs="Times New Roman"/>
          <w:color w:val="000000" w:themeColor="text1"/>
          <w:sz w:val="24"/>
          <w:szCs w:val="24"/>
          <w:lang w:val="en-GB"/>
        </w:rPr>
        <w:t>Conclusion</w:t>
      </w:r>
      <w:bookmarkEnd w:id="8"/>
    </w:p>
    <w:p w14:paraId="32FA82F1" w14:textId="77777777" w:rsidR="007B1B77" w:rsidRPr="00CF119C" w:rsidRDefault="00F702B6" w:rsidP="00F702B6">
      <w:pPr>
        <w:spacing w:after="0"/>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t>In this part, it can be said that the area of academics and employment are interrelated and the system is also getting circulated in it. Different kinds of employability areas are there to be acquired with the help of all kinds of learning and training. The escalation of different kinds of skills and competencies will be helpful for the persuasion of the process of career development. The professional development plan will also be helpful for the development of the area of all kinds of knowledge. </w:t>
      </w:r>
    </w:p>
    <w:p w14:paraId="4F7E3762" w14:textId="77777777" w:rsidR="00F702B6" w:rsidRPr="00CF119C" w:rsidRDefault="007B1B77" w:rsidP="007B1B77">
      <w:pPr>
        <w:spacing w:after="160" w:line="259" w:lineRule="auto"/>
        <w:jc w:val="left"/>
        <w:rPr>
          <w:rFonts w:eastAsia="Times New Roman" w:cs="Times New Roman"/>
          <w:color w:val="000000" w:themeColor="text1"/>
          <w:szCs w:val="24"/>
          <w:lang w:val="en-GB" w:bidi="bn-IN"/>
        </w:rPr>
      </w:pPr>
      <w:r w:rsidRPr="00CF119C">
        <w:rPr>
          <w:rFonts w:eastAsia="Times New Roman" w:cs="Times New Roman"/>
          <w:color w:val="000000" w:themeColor="text1"/>
          <w:szCs w:val="24"/>
          <w:lang w:val="en-GB" w:bidi="bn-IN"/>
        </w:rPr>
        <w:br w:type="page"/>
      </w:r>
    </w:p>
    <w:p w14:paraId="381F90A8" w14:textId="77777777" w:rsidR="00C62AB0" w:rsidRPr="00CF119C" w:rsidRDefault="00B912E6" w:rsidP="00B912E6">
      <w:pPr>
        <w:pStyle w:val="Heading1"/>
        <w:rPr>
          <w:rFonts w:cs="Times New Roman"/>
          <w:color w:val="000000" w:themeColor="text1"/>
          <w:sz w:val="24"/>
          <w:szCs w:val="24"/>
          <w:lang w:val="en-GB"/>
        </w:rPr>
      </w:pPr>
      <w:r w:rsidRPr="00CF119C">
        <w:rPr>
          <w:rFonts w:cs="Times New Roman"/>
          <w:color w:val="000000" w:themeColor="text1"/>
          <w:sz w:val="24"/>
          <w:szCs w:val="24"/>
          <w:lang w:val="en-GB"/>
        </w:rPr>
        <w:lastRenderedPageBreak/>
        <w:t>References</w:t>
      </w:r>
    </w:p>
    <w:sdt>
      <w:sdtPr>
        <w:rPr>
          <w:rFonts w:cs="Times New Roman"/>
          <w:color w:val="000000" w:themeColor="text1"/>
          <w:szCs w:val="24"/>
        </w:rPr>
        <w:id w:val="-573587230"/>
        <w:bibliography/>
      </w:sdtPr>
      <w:sdtEndPr/>
      <w:sdtContent>
        <w:p w14:paraId="2DFD3FA5"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Akers, R. &amp; Jennings, W., 2016. Social learning theory. </w:t>
          </w:r>
          <w:r w:rsidRPr="00CF119C">
            <w:rPr>
              <w:rFonts w:cs="Times New Roman"/>
              <w:i/>
              <w:iCs/>
              <w:noProof/>
              <w:color w:val="000000" w:themeColor="text1"/>
              <w:szCs w:val="24"/>
            </w:rPr>
            <w:t xml:space="preserve">Wiley Handbooks in Criminology and Criminal Justice, </w:t>
          </w:r>
          <w:r w:rsidRPr="00CF119C">
            <w:rPr>
              <w:rFonts w:cs="Times New Roman"/>
              <w:noProof/>
              <w:color w:val="000000" w:themeColor="text1"/>
              <w:szCs w:val="24"/>
            </w:rPr>
            <w:t>pp. 230-240.</w:t>
          </w:r>
        </w:p>
        <w:p w14:paraId="677F62C6"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Buck, R., 2019. Motivation, emotion, cognition, and communication: Definitions and notes toward a grand theory. </w:t>
          </w:r>
          <w:r w:rsidRPr="00CF119C">
            <w:rPr>
              <w:rFonts w:cs="Times New Roman"/>
              <w:i/>
              <w:iCs/>
              <w:noProof/>
              <w:color w:val="000000" w:themeColor="text1"/>
              <w:szCs w:val="24"/>
            </w:rPr>
            <w:t xml:space="preserve">Advances in Motivation Science, </w:t>
          </w:r>
          <w:r w:rsidRPr="00CF119C">
            <w:rPr>
              <w:rFonts w:cs="Times New Roman"/>
              <w:noProof/>
              <w:color w:val="000000" w:themeColor="text1"/>
              <w:szCs w:val="24"/>
            </w:rPr>
            <w:t>pp. 27-69.</w:t>
          </w:r>
        </w:p>
        <w:p w14:paraId="1CFD2ADC"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Di Gregorio, A., Maggioni, I., Mauri, C. &amp; Mazzucchelli, A., 2019. Employability skills for future marketing professionals.. </w:t>
          </w:r>
          <w:r w:rsidRPr="00CF119C">
            <w:rPr>
              <w:rFonts w:cs="Times New Roman"/>
              <w:i/>
              <w:iCs/>
              <w:noProof/>
              <w:color w:val="000000" w:themeColor="text1"/>
              <w:szCs w:val="24"/>
            </w:rPr>
            <w:t xml:space="preserve">European management journal, </w:t>
          </w:r>
          <w:r w:rsidRPr="00CF119C">
            <w:rPr>
              <w:rFonts w:cs="Times New Roman"/>
              <w:noProof/>
              <w:color w:val="000000" w:themeColor="text1"/>
              <w:szCs w:val="24"/>
            </w:rPr>
            <w:t>37(3), pp. 251-258.</w:t>
          </w:r>
        </w:p>
        <w:p w14:paraId="37620719"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Flaherty, K. et al., 2019. Nintedanib in progressive fibrosing interstitial lung diseases.. </w:t>
          </w:r>
          <w:r w:rsidRPr="00CF119C">
            <w:rPr>
              <w:rFonts w:cs="Times New Roman"/>
              <w:i/>
              <w:iCs/>
              <w:noProof/>
              <w:color w:val="000000" w:themeColor="text1"/>
              <w:szCs w:val="24"/>
            </w:rPr>
            <w:t xml:space="preserve">New England Journal of Medicine, </w:t>
          </w:r>
          <w:r w:rsidRPr="00CF119C">
            <w:rPr>
              <w:rFonts w:cs="Times New Roman"/>
              <w:noProof/>
              <w:color w:val="000000" w:themeColor="text1"/>
              <w:szCs w:val="24"/>
            </w:rPr>
            <w:t>381(18).</w:t>
          </w:r>
        </w:p>
        <w:p w14:paraId="46B7275E"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Horsburgh, J. &amp; Ippolito, K., 2018. A skill to be worked at: using social learning theory to explore the process of learning from role models in clinical settings.. </w:t>
          </w:r>
          <w:r w:rsidRPr="00CF119C">
            <w:rPr>
              <w:rFonts w:cs="Times New Roman"/>
              <w:i/>
              <w:iCs/>
              <w:noProof/>
              <w:color w:val="000000" w:themeColor="text1"/>
              <w:szCs w:val="24"/>
            </w:rPr>
            <w:t xml:space="preserve">BMC medical education, </w:t>
          </w:r>
          <w:r w:rsidRPr="00CF119C">
            <w:rPr>
              <w:rFonts w:cs="Times New Roman"/>
              <w:noProof/>
              <w:color w:val="000000" w:themeColor="text1"/>
              <w:szCs w:val="24"/>
            </w:rPr>
            <w:t>18(1), p. 156.</w:t>
          </w:r>
        </w:p>
        <w:p w14:paraId="7B6E2074"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Hourfar, F., Moshiri, B., Salahshoor, K. &amp; Elkamel, A., 2017. Real-time management of the waterflooding process using proxy reservoir modeling and data fusion theory.. </w:t>
          </w:r>
          <w:r w:rsidRPr="00CF119C">
            <w:rPr>
              <w:rFonts w:cs="Times New Roman"/>
              <w:i/>
              <w:iCs/>
              <w:noProof/>
              <w:color w:val="000000" w:themeColor="text1"/>
              <w:szCs w:val="24"/>
            </w:rPr>
            <w:t xml:space="preserve">Computers &amp; chemical engineering, </w:t>
          </w:r>
          <w:r w:rsidRPr="00CF119C">
            <w:rPr>
              <w:rFonts w:cs="Times New Roman"/>
              <w:noProof/>
              <w:color w:val="000000" w:themeColor="text1"/>
              <w:szCs w:val="24"/>
            </w:rPr>
            <w:t>Volume 106, pp. 339-354.</w:t>
          </w:r>
        </w:p>
        <w:p w14:paraId="4AE00424"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Kahveci, G. &amp; Serin, N., 2017. Structuring the learning disabilities module: A course design based on case study.. </w:t>
          </w:r>
          <w:r w:rsidRPr="00CF119C">
            <w:rPr>
              <w:rFonts w:cs="Times New Roman"/>
              <w:i/>
              <w:iCs/>
              <w:noProof/>
              <w:color w:val="000000" w:themeColor="text1"/>
              <w:szCs w:val="24"/>
            </w:rPr>
            <w:t xml:space="preserve">Cypriot Journal of Educational Sciences, </w:t>
          </w:r>
          <w:r w:rsidRPr="00CF119C">
            <w:rPr>
              <w:rFonts w:cs="Times New Roman"/>
              <w:noProof/>
              <w:color w:val="000000" w:themeColor="text1"/>
              <w:szCs w:val="24"/>
            </w:rPr>
            <w:t>12(3), pp. 108-120.</w:t>
          </w:r>
        </w:p>
        <w:p w14:paraId="0F0BB89D"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Kinsey, A., 2017. </w:t>
          </w:r>
          <w:r w:rsidRPr="00CF119C">
            <w:rPr>
              <w:rFonts w:cs="Times New Roman"/>
              <w:i/>
              <w:iCs/>
              <w:noProof/>
              <w:color w:val="000000" w:themeColor="text1"/>
              <w:szCs w:val="24"/>
            </w:rPr>
            <w:t xml:space="preserve">Importance of Team Communication Skills. </w:t>
          </w:r>
          <w:r w:rsidRPr="00CF119C">
            <w:rPr>
              <w:rFonts w:cs="Times New Roman"/>
              <w:noProof/>
              <w:color w:val="000000" w:themeColor="text1"/>
              <w:szCs w:val="24"/>
            </w:rPr>
            <w:t xml:space="preserve">[Online] </w:t>
          </w:r>
          <w:r w:rsidRPr="00CF119C">
            <w:rPr>
              <w:rFonts w:cs="Times New Roman"/>
              <w:noProof/>
              <w:color w:val="000000" w:themeColor="text1"/>
              <w:szCs w:val="24"/>
            </w:rPr>
            <w:br/>
            <w:t>Available at: https://smallbusiness.chron.com/importance-team-communication-skills-3079.html</w:t>
          </w:r>
          <w:r w:rsidRPr="00CF119C">
            <w:rPr>
              <w:rFonts w:cs="Times New Roman"/>
              <w:noProof/>
              <w:color w:val="000000" w:themeColor="text1"/>
              <w:szCs w:val="24"/>
            </w:rPr>
            <w:br/>
            <w:t>[Accessed 2020].</w:t>
          </w:r>
        </w:p>
        <w:p w14:paraId="4FB62937"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shodhganga, 2019. </w:t>
          </w:r>
          <w:r w:rsidRPr="00CF119C">
            <w:rPr>
              <w:rFonts w:cs="Times New Roman"/>
              <w:i/>
              <w:iCs/>
              <w:noProof/>
              <w:color w:val="000000" w:themeColor="text1"/>
              <w:szCs w:val="24"/>
            </w:rPr>
            <w:t xml:space="preserve">LITERATURE REVIEW. </w:t>
          </w:r>
          <w:r w:rsidRPr="00CF119C">
            <w:rPr>
              <w:rFonts w:cs="Times New Roman"/>
              <w:noProof/>
              <w:color w:val="000000" w:themeColor="text1"/>
              <w:szCs w:val="24"/>
            </w:rPr>
            <w:t xml:space="preserve">[Online] </w:t>
          </w:r>
          <w:r w:rsidRPr="00CF119C">
            <w:rPr>
              <w:rFonts w:cs="Times New Roman"/>
              <w:noProof/>
              <w:color w:val="000000" w:themeColor="text1"/>
              <w:szCs w:val="24"/>
            </w:rPr>
            <w:br/>
            <w:t>Available at: https://shodhganga.inflibnet.ac.in/bitstream/10603/171137/1/10.chapter-2.pdf</w:t>
          </w:r>
          <w:r w:rsidRPr="00CF119C">
            <w:rPr>
              <w:rFonts w:cs="Times New Roman"/>
              <w:noProof/>
              <w:color w:val="000000" w:themeColor="text1"/>
              <w:szCs w:val="24"/>
            </w:rPr>
            <w:br/>
            <w:t>[Accessed 2020].</w:t>
          </w:r>
        </w:p>
        <w:p w14:paraId="1A57F614" w14:textId="77777777" w:rsidR="00B707D1" w:rsidRPr="00CF119C" w:rsidRDefault="00B707D1" w:rsidP="00B707D1">
          <w:pPr>
            <w:pStyle w:val="Bibliography"/>
            <w:rPr>
              <w:rFonts w:cs="Times New Roman"/>
              <w:noProof/>
              <w:color w:val="000000" w:themeColor="text1"/>
              <w:szCs w:val="24"/>
            </w:rPr>
          </w:pPr>
          <w:r w:rsidRPr="00CF119C">
            <w:rPr>
              <w:rFonts w:cs="Times New Roman"/>
              <w:noProof/>
              <w:color w:val="000000" w:themeColor="text1"/>
              <w:szCs w:val="24"/>
            </w:rPr>
            <w:t xml:space="preserve">Taylor, L., 2016. What is employability and what does it mean for you?. How to Develop Your Healthcare Career. </w:t>
          </w:r>
          <w:r w:rsidRPr="00CF119C">
            <w:rPr>
              <w:rFonts w:cs="Times New Roman"/>
              <w:i/>
              <w:iCs/>
              <w:noProof/>
              <w:color w:val="000000" w:themeColor="text1"/>
              <w:szCs w:val="24"/>
            </w:rPr>
            <w:t xml:space="preserve">A Guide to Employability and Professional Development, </w:t>
          </w:r>
          <w:r w:rsidRPr="00CF119C">
            <w:rPr>
              <w:rFonts w:cs="Times New Roman"/>
              <w:noProof/>
              <w:color w:val="000000" w:themeColor="text1"/>
              <w:szCs w:val="24"/>
            </w:rPr>
            <w:t>p. 1.</w:t>
          </w:r>
        </w:p>
        <w:p w14:paraId="3B88219A" w14:textId="77777777" w:rsidR="00B912E6" w:rsidRPr="00CF119C" w:rsidRDefault="00B912E6" w:rsidP="00B912E6">
          <w:pPr>
            <w:rPr>
              <w:rFonts w:cs="Times New Roman"/>
              <w:color w:val="000000" w:themeColor="text1"/>
              <w:szCs w:val="24"/>
              <w:shd w:val="clear" w:color="auto" w:fill="FFFFFF"/>
              <w:lang w:val="en-GB"/>
            </w:rPr>
          </w:pPr>
          <w:r w:rsidRPr="00CF119C">
            <w:rPr>
              <w:rFonts w:cs="Times New Roman"/>
              <w:color w:val="000000" w:themeColor="text1"/>
              <w:szCs w:val="24"/>
              <w:shd w:val="clear" w:color="auto" w:fill="FFFFFF"/>
              <w:lang w:val="en-GB"/>
            </w:rPr>
            <w:lastRenderedPageBreak/>
            <w:t>Stevens, C., de Weerd, H., Cnossen, F. and Taatgen, N.A., 2016. A metacognitive agent for training negotiation skills. In </w:t>
          </w:r>
          <w:r w:rsidRPr="00CF119C">
            <w:rPr>
              <w:rFonts w:cs="Times New Roman"/>
              <w:i/>
              <w:iCs/>
              <w:color w:val="000000" w:themeColor="text1"/>
              <w:szCs w:val="24"/>
              <w:shd w:val="clear" w:color="auto" w:fill="FFFFFF"/>
              <w:lang w:val="en-GB"/>
            </w:rPr>
            <w:t>Proceedings of the 14th International Conference on Cognitive Modelling (ICCM 2016)</w:t>
          </w:r>
          <w:r w:rsidRPr="00CF119C">
            <w:rPr>
              <w:rFonts w:cs="Times New Roman"/>
              <w:color w:val="000000" w:themeColor="text1"/>
              <w:szCs w:val="24"/>
              <w:shd w:val="clear" w:color="auto" w:fill="FFFFFF"/>
              <w:lang w:val="en-GB"/>
            </w:rPr>
            <w:t>.</w:t>
          </w:r>
        </w:p>
        <w:p w14:paraId="707DDD98" w14:textId="77777777" w:rsidR="00B912E6" w:rsidRPr="00CF119C" w:rsidRDefault="00321387" w:rsidP="00B912E6">
          <w:pPr>
            <w:rPr>
              <w:rFonts w:cs="Times New Roman"/>
              <w:color w:val="000000" w:themeColor="text1"/>
              <w:szCs w:val="24"/>
              <w:shd w:val="clear" w:color="auto" w:fill="FFFFFF"/>
              <w:lang w:val="en-GB"/>
            </w:rPr>
          </w:pPr>
          <w:r w:rsidRPr="00CF119C">
            <w:rPr>
              <w:rFonts w:cs="Times New Roman"/>
              <w:color w:val="000000" w:themeColor="text1"/>
              <w:szCs w:val="24"/>
              <w:shd w:val="clear" w:color="auto" w:fill="FFFFFF"/>
              <w:lang w:val="en-GB"/>
            </w:rPr>
            <w:t>Sadri</w:t>
          </w:r>
          <w:r w:rsidR="00B912E6" w:rsidRPr="00CF119C">
            <w:rPr>
              <w:rFonts w:cs="Times New Roman"/>
              <w:color w:val="000000" w:themeColor="text1"/>
              <w:szCs w:val="24"/>
              <w:shd w:val="clear" w:color="auto" w:fill="FFFFFF"/>
              <w:lang w:val="en-GB"/>
            </w:rPr>
            <w:t xml:space="preserve">, I.B.N., </w:t>
          </w:r>
          <w:r w:rsidRPr="00CF119C">
            <w:rPr>
              <w:rFonts w:cs="Times New Roman"/>
              <w:color w:val="000000" w:themeColor="text1"/>
              <w:szCs w:val="24"/>
              <w:shd w:val="clear" w:color="auto" w:fill="FFFFFF"/>
              <w:lang w:val="en-GB"/>
            </w:rPr>
            <w:t>Red Hana</w:t>
          </w:r>
          <w:r w:rsidR="00B912E6" w:rsidRPr="00CF119C">
            <w:rPr>
              <w:rFonts w:cs="Times New Roman"/>
              <w:color w:val="000000" w:themeColor="text1"/>
              <w:szCs w:val="24"/>
              <w:shd w:val="clear" w:color="auto" w:fill="FFFFFF"/>
              <w:lang w:val="en-GB"/>
            </w:rPr>
            <w:t xml:space="preserve">, I.W., </w:t>
          </w:r>
          <w:r w:rsidRPr="00CF119C">
            <w:rPr>
              <w:rFonts w:cs="Times New Roman"/>
              <w:color w:val="000000" w:themeColor="text1"/>
              <w:szCs w:val="24"/>
              <w:shd w:val="clear" w:color="auto" w:fill="FFFFFF"/>
              <w:lang w:val="en-GB"/>
            </w:rPr>
            <w:t>Kira</w:t>
          </w:r>
          <w:r w:rsidR="00B912E6" w:rsidRPr="00CF119C">
            <w:rPr>
              <w:rFonts w:cs="Times New Roman"/>
              <w:color w:val="000000" w:themeColor="text1"/>
              <w:szCs w:val="24"/>
              <w:shd w:val="clear" w:color="auto" w:fill="FFFFFF"/>
              <w:lang w:val="en-GB"/>
            </w:rPr>
            <w:t xml:space="preserve">, I. and </w:t>
          </w:r>
          <w:r w:rsidRPr="00CF119C">
            <w:rPr>
              <w:rFonts w:cs="Times New Roman"/>
              <w:color w:val="000000" w:themeColor="text1"/>
              <w:szCs w:val="24"/>
              <w:shd w:val="clear" w:color="auto" w:fill="FFFFFF"/>
              <w:lang w:val="en-GB"/>
            </w:rPr>
            <w:t>Saini</w:t>
          </w:r>
          <w:r w:rsidR="00B912E6" w:rsidRPr="00CF119C">
            <w:rPr>
              <w:rFonts w:cs="Times New Roman"/>
              <w:color w:val="000000" w:themeColor="text1"/>
              <w:szCs w:val="24"/>
              <w:shd w:val="clear" w:color="auto" w:fill="FFFFFF"/>
              <w:lang w:val="en-GB"/>
            </w:rPr>
            <w:t>, D., 2018. Effect of Kolb's Learning Styles under Inductive Guided-Inquiry Learning on Learning Outcomes. </w:t>
          </w:r>
          <w:r w:rsidR="00B912E6" w:rsidRPr="00CF119C">
            <w:rPr>
              <w:rFonts w:cs="Times New Roman"/>
              <w:i/>
              <w:iCs/>
              <w:color w:val="000000" w:themeColor="text1"/>
              <w:szCs w:val="24"/>
              <w:shd w:val="clear" w:color="auto" w:fill="FFFFFF"/>
              <w:lang w:val="en-GB"/>
            </w:rPr>
            <w:t>International Journal of Instruction</w:t>
          </w:r>
          <w:r w:rsidR="00B912E6" w:rsidRPr="00CF119C">
            <w:rPr>
              <w:rFonts w:cs="Times New Roman"/>
              <w:color w:val="000000" w:themeColor="text1"/>
              <w:szCs w:val="24"/>
              <w:shd w:val="clear" w:color="auto" w:fill="FFFFFF"/>
              <w:lang w:val="en-GB"/>
            </w:rPr>
            <w:t>, </w:t>
          </w:r>
          <w:r w:rsidR="00B912E6" w:rsidRPr="00CF119C">
            <w:rPr>
              <w:rFonts w:cs="Times New Roman"/>
              <w:i/>
              <w:iCs/>
              <w:color w:val="000000" w:themeColor="text1"/>
              <w:szCs w:val="24"/>
              <w:shd w:val="clear" w:color="auto" w:fill="FFFFFF"/>
              <w:lang w:val="en-GB"/>
            </w:rPr>
            <w:t>11</w:t>
          </w:r>
          <w:r w:rsidR="00B912E6" w:rsidRPr="00CF119C">
            <w:rPr>
              <w:rFonts w:cs="Times New Roman"/>
              <w:color w:val="000000" w:themeColor="text1"/>
              <w:szCs w:val="24"/>
              <w:shd w:val="clear" w:color="auto" w:fill="FFFFFF"/>
              <w:lang w:val="en-GB"/>
            </w:rPr>
            <w:t>(1), pp.89-102.</w:t>
          </w:r>
        </w:p>
        <w:p w14:paraId="27AB0974" w14:textId="77777777" w:rsidR="00B912E6" w:rsidRPr="00CF119C" w:rsidRDefault="00B912E6" w:rsidP="00B912E6">
          <w:pPr>
            <w:rPr>
              <w:rFonts w:cs="Times New Roman"/>
              <w:color w:val="000000" w:themeColor="text1"/>
              <w:szCs w:val="24"/>
              <w:shd w:val="clear" w:color="auto" w:fill="FFFFFF"/>
              <w:lang w:val="en-GB"/>
            </w:rPr>
          </w:pPr>
          <w:r w:rsidRPr="00CF119C">
            <w:rPr>
              <w:rFonts w:cs="Times New Roman"/>
              <w:color w:val="000000" w:themeColor="text1"/>
              <w:szCs w:val="24"/>
              <w:shd w:val="clear" w:color="auto" w:fill="FFFFFF"/>
              <w:lang w:val="en-GB"/>
            </w:rPr>
            <w:t>Todd, F. ed., 2020. </w:t>
          </w:r>
          <w:r w:rsidRPr="00CF119C">
            <w:rPr>
              <w:rFonts w:cs="Times New Roman"/>
              <w:i/>
              <w:iCs/>
              <w:color w:val="000000" w:themeColor="text1"/>
              <w:szCs w:val="24"/>
              <w:shd w:val="clear" w:color="auto" w:fill="FFFFFF"/>
              <w:lang w:val="en-GB"/>
            </w:rPr>
            <w:t>Planning continuing professional development</w:t>
          </w:r>
          <w:r w:rsidRPr="00CF119C">
            <w:rPr>
              <w:rFonts w:cs="Times New Roman"/>
              <w:color w:val="000000" w:themeColor="text1"/>
              <w:szCs w:val="24"/>
              <w:shd w:val="clear" w:color="auto" w:fill="FFFFFF"/>
              <w:lang w:val="en-GB"/>
            </w:rPr>
            <w:t>. Routledge.</w:t>
          </w:r>
        </w:p>
        <w:p w14:paraId="67967D15" w14:textId="77777777" w:rsidR="00B912E6" w:rsidRPr="00CF119C" w:rsidRDefault="00321387" w:rsidP="00B912E6">
          <w:pPr>
            <w:rPr>
              <w:rFonts w:cs="Times New Roman"/>
              <w:color w:val="000000" w:themeColor="text1"/>
              <w:szCs w:val="24"/>
              <w:shd w:val="clear" w:color="auto" w:fill="FFFFFF"/>
              <w:lang w:val="en-GB"/>
            </w:rPr>
          </w:pPr>
          <w:r w:rsidRPr="00CF119C">
            <w:rPr>
              <w:rFonts w:cs="Times New Roman"/>
              <w:color w:val="000000" w:themeColor="text1"/>
              <w:szCs w:val="24"/>
              <w:shd w:val="clear" w:color="auto" w:fill="FFFFFF"/>
              <w:lang w:val="en-GB"/>
            </w:rPr>
            <w:t>Win Arno</w:t>
          </w:r>
          <w:r w:rsidR="00B912E6" w:rsidRPr="00CF119C">
            <w:rPr>
              <w:rFonts w:cs="Times New Roman"/>
              <w:color w:val="000000" w:themeColor="text1"/>
              <w:szCs w:val="24"/>
              <w:shd w:val="clear" w:color="auto" w:fill="FFFFFF"/>
              <w:lang w:val="en-GB"/>
            </w:rPr>
            <w:t xml:space="preserve">, S., </w:t>
          </w:r>
          <w:r w:rsidRPr="00CF119C">
            <w:rPr>
              <w:rFonts w:cs="Times New Roman"/>
              <w:color w:val="000000" w:themeColor="text1"/>
              <w:szCs w:val="24"/>
              <w:shd w:val="clear" w:color="auto" w:fill="FFFFFF"/>
              <w:lang w:val="en-GB"/>
            </w:rPr>
            <w:t>Moth</w:t>
          </w:r>
          <w:r w:rsidR="00B912E6" w:rsidRPr="00CF119C">
            <w:rPr>
              <w:rFonts w:cs="Times New Roman"/>
              <w:color w:val="000000" w:themeColor="text1"/>
              <w:szCs w:val="24"/>
              <w:shd w:val="clear" w:color="auto" w:fill="FFFFFF"/>
              <w:lang w:val="en-GB"/>
            </w:rPr>
            <w:t>, K.S. and Ling, L.S., 2018. Direct Problem-Based Learning (DPBL): A Framework for Integrating Direct Instruction and Problem-Based Learning Approach. </w:t>
          </w:r>
          <w:r w:rsidR="00B912E6" w:rsidRPr="00CF119C">
            <w:rPr>
              <w:rFonts w:cs="Times New Roman"/>
              <w:i/>
              <w:iCs/>
              <w:color w:val="000000" w:themeColor="text1"/>
              <w:szCs w:val="24"/>
              <w:shd w:val="clear" w:color="auto" w:fill="FFFFFF"/>
              <w:lang w:val="en-GB"/>
            </w:rPr>
            <w:t>International Education Studies</w:t>
          </w:r>
          <w:r w:rsidR="00B912E6" w:rsidRPr="00CF119C">
            <w:rPr>
              <w:rFonts w:cs="Times New Roman"/>
              <w:color w:val="000000" w:themeColor="text1"/>
              <w:szCs w:val="24"/>
              <w:shd w:val="clear" w:color="auto" w:fill="FFFFFF"/>
              <w:lang w:val="en-GB"/>
            </w:rPr>
            <w:t>, </w:t>
          </w:r>
          <w:r w:rsidR="00B912E6" w:rsidRPr="00CF119C">
            <w:rPr>
              <w:rFonts w:cs="Times New Roman"/>
              <w:i/>
              <w:iCs/>
              <w:color w:val="000000" w:themeColor="text1"/>
              <w:szCs w:val="24"/>
              <w:shd w:val="clear" w:color="auto" w:fill="FFFFFF"/>
              <w:lang w:val="en-GB"/>
            </w:rPr>
            <w:t>11</w:t>
          </w:r>
          <w:r w:rsidR="00B912E6" w:rsidRPr="00CF119C">
            <w:rPr>
              <w:rFonts w:cs="Times New Roman"/>
              <w:color w:val="000000" w:themeColor="text1"/>
              <w:szCs w:val="24"/>
              <w:shd w:val="clear" w:color="auto" w:fill="FFFFFF"/>
              <w:lang w:val="en-GB"/>
            </w:rPr>
            <w:t>(1), pp.119-126.</w:t>
          </w:r>
        </w:p>
        <w:p w14:paraId="13497595" w14:textId="77777777" w:rsidR="00B912E6" w:rsidRPr="00CF119C" w:rsidRDefault="00B912E6" w:rsidP="00B912E6">
          <w:pPr>
            <w:rPr>
              <w:rFonts w:cs="Times New Roman"/>
              <w:color w:val="000000" w:themeColor="text1"/>
              <w:szCs w:val="24"/>
              <w:shd w:val="clear" w:color="auto" w:fill="FFFFFF"/>
              <w:lang w:val="en-GB"/>
            </w:rPr>
          </w:pPr>
          <w:r w:rsidRPr="00CF119C">
            <w:rPr>
              <w:rFonts w:cs="Times New Roman"/>
              <w:color w:val="000000" w:themeColor="text1"/>
              <w:szCs w:val="24"/>
              <w:shd w:val="clear" w:color="auto" w:fill="FFFFFF"/>
              <w:lang w:val="en-GB"/>
            </w:rPr>
            <w:t>Yarbrough, J.R., 2018. Adapting Adult Learning Theory to Support Innovative, Advanced, Online Learning--WVMD Model. </w:t>
          </w:r>
          <w:r w:rsidRPr="00CF119C">
            <w:rPr>
              <w:rFonts w:cs="Times New Roman"/>
              <w:i/>
              <w:iCs/>
              <w:color w:val="000000" w:themeColor="text1"/>
              <w:szCs w:val="24"/>
              <w:shd w:val="clear" w:color="auto" w:fill="FFFFFF"/>
              <w:lang w:val="en-GB"/>
            </w:rPr>
            <w:t>Research in Higher Education Journal</w:t>
          </w:r>
          <w:r w:rsidRPr="00CF119C">
            <w:rPr>
              <w:rFonts w:cs="Times New Roman"/>
              <w:color w:val="000000" w:themeColor="text1"/>
              <w:szCs w:val="24"/>
              <w:shd w:val="clear" w:color="auto" w:fill="FFFFFF"/>
              <w:lang w:val="en-GB"/>
            </w:rPr>
            <w:t>, </w:t>
          </w:r>
          <w:r w:rsidRPr="00CF119C">
            <w:rPr>
              <w:rFonts w:cs="Times New Roman"/>
              <w:i/>
              <w:iCs/>
              <w:color w:val="000000" w:themeColor="text1"/>
              <w:szCs w:val="24"/>
              <w:shd w:val="clear" w:color="auto" w:fill="FFFFFF"/>
              <w:lang w:val="en-GB"/>
            </w:rPr>
            <w:t>35</w:t>
          </w:r>
          <w:r w:rsidRPr="00CF119C">
            <w:rPr>
              <w:rFonts w:cs="Times New Roman"/>
              <w:color w:val="000000" w:themeColor="text1"/>
              <w:szCs w:val="24"/>
              <w:shd w:val="clear" w:color="auto" w:fill="FFFFFF"/>
              <w:lang w:val="en-GB"/>
            </w:rPr>
            <w:t>.</w:t>
          </w:r>
        </w:p>
        <w:p w14:paraId="04309EA3" w14:textId="77777777" w:rsidR="00B912E6" w:rsidRPr="00CF119C" w:rsidRDefault="00B912E6" w:rsidP="00B912E6">
          <w:pPr>
            <w:rPr>
              <w:rFonts w:cs="Times New Roman"/>
              <w:color w:val="000000" w:themeColor="text1"/>
              <w:szCs w:val="24"/>
              <w:shd w:val="clear" w:color="auto" w:fill="FFFFFF"/>
              <w:lang w:val="en-GB"/>
            </w:rPr>
          </w:pPr>
          <w:r w:rsidRPr="00CF119C">
            <w:rPr>
              <w:rFonts w:cs="Times New Roman"/>
              <w:color w:val="000000" w:themeColor="text1"/>
              <w:szCs w:val="24"/>
              <w:shd w:val="clear" w:color="auto" w:fill="FFFFFF"/>
              <w:lang w:val="en-GB"/>
            </w:rPr>
            <w:t xml:space="preserve">Yew, E.H. and </w:t>
          </w:r>
          <w:r w:rsidR="00321387" w:rsidRPr="00CF119C">
            <w:rPr>
              <w:rFonts w:cs="Times New Roman"/>
              <w:color w:val="000000" w:themeColor="text1"/>
              <w:szCs w:val="24"/>
              <w:shd w:val="clear" w:color="auto" w:fill="FFFFFF"/>
              <w:lang w:val="en-GB"/>
            </w:rPr>
            <w:t>Go</w:t>
          </w:r>
          <w:r w:rsidRPr="00CF119C">
            <w:rPr>
              <w:rFonts w:cs="Times New Roman"/>
              <w:color w:val="000000" w:themeColor="text1"/>
              <w:szCs w:val="24"/>
              <w:shd w:val="clear" w:color="auto" w:fill="FFFFFF"/>
              <w:lang w:val="en-GB"/>
            </w:rPr>
            <w:t>, K., 2016. Problem-based learning: An overview of its process and impact on learning. </w:t>
          </w:r>
          <w:r w:rsidRPr="00CF119C">
            <w:rPr>
              <w:rFonts w:cs="Times New Roman"/>
              <w:i/>
              <w:iCs/>
              <w:color w:val="000000" w:themeColor="text1"/>
              <w:szCs w:val="24"/>
              <w:shd w:val="clear" w:color="auto" w:fill="FFFFFF"/>
              <w:lang w:val="en-GB"/>
            </w:rPr>
            <w:t>Health Professions Education</w:t>
          </w:r>
          <w:r w:rsidRPr="00CF119C">
            <w:rPr>
              <w:rFonts w:cs="Times New Roman"/>
              <w:color w:val="000000" w:themeColor="text1"/>
              <w:szCs w:val="24"/>
              <w:shd w:val="clear" w:color="auto" w:fill="FFFFFF"/>
              <w:lang w:val="en-GB"/>
            </w:rPr>
            <w:t>, </w:t>
          </w:r>
          <w:r w:rsidRPr="00CF119C">
            <w:rPr>
              <w:rFonts w:cs="Times New Roman"/>
              <w:i/>
              <w:iCs/>
              <w:color w:val="000000" w:themeColor="text1"/>
              <w:szCs w:val="24"/>
              <w:shd w:val="clear" w:color="auto" w:fill="FFFFFF"/>
              <w:lang w:val="en-GB"/>
            </w:rPr>
            <w:t>2</w:t>
          </w:r>
          <w:r w:rsidRPr="00CF119C">
            <w:rPr>
              <w:rFonts w:cs="Times New Roman"/>
              <w:color w:val="000000" w:themeColor="text1"/>
              <w:szCs w:val="24"/>
              <w:shd w:val="clear" w:color="auto" w:fill="FFFFFF"/>
              <w:lang w:val="en-GB"/>
            </w:rPr>
            <w:t>(2), pp.75-79.</w:t>
          </w:r>
        </w:p>
        <w:p w14:paraId="58428DF5" w14:textId="77777777" w:rsidR="00B707D1" w:rsidRPr="00CF119C" w:rsidRDefault="009E7DED" w:rsidP="00B707D1">
          <w:pPr>
            <w:pStyle w:val="Bibliography"/>
            <w:rPr>
              <w:rFonts w:cs="Times New Roman"/>
              <w:color w:val="000000" w:themeColor="text1"/>
              <w:szCs w:val="24"/>
            </w:rPr>
          </w:pPr>
        </w:p>
      </w:sdtContent>
    </w:sdt>
    <w:p w14:paraId="0C4CD96E" w14:textId="77777777" w:rsidR="00B912E6" w:rsidRPr="00CF119C" w:rsidRDefault="00B912E6" w:rsidP="00B912E6">
      <w:pPr>
        <w:rPr>
          <w:rFonts w:cs="Times New Roman"/>
          <w:color w:val="000000" w:themeColor="text1"/>
          <w:szCs w:val="24"/>
        </w:rPr>
      </w:pPr>
    </w:p>
    <w:p w14:paraId="7B3E1A3D" w14:textId="77777777" w:rsidR="00B912E6" w:rsidRPr="00CF119C" w:rsidRDefault="00B912E6" w:rsidP="00B912E6">
      <w:pPr>
        <w:rPr>
          <w:rFonts w:cs="Times New Roman"/>
          <w:color w:val="000000" w:themeColor="text1"/>
          <w:szCs w:val="24"/>
          <w:lang w:val="en-GB" w:bidi="bn-IN"/>
        </w:rPr>
      </w:pPr>
    </w:p>
    <w:sectPr w:rsidR="00B912E6" w:rsidRPr="00CF119C">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679793" w14:textId="77777777" w:rsidR="009E7DED" w:rsidRDefault="009E7DED" w:rsidP="00F702B6">
      <w:pPr>
        <w:spacing w:after="0" w:line="240" w:lineRule="auto"/>
      </w:pPr>
      <w:r>
        <w:separator/>
      </w:r>
    </w:p>
  </w:endnote>
  <w:endnote w:type="continuationSeparator" w:id="0">
    <w:p w14:paraId="380495B8" w14:textId="77777777" w:rsidR="009E7DED" w:rsidRDefault="009E7DED" w:rsidP="00F70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259961"/>
      <w:docPartObj>
        <w:docPartGallery w:val="Page Numbers (Bottom of Page)"/>
        <w:docPartUnique/>
      </w:docPartObj>
    </w:sdtPr>
    <w:sdtEndPr>
      <w:rPr>
        <w:noProof/>
      </w:rPr>
    </w:sdtEndPr>
    <w:sdtContent>
      <w:p w14:paraId="4883B166" w14:textId="77777777" w:rsidR="00F702B6" w:rsidRDefault="00F702B6">
        <w:pPr>
          <w:pStyle w:val="Footer"/>
          <w:jc w:val="right"/>
        </w:pPr>
        <w:r>
          <w:fldChar w:fldCharType="begin"/>
        </w:r>
        <w:r>
          <w:instrText xml:space="preserve"> PAGE   \* MERGEFORMAT </w:instrText>
        </w:r>
        <w:r>
          <w:fldChar w:fldCharType="separate"/>
        </w:r>
        <w:r w:rsidR="00B707D1">
          <w:rPr>
            <w:noProof/>
          </w:rPr>
          <w:t>1</w:t>
        </w:r>
        <w:r>
          <w:rPr>
            <w:noProof/>
          </w:rPr>
          <w:fldChar w:fldCharType="end"/>
        </w:r>
      </w:p>
    </w:sdtContent>
  </w:sdt>
  <w:p w14:paraId="7F3977AF" w14:textId="77777777" w:rsidR="00F702B6" w:rsidRDefault="00F702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8A3A93" w14:textId="77777777" w:rsidR="009E7DED" w:rsidRDefault="009E7DED" w:rsidP="00F702B6">
      <w:pPr>
        <w:spacing w:after="0" w:line="240" w:lineRule="auto"/>
      </w:pPr>
      <w:r>
        <w:separator/>
      </w:r>
    </w:p>
  </w:footnote>
  <w:footnote w:type="continuationSeparator" w:id="0">
    <w:p w14:paraId="26281BB2" w14:textId="77777777" w:rsidR="009E7DED" w:rsidRDefault="009E7DED" w:rsidP="00F70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54137"/>
    <w:multiLevelType w:val="hybridMultilevel"/>
    <w:tmpl w:val="E0BE74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717DF2"/>
    <w:multiLevelType w:val="hybridMultilevel"/>
    <w:tmpl w:val="FC7E15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1302E5C"/>
    <w:multiLevelType w:val="multilevel"/>
    <w:tmpl w:val="6E509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AD0F9E"/>
    <w:multiLevelType w:val="multilevel"/>
    <w:tmpl w:val="B4D62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0NTQxt7A0Mja2NDBX0lEKTi0uzszPAykwqgUA8BoteCwAAAA="/>
  </w:docVars>
  <w:rsids>
    <w:rsidRoot w:val="00F702B6"/>
    <w:rsid w:val="001A199C"/>
    <w:rsid w:val="00301139"/>
    <w:rsid w:val="00310686"/>
    <w:rsid w:val="00321387"/>
    <w:rsid w:val="003A02F6"/>
    <w:rsid w:val="003D50F3"/>
    <w:rsid w:val="00442BE5"/>
    <w:rsid w:val="0045390B"/>
    <w:rsid w:val="00476243"/>
    <w:rsid w:val="005E2945"/>
    <w:rsid w:val="007B1B77"/>
    <w:rsid w:val="00873F30"/>
    <w:rsid w:val="008F20A6"/>
    <w:rsid w:val="00910D8B"/>
    <w:rsid w:val="009B54AA"/>
    <w:rsid w:val="009E7DED"/>
    <w:rsid w:val="00A83354"/>
    <w:rsid w:val="00A96C2B"/>
    <w:rsid w:val="00AE7562"/>
    <w:rsid w:val="00B20078"/>
    <w:rsid w:val="00B707D1"/>
    <w:rsid w:val="00B73E75"/>
    <w:rsid w:val="00B912E6"/>
    <w:rsid w:val="00C46799"/>
    <w:rsid w:val="00CA10B9"/>
    <w:rsid w:val="00CE6BF5"/>
    <w:rsid w:val="00CF119C"/>
    <w:rsid w:val="00CF6EC6"/>
    <w:rsid w:val="00D41543"/>
    <w:rsid w:val="00DB50D8"/>
    <w:rsid w:val="00DF727E"/>
    <w:rsid w:val="00E50CFA"/>
    <w:rsid w:val="00F25C0F"/>
    <w:rsid w:val="00F45395"/>
    <w:rsid w:val="00F702B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21DD1"/>
  <w15:docId w15:val="{B32F6BA8-A49C-4D9F-8777-55870CBC2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7562"/>
    <w:pPr>
      <w:spacing w:after="200" w:line="360" w:lineRule="auto"/>
      <w:jc w:val="both"/>
    </w:pPr>
    <w:rPr>
      <w:rFonts w:ascii="Times New Roman" w:hAnsi="Times New Roman"/>
      <w:sz w:val="24"/>
      <w:szCs w:val="22"/>
      <w:lang w:val="en-IN" w:bidi="ar-SA"/>
    </w:rPr>
  </w:style>
  <w:style w:type="paragraph" w:styleId="Heading1">
    <w:name w:val="heading 1"/>
    <w:basedOn w:val="Normal"/>
    <w:next w:val="Normal"/>
    <w:link w:val="Heading1Char"/>
    <w:uiPriority w:val="9"/>
    <w:qFormat/>
    <w:rsid w:val="00E50CFA"/>
    <w:pPr>
      <w:keepNext/>
      <w:keepLines/>
      <w:spacing w:before="480" w:after="0"/>
      <w:outlineLvl w:val="0"/>
    </w:pPr>
    <w:rPr>
      <w:rFonts w:eastAsiaTheme="majorEastAsia" w:cstheme="majorBidi"/>
      <w:b/>
      <w:bCs/>
      <w:color w:val="2E74B5" w:themeColor="accent1" w:themeShade="BF"/>
      <w:sz w:val="28"/>
      <w:szCs w:val="28"/>
      <w:lang w:bidi="bn-IN"/>
    </w:rPr>
  </w:style>
  <w:style w:type="paragraph" w:styleId="Heading2">
    <w:name w:val="heading 2"/>
    <w:basedOn w:val="Normal"/>
    <w:next w:val="Normal"/>
    <w:link w:val="Heading2Char"/>
    <w:uiPriority w:val="9"/>
    <w:unhideWhenUsed/>
    <w:qFormat/>
    <w:rsid w:val="00AE7562"/>
    <w:pPr>
      <w:keepNext/>
      <w:keepLines/>
      <w:spacing w:before="40" w:after="0"/>
      <w:outlineLvl w:val="1"/>
    </w:pPr>
    <w:rPr>
      <w:rFonts w:eastAsiaTheme="majorEastAsia" w:cstheme="majorBidi"/>
      <w:b/>
      <w:color w:val="2E74B5" w:themeColor="accent1" w:themeShade="BF"/>
      <w:sz w:val="26"/>
      <w:szCs w:val="26"/>
      <w:lang w:val="en-US"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CFA"/>
    <w:rPr>
      <w:rFonts w:ascii="Times New Roman" w:eastAsiaTheme="majorEastAsia" w:hAnsi="Times New Roman" w:cstheme="majorBidi"/>
      <w:b/>
      <w:bCs/>
      <w:color w:val="2E74B5" w:themeColor="accent1" w:themeShade="BF"/>
      <w:sz w:val="28"/>
      <w:lang w:val="en-IN"/>
    </w:rPr>
  </w:style>
  <w:style w:type="character" w:customStyle="1" w:styleId="Heading2Char">
    <w:name w:val="Heading 2 Char"/>
    <w:basedOn w:val="DefaultParagraphFont"/>
    <w:link w:val="Heading2"/>
    <w:uiPriority w:val="9"/>
    <w:rsid w:val="00AE7562"/>
    <w:rPr>
      <w:rFonts w:ascii="Times New Roman" w:eastAsiaTheme="majorEastAsia" w:hAnsi="Times New Roman" w:cstheme="majorBidi"/>
      <w:b/>
      <w:color w:val="2E74B5" w:themeColor="accent1" w:themeShade="BF"/>
      <w:sz w:val="26"/>
      <w:szCs w:val="26"/>
    </w:rPr>
  </w:style>
  <w:style w:type="paragraph" w:styleId="NoSpacing">
    <w:name w:val="No Spacing"/>
    <w:uiPriority w:val="1"/>
    <w:qFormat/>
    <w:rsid w:val="00E50CFA"/>
    <w:pPr>
      <w:spacing w:after="0" w:line="240" w:lineRule="auto"/>
      <w:jc w:val="both"/>
    </w:pPr>
    <w:rPr>
      <w:rFonts w:ascii="Times New Roman" w:hAnsi="Times New Roman"/>
      <w:sz w:val="24"/>
      <w:szCs w:val="22"/>
      <w:lang w:val="en-IN" w:bidi="ar-SA"/>
    </w:rPr>
  </w:style>
  <w:style w:type="paragraph" w:styleId="NormalWeb">
    <w:name w:val="Normal (Web)"/>
    <w:basedOn w:val="Normal"/>
    <w:uiPriority w:val="99"/>
    <w:semiHidden/>
    <w:unhideWhenUsed/>
    <w:rsid w:val="00F702B6"/>
    <w:pPr>
      <w:spacing w:before="100" w:beforeAutospacing="1" w:after="100" w:afterAutospacing="1" w:line="240" w:lineRule="auto"/>
      <w:jc w:val="left"/>
    </w:pPr>
    <w:rPr>
      <w:rFonts w:eastAsia="Times New Roman" w:cs="Times New Roman"/>
      <w:szCs w:val="24"/>
      <w:lang w:val="en-US" w:bidi="bn-IN"/>
    </w:rPr>
  </w:style>
  <w:style w:type="paragraph" w:styleId="TOCHeading">
    <w:name w:val="TOC Heading"/>
    <w:basedOn w:val="Heading1"/>
    <w:next w:val="Normal"/>
    <w:uiPriority w:val="39"/>
    <w:unhideWhenUsed/>
    <w:qFormat/>
    <w:rsid w:val="00F702B6"/>
    <w:pPr>
      <w:spacing w:before="240" w:line="259" w:lineRule="auto"/>
      <w:jc w:val="left"/>
      <w:outlineLvl w:val="9"/>
    </w:pPr>
    <w:rPr>
      <w:rFonts w:asciiTheme="majorHAnsi" w:hAnsiTheme="majorHAnsi"/>
      <w:b w:val="0"/>
      <w:bCs w:val="0"/>
      <w:sz w:val="32"/>
      <w:szCs w:val="32"/>
      <w:lang w:val="en-US" w:bidi="ar-SA"/>
    </w:rPr>
  </w:style>
  <w:style w:type="paragraph" w:styleId="TOC1">
    <w:name w:val="toc 1"/>
    <w:basedOn w:val="Normal"/>
    <w:next w:val="Normal"/>
    <w:autoRedefine/>
    <w:uiPriority w:val="39"/>
    <w:unhideWhenUsed/>
    <w:rsid w:val="00F702B6"/>
    <w:pPr>
      <w:spacing w:after="100"/>
    </w:pPr>
  </w:style>
  <w:style w:type="character" w:styleId="Hyperlink">
    <w:name w:val="Hyperlink"/>
    <w:basedOn w:val="DefaultParagraphFont"/>
    <w:uiPriority w:val="99"/>
    <w:unhideWhenUsed/>
    <w:rsid w:val="00F702B6"/>
    <w:rPr>
      <w:color w:val="0563C1" w:themeColor="hyperlink"/>
      <w:u w:val="single"/>
    </w:rPr>
  </w:style>
  <w:style w:type="paragraph" w:styleId="Header">
    <w:name w:val="header"/>
    <w:basedOn w:val="Normal"/>
    <w:link w:val="HeaderChar"/>
    <w:uiPriority w:val="99"/>
    <w:unhideWhenUsed/>
    <w:rsid w:val="00F702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02B6"/>
    <w:rPr>
      <w:rFonts w:ascii="Times New Roman" w:hAnsi="Times New Roman"/>
      <w:sz w:val="24"/>
      <w:szCs w:val="22"/>
      <w:lang w:val="en-IN" w:bidi="ar-SA"/>
    </w:rPr>
  </w:style>
  <w:style w:type="paragraph" w:styleId="Footer">
    <w:name w:val="footer"/>
    <w:basedOn w:val="Normal"/>
    <w:link w:val="FooterChar"/>
    <w:uiPriority w:val="99"/>
    <w:unhideWhenUsed/>
    <w:rsid w:val="00F702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02B6"/>
    <w:rPr>
      <w:rFonts w:ascii="Times New Roman" w:hAnsi="Times New Roman"/>
      <w:sz w:val="24"/>
      <w:szCs w:val="22"/>
      <w:lang w:val="en-IN" w:bidi="ar-SA"/>
    </w:rPr>
  </w:style>
  <w:style w:type="paragraph" w:styleId="Bibliography">
    <w:name w:val="Bibliography"/>
    <w:basedOn w:val="Normal"/>
    <w:next w:val="Normal"/>
    <w:uiPriority w:val="37"/>
    <w:unhideWhenUsed/>
    <w:rsid w:val="00B912E6"/>
  </w:style>
  <w:style w:type="paragraph" w:styleId="ListParagraph">
    <w:name w:val="List Paragraph"/>
    <w:basedOn w:val="Normal"/>
    <w:uiPriority w:val="34"/>
    <w:qFormat/>
    <w:rsid w:val="00B912E6"/>
    <w:pPr>
      <w:ind w:left="720"/>
      <w:contextualSpacing/>
    </w:pPr>
  </w:style>
  <w:style w:type="paragraph" w:styleId="BalloonText">
    <w:name w:val="Balloon Text"/>
    <w:basedOn w:val="Normal"/>
    <w:link w:val="BalloonTextChar"/>
    <w:uiPriority w:val="99"/>
    <w:semiHidden/>
    <w:unhideWhenUsed/>
    <w:rsid w:val="00B707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07D1"/>
    <w:rPr>
      <w:rFonts w:ascii="Tahoma" w:hAnsi="Tahoma" w:cs="Tahoma"/>
      <w:sz w:val="16"/>
      <w:szCs w:val="16"/>
      <w:lang w:val="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232921">
      <w:bodyDiv w:val="1"/>
      <w:marLeft w:val="0"/>
      <w:marRight w:val="0"/>
      <w:marTop w:val="0"/>
      <w:marBottom w:val="0"/>
      <w:divBdr>
        <w:top w:val="none" w:sz="0" w:space="0" w:color="auto"/>
        <w:left w:val="none" w:sz="0" w:space="0" w:color="auto"/>
        <w:bottom w:val="none" w:sz="0" w:space="0" w:color="auto"/>
        <w:right w:val="none" w:sz="0" w:space="0" w:color="auto"/>
      </w:divBdr>
    </w:div>
    <w:div w:id="269162318">
      <w:bodyDiv w:val="1"/>
      <w:marLeft w:val="0"/>
      <w:marRight w:val="0"/>
      <w:marTop w:val="0"/>
      <w:marBottom w:val="0"/>
      <w:divBdr>
        <w:top w:val="none" w:sz="0" w:space="0" w:color="auto"/>
        <w:left w:val="none" w:sz="0" w:space="0" w:color="auto"/>
        <w:bottom w:val="none" w:sz="0" w:space="0" w:color="auto"/>
        <w:right w:val="none" w:sz="0" w:space="0" w:color="auto"/>
      </w:divBdr>
    </w:div>
    <w:div w:id="517161961">
      <w:bodyDiv w:val="1"/>
      <w:marLeft w:val="0"/>
      <w:marRight w:val="0"/>
      <w:marTop w:val="0"/>
      <w:marBottom w:val="0"/>
      <w:divBdr>
        <w:top w:val="none" w:sz="0" w:space="0" w:color="auto"/>
        <w:left w:val="none" w:sz="0" w:space="0" w:color="auto"/>
        <w:bottom w:val="none" w:sz="0" w:space="0" w:color="auto"/>
        <w:right w:val="none" w:sz="0" w:space="0" w:color="auto"/>
      </w:divBdr>
    </w:div>
    <w:div w:id="902983803">
      <w:bodyDiv w:val="1"/>
      <w:marLeft w:val="0"/>
      <w:marRight w:val="0"/>
      <w:marTop w:val="0"/>
      <w:marBottom w:val="0"/>
      <w:divBdr>
        <w:top w:val="none" w:sz="0" w:space="0" w:color="auto"/>
        <w:left w:val="none" w:sz="0" w:space="0" w:color="auto"/>
        <w:bottom w:val="none" w:sz="0" w:space="0" w:color="auto"/>
        <w:right w:val="none" w:sz="0" w:space="0" w:color="auto"/>
      </w:divBdr>
    </w:div>
    <w:div w:id="919365095">
      <w:bodyDiv w:val="1"/>
      <w:marLeft w:val="0"/>
      <w:marRight w:val="0"/>
      <w:marTop w:val="0"/>
      <w:marBottom w:val="0"/>
      <w:divBdr>
        <w:top w:val="none" w:sz="0" w:space="0" w:color="auto"/>
        <w:left w:val="none" w:sz="0" w:space="0" w:color="auto"/>
        <w:bottom w:val="none" w:sz="0" w:space="0" w:color="auto"/>
        <w:right w:val="none" w:sz="0" w:space="0" w:color="auto"/>
      </w:divBdr>
    </w:div>
    <w:div w:id="1042362088">
      <w:bodyDiv w:val="1"/>
      <w:marLeft w:val="0"/>
      <w:marRight w:val="0"/>
      <w:marTop w:val="0"/>
      <w:marBottom w:val="0"/>
      <w:divBdr>
        <w:top w:val="none" w:sz="0" w:space="0" w:color="auto"/>
        <w:left w:val="none" w:sz="0" w:space="0" w:color="auto"/>
        <w:bottom w:val="none" w:sz="0" w:space="0" w:color="auto"/>
        <w:right w:val="none" w:sz="0" w:space="0" w:color="auto"/>
      </w:divBdr>
    </w:div>
    <w:div w:id="1080564425">
      <w:bodyDiv w:val="1"/>
      <w:marLeft w:val="0"/>
      <w:marRight w:val="0"/>
      <w:marTop w:val="0"/>
      <w:marBottom w:val="0"/>
      <w:divBdr>
        <w:top w:val="none" w:sz="0" w:space="0" w:color="auto"/>
        <w:left w:val="none" w:sz="0" w:space="0" w:color="auto"/>
        <w:bottom w:val="none" w:sz="0" w:space="0" w:color="auto"/>
        <w:right w:val="none" w:sz="0" w:space="0" w:color="auto"/>
      </w:divBdr>
    </w:div>
    <w:div w:id="1170367471">
      <w:bodyDiv w:val="1"/>
      <w:marLeft w:val="0"/>
      <w:marRight w:val="0"/>
      <w:marTop w:val="0"/>
      <w:marBottom w:val="0"/>
      <w:divBdr>
        <w:top w:val="none" w:sz="0" w:space="0" w:color="auto"/>
        <w:left w:val="none" w:sz="0" w:space="0" w:color="auto"/>
        <w:bottom w:val="none" w:sz="0" w:space="0" w:color="auto"/>
        <w:right w:val="none" w:sz="0" w:space="0" w:color="auto"/>
      </w:divBdr>
    </w:div>
    <w:div w:id="1202478626">
      <w:bodyDiv w:val="1"/>
      <w:marLeft w:val="0"/>
      <w:marRight w:val="0"/>
      <w:marTop w:val="0"/>
      <w:marBottom w:val="0"/>
      <w:divBdr>
        <w:top w:val="none" w:sz="0" w:space="0" w:color="auto"/>
        <w:left w:val="none" w:sz="0" w:space="0" w:color="auto"/>
        <w:bottom w:val="none" w:sz="0" w:space="0" w:color="auto"/>
        <w:right w:val="none" w:sz="0" w:space="0" w:color="auto"/>
      </w:divBdr>
    </w:div>
    <w:div w:id="1234664268">
      <w:bodyDiv w:val="1"/>
      <w:marLeft w:val="0"/>
      <w:marRight w:val="0"/>
      <w:marTop w:val="0"/>
      <w:marBottom w:val="0"/>
      <w:divBdr>
        <w:top w:val="none" w:sz="0" w:space="0" w:color="auto"/>
        <w:left w:val="none" w:sz="0" w:space="0" w:color="auto"/>
        <w:bottom w:val="none" w:sz="0" w:space="0" w:color="auto"/>
        <w:right w:val="none" w:sz="0" w:space="0" w:color="auto"/>
      </w:divBdr>
    </w:div>
    <w:div w:id="1326130770">
      <w:bodyDiv w:val="1"/>
      <w:marLeft w:val="0"/>
      <w:marRight w:val="0"/>
      <w:marTop w:val="0"/>
      <w:marBottom w:val="0"/>
      <w:divBdr>
        <w:top w:val="none" w:sz="0" w:space="0" w:color="auto"/>
        <w:left w:val="none" w:sz="0" w:space="0" w:color="auto"/>
        <w:bottom w:val="none" w:sz="0" w:space="0" w:color="auto"/>
        <w:right w:val="none" w:sz="0" w:space="0" w:color="auto"/>
      </w:divBdr>
    </w:div>
    <w:div w:id="1380545385">
      <w:bodyDiv w:val="1"/>
      <w:marLeft w:val="0"/>
      <w:marRight w:val="0"/>
      <w:marTop w:val="0"/>
      <w:marBottom w:val="0"/>
      <w:divBdr>
        <w:top w:val="none" w:sz="0" w:space="0" w:color="auto"/>
        <w:left w:val="none" w:sz="0" w:space="0" w:color="auto"/>
        <w:bottom w:val="none" w:sz="0" w:space="0" w:color="auto"/>
        <w:right w:val="none" w:sz="0" w:space="0" w:color="auto"/>
      </w:divBdr>
    </w:div>
    <w:div w:id="1879658012">
      <w:bodyDiv w:val="1"/>
      <w:marLeft w:val="0"/>
      <w:marRight w:val="0"/>
      <w:marTop w:val="0"/>
      <w:marBottom w:val="0"/>
      <w:divBdr>
        <w:top w:val="none" w:sz="0" w:space="0" w:color="auto"/>
        <w:left w:val="none" w:sz="0" w:space="0" w:color="auto"/>
        <w:bottom w:val="none" w:sz="0" w:space="0" w:color="auto"/>
        <w:right w:val="none" w:sz="0" w:space="0" w:color="auto"/>
      </w:divBdr>
    </w:div>
    <w:div w:id="2043629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file>

<file path=customXml/itemProps1.xml><?xml version="1.0" encoding="utf-8"?>
<ds:datastoreItem xmlns:ds="http://schemas.openxmlformats.org/officeDocument/2006/customXml" ds:itemID="{2E1BB6AE-4D25-4A17-B16E-F8A299F45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2503</Words>
  <Characters>14270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10</dc:creator>
  <cp:keywords/>
  <dc:description/>
  <cp:lastModifiedBy>Vasile Cibotariu</cp:lastModifiedBy>
  <cp:revision>5</cp:revision>
  <dcterms:created xsi:type="dcterms:W3CDTF">2020-07-26T08:41:00Z</dcterms:created>
  <dcterms:modified xsi:type="dcterms:W3CDTF">2020-08-04T10:30:00Z</dcterms:modified>
</cp:coreProperties>
</file>