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52829199"/>
        <w:docPartObj>
          <w:docPartGallery w:val="Cover Pages"/>
          <w:docPartUnique/>
        </w:docPartObj>
      </w:sdtPr>
      <w:sdtEndPr>
        <w:rPr>
          <w:rFonts w:ascii="Arial" w:hAnsi="Arial" w:cs="Arial"/>
          <w:sz w:val="24"/>
          <w:szCs w:val="24"/>
        </w:rPr>
      </w:sdtEndPr>
      <w:sdtContent>
        <w:p w14:paraId="559DB874" w14:textId="744286BD" w:rsidR="00A57200" w:rsidRDefault="00A57200">
          <w:r>
            <w:rPr>
              <w:noProof/>
            </w:rPr>
            <mc:AlternateContent>
              <mc:Choice Requires="wpg">
                <w:drawing>
                  <wp:anchor distT="0" distB="0" distL="114300" distR="114300" simplePos="0" relativeHeight="251659264" behindDoc="1" locked="0" layoutInCell="1" allowOverlap="1" wp14:anchorId="1EBA2EBB" wp14:editId="679F87AF">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9F47FD5" w14:textId="3B637902" w:rsidR="00A57200" w:rsidRDefault="00A57200">
                                      <w:pPr>
                                        <w:pStyle w:val="NoSpacing"/>
                                        <w:spacing w:before="120"/>
                                        <w:jc w:val="center"/>
                                        <w:rPr>
                                          <w:color w:val="FFFFFF" w:themeColor="background1"/>
                                        </w:rPr>
                                      </w:pPr>
                                      <w:r>
                                        <w:rPr>
                                          <w:color w:val="FFFFFF" w:themeColor="background1"/>
                                        </w:rPr>
                                        <w:t>Kendra Wedgwood (2406211)</w:t>
                                      </w:r>
                                    </w:p>
                                  </w:sdtContent>
                                </w:sdt>
                                <w:p w14:paraId="23D8D1E4" w14:textId="1118C2EB" w:rsidR="00A57200" w:rsidRDefault="00A57200">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64F56D" w14:textId="25C9E6ED" w:rsidR="00A57200" w:rsidRPr="00A57200" w:rsidRDefault="00A57200">
                                      <w:pPr>
                                        <w:pStyle w:val="NoSpacing"/>
                                        <w:jc w:val="center"/>
                                        <w:rPr>
                                          <w:rFonts w:asciiTheme="majorHAnsi" w:eastAsiaTheme="majorEastAsia" w:hAnsiTheme="majorHAnsi" w:cstheme="majorBidi"/>
                                          <w:caps/>
                                          <w:color w:val="156082" w:themeColor="accent1"/>
                                          <w:sz w:val="48"/>
                                          <w:szCs w:val="48"/>
                                        </w:rPr>
                                      </w:pPr>
                                      <w:r w:rsidRPr="00A57200">
                                        <w:rPr>
                                          <w:rFonts w:ascii="Arial" w:hAnsi="Arial" w:cs="Arial"/>
                                          <w:sz w:val="48"/>
                                          <w:szCs w:val="48"/>
                                        </w:rPr>
                                        <w:t>Reflective Review: Leadership in Complex Policing Environments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EBA2EBB"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9F47FD5" w14:textId="3B637902" w:rsidR="00A57200" w:rsidRDefault="00A57200">
                                <w:pPr>
                                  <w:pStyle w:val="NoSpacing"/>
                                  <w:spacing w:before="120"/>
                                  <w:jc w:val="center"/>
                                  <w:rPr>
                                    <w:color w:val="FFFFFF" w:themeColor="background1"/>
                                  </w:rPr>
                                </w:pPr>
                                <w:r>
                                  <w:rPr>
                                    <w:color w:val="FFFFFF" w:themeColor="background1"/>
                                  </w:rPr>
                                  <w:t>Kendra Wedgwood (2406211)</w:t>
                                </w:r>
                              </w:p>
                            </w:sdtContent>
                          </w:sdt>
                          <w:p w14:paraId="23D8D1E4" w14:textId="1118C2EB" w:rsidR="00A57200" w:rsidRDefault="00A57200">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hAnsi="Arial" w:cs="Arial"/>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A64F56D" w14:textId="25C9E6ED" w:rsidR="00A57200" w:rsidRPr="00A57200" w:rsidRDefault="00A57200">
                                <w:pPr>
                                  <w:pStyle w:val="NoSpacing"/>
                                  <w:jc w:val="center"/>
                                  <w:rPr>
                                    <w:rFonts w:asciiTheme="majorHAnsi" w:eastAsiaTheme="majorEastAsia" w:hAnsiTheme="majorHAnsi" w:cstheme="majorBidi"/>
                                    <w:caps/>
                                    <w:color w:val="156082" w:themeColor="accent1"/>
                                    <w:sz w:val="48"/>
                                    <w:szCs w:val="48"/>
                                  </w:rPr>
                                </w:pPr>
                                <w:r w:rsidRPr="00A57200">
                                  <w:rPr>
                                    <w:rFonts w:ascii="Arial" w:hAnsi="Arial" w:cs="Arial"/>
                                    <w:sz w:val="48"/>
                                    <w:szCs w:val="48"/>
                                  </w:rPr>
                                  <w:t>Reflective Review: Leadership in Complex Policing Environments</w:t>
                                </w:r>
                              </w:p>
                            </w:sdtContent>
                          </w:sdt>
                        </w:txbxContent>
                      </v:textbox>
                    </v:shape>
                    <w10:wrap anchorx="page" anchory="page"/>
                  </v:group>
                </w:pict>
              </mc:Fallback>
            </mc:AlternateContent>
          </w:r>
        </w:p>
        <w:p w14:paraId="3759ACC1" w14:textId="5774F26C" w:rsidR="00A57200" w:rsidRDefault="00A57200">
          <w:pPr>
            <w:rPr>
              <w:rFonts w:ascii="Arial" w:hAnsi="Arial" w:cs="Arial"/>
              <w:sz w:val="24"/>
              <w:szCs w:val="24"/>
            </w:rPr>
          </w:pPr>
          <w:r>
            <w:rPr>
              <w:rFonts w:ascii="Arial" w:hAnsi="Arial" w:cs="Arial"/>
              <w:sz w:val="24"/>
              <w:szCs w:val="24"/>
            </w:rPr>
            <w:br w:type="page"/>
          </w:r>
        </w:p>
      </w:sdtContent>
    </w:sdt>
    <w:sdt>
      <w:sdtPr>
        <w:id w:val="-1259589696"/>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1B3ECBC2" w14:textId="35D228DF" w:rsidR="00BA71D7" w:rsidRDefault="00BA71D7">
          <w:pPr>
            <w:pStyle w:val="TOCHeading"/>
          </w:pPr>
          <w:r>
            <w:t>Contents</w:t>
          </w:r>
        </w:p>
        <w:p w14:paraId="5FA14102" w14:textId="6437A03B" w:rsidR="00BA71D7" w:rsidRPr="00462C70" w:rsidRDefault="00BA71D7">
          <w:pPr>
            <w:pStyle w:val="TOC1"/>
            <w:tabs>
              <w:tab w:val="right" w:leader="dot" w:pos="9016"/>
            </w:tabs>
            <w:rPr>
              <w:rFonts w:ascii="Arial" w:hAnsi="Arial" w:cs="Arial"/>
              <w:noProof/>
              <w:kern w:val="2"/>
              <w:sz w:val="24"/>
              <w:szCs w:val="24"/>
              <w14:ligatures w14:val="standardContextual"/>
            </w:rPr>
          </w:pPr>
          <w:r w:rsidRPr="00462C70">
            <w:rPr>
              <w:rFonts w:ascii="Arial" w:hAnsi="Arial" w:cs="Arial"/>
              <w:sz w:val="24"/>
              <w:szCs w:val="24"/>
            </w:rPr>
            <w:fldChar w:fldCharType="begin"/>
          </w:r>
          <w:r w:rsidRPr="00462C70">
            <w:rPr>
              <w:rFonts w:ascii="Arial" w:hAnsi="Arial" w:cs="Arial"/>
              <w:sz w:val="24"/>
              <w:szCs w:val="24"/>
            </w:rPr>
            <w:instrText xml:space="preserve"> TOC \o "1-3" \h \z \u </w:instrText>
          </w:r>
          <w:r w:rsidRPr="00462C70">
            <w:rPr>
              <w:rFonts w:ascii="Arial" w:hAnsi="Arial" w:cs="Arial"/>
              <w:sz w:val="24"/>
              <w:szCs w:val="24"/>
            </w:rPr>
            <w:fldChar w:fldCharType="separate"/>
          </w:r>
          <w:hyperlink w:anchor="_Toc218708878" w:history="1">
            <w:r w:rsidRPr="00462C70">
              <w:rPr>
                <w:rStyle w:val="Hyperlink"/>
                <w:rFonts w:ascii="Arial" w:hAnsi="Arial" w:cs="Arial"/>
                <w:noProof/>
                <w:sz w:val="24"/>
                <w:szCs w:val="24"/>
              </w:rPr>
              <w:t>Introduction</w:t>
            </w:r>
            <w:r w:rsidRPr="00462C70">
              <w:rPr>
                <w:rFonts w:ascii="Arial" w:hAnsi="Arial" w:cs="Arial"/>
                <w:noProof/>
                <w:webHidden/>
                <w:sz w:val="24"/>
                <w:szCs w:val="24"/>
              </w:rPr>
              <w:tab/>
            </w:r>
            <w:r w:rsidRPr="00462C70">
              <w:rPr>
                <w:rFonts w:ascii="Arial" w:hAnsi="Arial" w:cs="Arial"/>
                <w:noProof/>
                <w:webHidden/>
                <w:sz w:val="24"/>
                <w:szCs w:val="24"/>
              </w:rPr>
              <w:fldChar w:fldCharType="begin"/>
            </w:r>
            <w:r w:rsidRPr="00462C70">
              <w:rPr>
                <w:rFonts w:ascii="Arial" w:hAnsi="Arial" w:cs="Arial"/>
                <w:noProof/>
                <w:webHidden/>
                <w:sz w:val="24"/>
                <w:szCs w:val="24"/>
              </w:rPr>
              <w:instrText xml:space="preserve"> PAGEREF _Toc218708878 \h </w:instrText>
            </w:r>
            <w:r w:rsidRPr="00462C70">
              <w:rPr>
                <w:rFonts w:ascii="Arial" w:hAnsi="Arial" w:cs="Arial"/>
                <w:noProof/>
                <w:webHidden/>
                <w:sz w:val="24"/>
                <w:szCs w:val="24"/>
              </w:rPr>
            </w:r>
            <w:r w:rsidRPr="00462C70">
              <w:rPr>
                <w:rFonts w:ascii="Arial" w:hAnsi="Arial" w:cs="Arial"/>
                <w:noProof/>
                <w:webHidden/>
                <w:sz w:val="24"/>
                <w:szCs w:val="24"/>
              </w:rPr>
              <w:fldChar w:fldCharType="separate"/>
            </w:r>
            <w:r w:rsidRPr="00462C70">
              <w:rPr>
                <w:rFonts w:ascii="Arial" w:hAnsi="Arial" w:cs="Arial"/>
                <w:noProof/>
                <w:webHidden/>
                <w:sz w:val="24"/>
                <w:szCs w:val="24"/>
              </w:rPr>
              <w:t>2</w:t>
            </w:r>
            <w:r w:rsidRPr="00462C70">
              <w:rPr>
                <w:rFonts w:ascii="Arial" w:hAnsi="Arial" w:cs="Arial"/>
                <w:noProof/>
                <w:webHidden/>
                <w:sz w:val="24"/>
                <w:szCs w:val="24"/>
              </w:rPr>
              <w:fldChar w:fldCharType="end"/>
            </w:r>
          </w:hyperlink>
        </w:p>
        <w:p w14:paraId="4847C8E3" w14:textId="4B6A17D5" w:rsidR="00BA71D7" w:rsidRPr="00462C70" w:rsidRDefault="00BA71D7">
          <w:pPr>
            <w:pStyle w:val="TOC1"/>
            <w:tabs>
              <w:tab w:val="right" w:leader="dot" w:pos="9016"/>
            </w:tabs>
            <w:rPr>
              <w:rFonts w:ascii="Arial" w:hAnsi="Arial" w:cs="Arial"/>
              <w:noProof/>
              <w:kern w:val="2"/>
              <w:sz w:val="24"/>
              <w:szCs w:val="24"/>
              <w14:ligatures w14:val="standardContextual"/>
            </w:rPr>
          </w:pPr>
          <w:hyperlink w:anchor="_Toc218708879" w:history="1">
            <w:r w:rsidRPr="00462C70">
              <w:rPr>
                <w:rStyle w:val="Hyperlink"/>
                <w:rFonts w:ascii="Arial" w:hAnsi="Arial" w:cs="Arial"/>
                <w:noProof/>
                <w:sz w:val="24"/>
                <w:szCs w:val="24"/>
              </w:rPr>
              <w:t>Part 1: Leadership Theories and Context</w:t>
            </w:r>
            <w:r w:rsidRPr="00462C70">
              <w:rPr>
                <w:rFonts w:ascii="Arial" w:hAnsi="Arial" w:cs="Arial"/>
                <w:noProof/>
                <w:webHidden/>
                <w:sz w:val="24"/>
                <w:szCs w:val="24"/>
              </w:rPr>
              <w:tab/>
            </w:r>
            <w:r w:rsidRPr="00462C70">
              <w:rPr>
                <w:rFonts w:ascii="Arial" w:hAnsi="Arial" w:cs="Arial"/>
                <w:noProof/>
                <w:webHidden/>
                <w:sz w:val="24"/>
                <w:szCs w:val="24"/>
              </w:rPr>
              <w:fldChar w:fldCharType="begin"/>
            </w:r>
            <w:r w:rsidRPr="00462C70">
              <w:rPr>
                <w:rFonts w:ascii="Arial" w:hAnsi="Arial" w:cs="Arial"/>
                <w:noProof/>
                <w:webHidden/>
                <w:sz w:val="24"/>
                <w:szCs w:val="24"/>
              </w:rPr>
              <w:instrText xml:space="preserve"> PAGEREF _Toc218708879 \h </w:instrText>
            </w:r>
            <w:r w:rsidRPr="00462C70">
              <w:rPr>
                <w:rFonts w:ascii="Arial" w:hAnsi="Arial" w:cs="Arial"/>
                <w:noProof/>
                <w:webHidden/>
                <w:sz w:val="24"/>
                <w:szCs w:val="24"/>
              </w:rPr>
            </w:r>
            <w:r w:rsidRPr="00462C70">
              <w:rPr>
                <w:rFonts w:ascii="Arial" w:hAnsi="Arial" w:cs="Arial"/>
                <w:noProof/>
                <w:webHidden/>
                <w:sz w:val="24"/>
                <w:szCs w:val="24"/>
              </w:rPr>
              <w:fldChar w:fldCharType="separate"/>
            </w:r>
            <w:r w:rsidRPr="00462C70">
              <w:rPr>
                <w:rFonts w:ascii="Arial" w:hAnsi="Arial" w:cs="Arial"/>
                <w:noProof/>
                <w:webHidden/>
                <w:sz w:val="24"/>
                <w:szCs w:val="24"/>
              </w:rPr>
              <w:t>4</w:t>
            </w:r>
            <w:r w:rsidRPr="00462C70">
              <w:rPr>
                <w:rFonts w:ascii="Arial" w:hAnsi="Arial" w:cs="Arial"/>
                <w:noProof/>
                <w:webHidden/>
                <w:sz w:val="24"/>
                <w:szCs w:val="24"/>
              </w:rPr>
              <w:fldChar w:fldCharType="end"/>
            </w:r>
          </w:hyperlink>
        </w:p>
        <w:p w14:paraId="04F27A2B" w14:textId="546A58A8" w:rsidR="00BA71D7" w:rsidRPr="00462C70" w:rsidRDefault="00BA71D7">
          <w:pPr>
            <w:pStyle w:val="TOC1"/>
            <w:tabs>
              <w:tab w:val="right" w:leader="dot" w:pos="9016"/>
            </w:tabs>
            <w:rPr>
              <w:rFonts w:ascii="Arial" w:hAnsi="Arial" w:cs="Arial"/>
              <w:noProof/>
              <w:kern w:val="2"/>
              <w:sz w:val="24"/>
              <w:szCs w:val="24"/>
              <w14:ligatures w14:val="standardContextual"/>
            </w:rPr>
          </w:pPr>
          <w:hyperlink w:anchor="_Toc218708880" w:history="1">
            <w:r w:rsidRPr="00462C70">
              <w:rPr>
                <w:rStyle w:val="Hyperlink"/>
                <w:rFonts w:ascii="Arial" w:hAnsi="Arial" w:cs="Arial"/>
                <w:noProof/>
                <w:sz w:val="24"/>
                <w:szCs w:val="24"/>
              </w:rPr>
              <w:t>Part 2: Reflection Using Gibbs’ Reflective Cycle</w:t>
            </w:r>
            <w:r w:rsidRPr="00462C70">
              <w:rPr>
                <w:rFonts w:ascii="Arial" w:hAnsi="Arial" w:cs="Arial"/>
                <w:noProof/>
                <w:webHidden/>
                <w:sz w:val="24"/>
                <w:szCs w:val="24"/>
              </w:rPr>
              <w:tab/>
            </w:r>
            <w:r w:rsidRPr="00462C70">
              <w:rPr>
                <w:rFonts w:ascii="Arial" w:hAnsi="Arial" w:cs="Arial"/>
                <w:noProof/>
                <w:webHidden/>
                <w:sz w:val="24"/>
                <w:szCs w:val="24"/>
              </w:rPr>
              <w:fldChar w:fldCharType="begin"/>
            </w:r>
            <w:r w:rsidRPr="00462C70">
              <w:rPr>
                <w:rFonts w:ascii="Arial" w:hAnsi="Arial" w:cs="Arial"/>
                <w:noProof/>
                <w:webHidden/>
                <w:sz w:val="24"/>
                <w:szCs w:val="24"/>
              </w:rPr>
              <w:instrText xml:space="preserve"> PAGEREF _Toc218708880 \h </w:instrText>
            </w:r>
            <w:r w:rsidRPr="00462C70">
              <w:rPr>
                <w:rFonts w:ascii="Arial" w:hAnsi="Arial" w:cs="Arial"/>
                <w:noProof/>
                <w:webHidden/>
                <w:sz w:val="24"/>
                <w:szCs w:val="24"/>
              </w:rPr>
            </w:r>
            <w:r w:rsidRPr="00462C70">
              <w:rPr>
                <w:rFonts w:ascii="Arial" w:hAnsi="Arial" w:cs="Arial"/>
                <w:noProof/>
                <w:webHidden/>
                <w:sz w:val="24"/>
                <w:szCs w:val="24"/>
              </w:rPr>
              <w:fldChar w:fldCharType="separate"/>
            </w:r>
            <w:r w:rsidRPr="00462C70">
              <w:rPr>
                <w:rFonts w:ascii="Arial" w:hAnsi="Arial" w:cs="Arial"/>
                <w:noProof/>
                <w:webHidden/>
                <w:sz w:val="24"/>
                <w:szCs w:val="24"/>
              </w:rPr>
              <w:t>6</w:t>
            </w:r>
            <w:r w:rsidRPr="00462C70">
              <w:rPr>
                <w:rFonts w:ascii="Arial" w:hAnsi="Arial" w:cs="Arial"/>
                <w:noProof/>
                <w:webHidden/>
                <w:sz w:val="24"/>
                <w:szCs w:val="24"/>
              </w:rPr>
              <w:fldChar w:fldCharType="end"/>
            </w:r>
          </w:hyperlink>
        </w:p>
        <w:p w14:paraId="654584F5" w14:textId="12D1BABA" w:rsidR="00BA71D7" w:rsidRPr="00462C70" w:rsidRDefault="00BA71D7">
          <w:pPr>
            <w:pStyle w:val="TOC2"/>
            <w:tabs>
              <w:tab w:val="right" w:leader="dot" w:pos="9016"/>
            </w:tabs>
            <w:rPr>
              <w:rFonts w:ascii="Arial" w:hAnsi="Arial" w:cs="Arial"/>
              <w:noProof/>
              <w:kern w:val="2"/>
              <w:sz w:val="24"/>
              <w:szCs w:val="24"/>
              <w14:ligatures w14:val="standardContextual"/>
            </w:rPr>
          </w:pPr>
          <w:hyperlink w:anchor="_Toc218708881" w:history="1">
            <w:r w:rsidRPr="00462C70">
              <w:rPr>
                <w:rStyle w:val="Hyperlink"/>
                <w:rFonts w:ascii="Arial" w:hAnsi="Arial" w:cs="Arial"/>
                <w:noProof/>
                <w:sz w:val="24"/>
                <w:szCs w:val="24"/>
              </w:rPr>
              <w:t>Case 1: Child Abduction Investigation</w:t>
            </w:r>
            <w:r w:rsidRPr="00462C70">
              <w:rPr>
                <w:rFonts w:ascii="Arial" w:hAnsi="Arial" w:cs="Arial"/>
                <w:noProof/>
                <w:webHidden/>
                <w:sz w:val="24"/>
                <w:szCs w:val="24"/>
              </w:rPr>
              <w:tab/>
            </w:r>
            <w:r w:rsidRPr="00462C70">
              <w:rPr>
                <w:rFonts w:ascii="Arial" w:hAnsi="Arial" w:cs="Arial"/>
                <w:noProof/>
                <w:webHidden/>
                <w:sz w:val="24"/>
                <w:szCs w:val="24"/>
              </w:rPr>
              <w:fldChar w:fldCharType="begin"/>
            </w:r>
            <w:r w:rsidRPr="00462C70">
              <w:rPr>
                <w:rFonts w:ascii="Arial" w:hAnsi="Arial" w:cs="Arial"/>
                <w:noProof/>
                <w:webHidden/>
                <w:sz w:val="24"/>
                <w:szCs w:val="24"/>
              </w:rPr>
              <w:instrText xml:space="preserve"> PAGEREF _Toc218708881 \h </w:instrText>
            </w:r>
            <w:r w:rsidRPr="00462C70">
              <w:rPr>
                <w:rFonts w:ascii="Arial" w:hAnsi="Arial" w:cs="Arial"/>
                <w:noProof/>
                <w:webHidden/>
                <w:sz w:val="24"/>
                <w:szCs w:val="24"/>
              </w:rPr>
            </w:r>
            <w:r w:rsidRPr="00462C70">
              <w:rPr>
                <w:rFonts w:ascii="Arial" w:hAnsi="Arial" w:cs="Arial"/>
                <w:noProof/>
                <w:webHidden/>
                <w:sz w:val="24"/>
                <w:szCs w:val="24"/>
              </w:rPr>
              <w:fldChar w:fldCharType="separate"/>
            </w:r>
            <w:r w:rsidRPr="00462C70">
              <w:rPr>
                <w:rFonts w:ascii="Arial" w:hAnsi="Arial" w:cs="Arial"/>
                <w:noProof/>
                <w:webHidden/>
                <w:sz w:val="24"/>
                <w:szCs w:val="24"/>
              </w:rPr>
              <w:t>6</w:t>
            </w:r>
            <w:r w:rsidRPr="00462C70">
              <w:rPr>
                <w:rFonts w:ascii="Arial" w:hAnsi="Arial" w:cs="Arial"/>
                <w:noProof/>
                <w:webHidden/>
                <w:sz w:val="24"/>
                <w:szCs w:val="24"/>
              </w:rPr>
              <w:fldChar w:fldCharType="end"/>
            </w:r>
          </w:hyperlink>
        </w:p>
        <w:p w14:paraId="370A93D4" w14:textId="606D3C9C" w:rsidR="00BA71D7" w:rsidRPr="00462C70" w:rsidRDefault="00BA71D7">
          <w:pPr>
            <w:pStyle w:val="TOC2"/>
            <w:tabs>
              <w:tab w:val="right" w:leader="dot" w:pos="9016"/>
            </w:tabs>
            <w:rPr>
              <w:rFonts w:ascii="Arial" w:hAnsi="Arial" w:cs="Arial"/>
              <w:noProof/>
              <w:kern w:val="2"/>
              <w:sz w:val="24"/>
              <w:szCs w:val="24"/>
              <w14:ligatures w14:val="standardContextual"/>
            </w:rPr>
          </w:pPr>
          <w:hyperlink w:anchor="_Toc218708882" w:history="1">
            <w:r w:rsidRPr="00462C70">
              <w:rPr>
                <w:rStyle w:val="Hyperlink"/>
                <w:rFonts w:ascii="Arial" w:hAnsi="Arial" w:cs="Arial"/>
                <w:noProof/>
                <w:sz w:val="24"/>
                <w:szCs w:val="24"/>
              </w:rPr>
              <w:t>Case 2: Supporting Staff Wellbeing and Menopause</w:t>
            </w:r>
            <w:r w:rsidRPr="00462C70">
              <w:rPr>
                <w:rFonts w:ascii="Arial" w:hAnsi="Arial" w:cs="Arial"/>
                <w:noProof/>
                <w:webHidden/>
                <w:sz w:val="24"/>
                <w:szCs w:val="24"/>
              </w:rPr>
              <w:tab/>
            </w:r>
            <w:r w:rsidRPr="00462C70">
              <w:rPr>
                <w:rFonts w:ascii="Arial" w:hAnsi="Arial" w:cs="Arial"/>
                <w:noProof/>
                <w:webHidden/>
                <w:sz w:val="24"/>
                <w:szCs w:val="24"/>
              </w:rPr>
              <w:fldChar w:fldCharType="begin"/>
            </w:r>
            <w:r w:rsidRPr="00462C70">
              <w:rPr>
                <w:rFonts w:ascii="Arial" w:hAnsi="Arial" w:cs="Arial"/>
                <w:noProof/>
                <w:webHidden/>
                <w:sz w:val="24"/>
                <w:szCs w:val="24"/>
              </w:rPr>
              <w:instrText xml:space="preserve"> PAGEREF _Toc218708882 \h </w:instrText>
            </w:r>
            <w:r w:rsidRPr="00462C70">
              <w:rPr>
                <w:rFonts w:ascii="Arial" w:hAnsi="Arial" w:cs="Arial"/>
                <w:noProof/>
                <w:webHidden/>
                <w:sz w:val="24"/>
                <w:szCs w:val="24"/>
              </w:rPr>
            </w:r>
            <w:r w:rsidRPr="00462C70">
              <w:rPr>
                <w:rFonts w:ascii="Arial" w:hAnsi="Arial" w:cs="Arial"/>
                <w:noProof/>
                <w:webHidden/>
                <w:sz w:val="24"/>
                <w:szCs w:val="24"/>
              </w:rPr>
              <w:fldChar w:fldCharType="separate"/>
            </w:r>
            <w:r w:rsidRPr="00462C70">
              <w:rPr>
                <w:rFonts w:ascii="Arial" w:hAnsi="Arial" w:cs="Arial"/>
                <w:noProof/>
                <w:webHidden/>
                <w:sz w:val="24"/>
                <w:szCs w:val="24"/>
              </w:rPr>
              <w:t>8</w:t>
            </w:r>
            <w:r w:rsidRPr="00462C70">
              <w:rPr>
                <w:rFonts w:ascii="Arial" w:hAnsi="Arial" w:cs="Arial"/>
                <w:noProof/>
                <w:webHidden/>
                <w:sz w:val="24"/>
                <w:szCs w:val="24"/>
              </w:rPr>
              <w:fldChar w:fldCharType="end"/>
            </w:r>
          </w:hyperlink>
        </w:p>
        <w:p w14:paraId="2BD60A47" w14:textId="787F6F8A" w:rsidR="00BA71D7" w:rsidRPr="00462C70" w:rsidRDefault="00BA71D7">
          <w:pPr>
            <w:pStyle w:val="TOC2"/>
            <w:tabs>
              <w:tab w:val="right" w:leader="dot" w:pos="9016"/>
            </w:tabs>
            <w:rPr>
              <w:rFonts w:ascii="Arial" w:hAnsi="Arial" w:cs="Arial"/>
              <w:noProof/>
              <w:kern w:val="2"/>
              <w:sz w:val="24"/>
              <w:szCs w:val="24"/>
              <w14:ligatures w14:val="standardContextual"/>
            </w:rPr>
          </w:pPr>
          <w:hyperlink w:anchor="_Toc218708883" w:history="1">
            <w:r w:rsidRPr="00462C70">
              <w:rPr>
                <w:rStyle w:val="Hyperlink"/>
                <w:rFonts w:ascii="Arial" w:hAnsi="Arial" w:cs="Arial"/>
                <w:noProof/>
                <w:sz w:val="24"/>
                <w:szCs w:val="24"/>
              </w:rPr>
              <w:t>Synthesis of Learning</w:t>
            </w:r>
            <w:r w:rsidRPr="00462C70">
              <w:rPr>
                <w:rFonts w:ascii="Arial" w:hAnsi="Arial" w:cs="Arial"/>
                <w:noProof/>
                <w:webHidden/>
                <w:sz w:val="24"/>
                <w:szCs w:val="24"/>
              </w:rPr>
              <w:tab/>
            </w:r>
            <w:r w:rsidRPr="00462C70">
              <w:rPr>
                <w:rFonts w:ascii="Arial" w:hAnsi="Arial" w:cs="Arial"/>
                <w:noProof/>
                <w:webHidden/>
                <w:sz w:val="24"/>
                <w:szCs w:val="24"/>
              </w:rPr>
              <w:fldChar w:fldCharType="begin"/>
            </w:r>
            <w:r w:rsidRPr="00462C70">
              <w:rPr>
                <w:rFonts w:ascii="Arial" w:hAnsi="Arial" w:cs="Arial"/>
                <w:noProof/>
                <w:webHidden/>
                <w:sz w:val="24"/>
                <w:szCs w:val="24"/>
              </w:rPr>
              <w:instrText xml:space="preserve"> PAGEREF _Toc218708883 \h </w:instrText>
            </w:r>
            <w:r w:rsidRPr="00462C70">
              <w:rPr>
                <w:rFonts w:ascii="Arial" w:hAnsi="Arial" w:cs="Arial"/>
                <w:noProof/>
                <w:webHidden/>
                <w:sz w:val="24"/>
                <w:szCs w:val="24"/>
              </w:rPr>
            </w:r>
            <w:r w:rsidRPr="00462C70">
              <w:rPr>
                <w:rFonts w:ascii="Arial" w:hAnsi="Arial" w:cs="Arial"/>
                <w:noProof/>
                <w:webHidden/>
                <w:sz w:val="24"/>
                <w:szCs w:val="24"/>
              </w:rPr>
              <w:fldChar w:fldCharType="separate"/>
            </w:r>
            <w:r w:rsidRPr="00462C70">
              <w:rPr>
                <w:rFonts w:ascii="Arial" w:hAnsi="Arial" w:cs="Arial"/>
                <w:noProof/>
                <w:webHidden/>
                <w:sz w:val="24"/>
                <w:szCs w:val="24"/>
              </w:rPr>
              <w:t>10</w:t>
            </w:r>
            <w:r w:rsidRPr="00462C70">
              <w:rPr>
                <w:rFonts w:ascii="Arial" w:hAnsi="Arial" w:cs="Arial"/>
                <w:noProof/>
                <w:webHidden/>
                <w:sz w:val="24"/>
                <w:szCs w:val="24"/>
              </w:rPr>
              <w:fldChar w:fldCharType="end"/>
            </w:r>
          </w:hyperlink>
        </w:p>
        <w:p w14:paraId="4D550C9A" w14:textId="79BAA016" w:rsidR="00BA71D7" w:rsidRPr="00462C70" w:rsidRDefault="00BA71D7">
          <w:pPr>
            <w:pStyle w:val="TOC1"/>
            <w:tabs>
              <w:tab w:val="right" w:leader="dot" w:pos="9016"/>
            </w:tabs>
            <w:rPr>
              <w:rFonts w:ascii="Arial" w:hAnsi="Arial" w:cs="Arial"/>
              <w:noProof/>
              <w:kern w:val="2"/>
              <w:sz w:val="24"/>
              <w:szCs w:val="24"/>
              <w14:ligatures w14:val="standardContextual"/>
            </w:rPr>
          </w:pPr>
          <w:hyperlink w:anchor="_Toc218708884" w:history="1">
            <w:r w:rsidRPr="00462C70">
              <w:rPr>
                <w:rStyle w:val="Hyperlink"/>
                <w:rFonts w:ascii="Arial" w:hAnsi="Arial" w:cs="Arial"/>
                <w:noProof/>
                <w:sz w:val="24"/>
                <w:szCs w:val="24"/>
              </w:rPr>
              <w:t>Conclusion</w:t>
            </w:r>
            <w:r w:rsidRPr="00462C70">
              <w:rPr>
                <w:rFonts w:ascii="Arial" w:hAnsi="Arial" w:cs="Arial"/>
                <w:noProof/>
                <w:webHidden/>
                <w:sz w:val="24"/>
                <w:szCs w:val="24"/>
              </w:rPr>
              <w:tab/>
            </w:r>
            <w:r w:rsidRPr="00462C70">
              <w:rPr>
                <w:rFonts w:ascii="Arial" w:hAnsi="Arial" w:cs="Arial"/>
                <w:noProof/>
                <w:webHidden/>
                <w:sz w:val="24"/>
                <w:szCs w:val="24"/>
              </w:rPr>
              <w:fldChar w:fldCharType="begin"/>
            </w:r>
            <w:r w:rsidRPr="00462C70">
              <w:rPr>
                <w:rFonts w:ascii="Arial" w:hAnsi="Arial" w:cs="Arial"/>
                <w:noProof/>
                <w:webHidden/>
                <w:sz w:val="24"/>
                <w:szCs w:val="24"/>
              </w:rPr>
              <w:instrText xml:space="preserve"> PAGEREF _Toc218708884 \h </w:instrText>
            </w:r>
            <w:r w:rsidRPr="00462C70">
              <w:rPr>
                <w:rFonts w:ascii="Arial" w:hAnsi="Arial" w:cs="Arial"/>
                <w:noProof/>
                <w:webHidden/>
                <w:sz w:val="24"/>
                <w:szCs w:val="24"/>
              </w:rPr>
            </w:r>
            <w:r w:rsidRPr="00462C70">
              <w:rPr>
                <w:rFonts w:ascii="Arial" w:hAnsi="Arial" w:cs="Arial"/>
                <w:noProof/>
                <w:webHidden/>
                <w:sz w:val="24"/>
                <w:szCs w:val="24"/>
              </w:rPr>
              <w:fldChar w:fldCharType="separate"/>
            </w:r>
            <w:r w:rsidRPr="00462C70">
              <w:rPr>
                <w:rFonts w:ascii="Arial" w:hAnsi="Arial" w:cs="Arial"/>
                <w:noProof/>
                <w:webHidden/>
                <w:sz w:val="24"/>
                <w:szCs w:val="24"/>
              </w:rPr>
              <w:t>11</w:t>
            </w:r>
            <w:r w:rsidRPr="00462C70">
              <w:rPr>
                <w:rFonts w:ascii="Arial" w:hAnsi="Arial" w:cs="Arial"/>
                <w:noProof/>
                <w:webHidden/>
                <w:sz w:val="24"/>
                <w:szCs w:val="24"/>
              </w:rPr>
              <w:fldChar w:fldCharType="end"/>
            </w:r>
          </w:hyperlink>
        </w:p>
        <w:p w14:paraId="52D13C5F" w14:textId="1399D266" w:rsidR="00BA71D7" w:rsidRPr="00462C70" w:rsidRDefault="00BA71D7">
          <w:pPr>
            <w:pStyle w:val="TOC1"/>
            <w:tabs>
              <w:tab w:val="right" w:leader="dot" w:pos="9016"/>
            </w:tabs>
            <w:rPr>
              <w:rFonts w:ascii="Arial" w:hAnsi="Arial" w:cs="Arial"/>
              <w:noProof/>
              <w:kern w:val="2"/>
              <w:sz w:val="24"/>
              <w:szCs w:val="24"/>
              <w14:ligatures w14:val="standardContextual"/>
            </w:rPr>
          </w:pPr>
          <w:hyperlink w:anchor="_Toc218708885" w:history="1">
            <w:r w:rsidRPr="00462C70">
              <w:rPr>
                <w:rStyle w:val="Hyperlink"/>
                <w:rFonts w:ascii="Arial" w:hAnsi="Arial" w:cs="Arial"/>
                <w:noProof/>
                <w:sz w:val="24"/>
                <w:szCs w:val="24"/>
              </w:rPr>
              <w:t>References</w:t>
            </w:r>
            <w:r w:rsidRPr="00462C70">
              <w:rPr>
                <w:rFonts w:ascii="Arial" w:hAnsi="Arial" w:cs="Arial"/>
                <w:noProof/>
                <w:webHidden/>
                <w:sz w:val="24"/>
                <w:szCs w:val="24"/>
              </w:rPr>
              <w:tab/>
            </w:r>
            <w:r w:rsidRPr="00462C70">
              <w:rPr>
                <w:rFonts w:ascii="Arial" w:hAnsi="Arial" w:cs="Arial"/>
                <w:noProof/>
                <w:webHidden/>
                <w:sz w:val="24"/>
                <w:szCs w:val="24"/>
              </w:rPr>
              <w:fldChar w:fldCharType="begin"/>
            </w:r>
            <w:r w:rsidRPr="00462C70">
              <w:rPr>
                <w:rFonts w:ascii="Arial" w:hAnsi="Arial" w:cs="Arial"/>
                <w:noProof/>
                <w:webHidden/>
                <w:sz w:val="24"/>
                <w:szCs w:val="24"/>
              </w:rPr>
              <w:instrText xml:space="preserve"> PAGEREF _Toc218708885 \h </w:instrText>
            </w:r>
            <w:r w:rsidRPr="00462C70">
              <w:rPr>
                <w:rFonts w:ascii="Arial" w:hAnsi="Arial" w:cs="Arial"/>
                <w:noProof/>
                <w:webHidden/>
                <w:sz w:val="24"/>
                <w:szCs w:val="24"/>
              </w:rPr>
            </w:r>
            <w:r w:rsidRPr="00462C70">
              <w:rPr>
                <w:rFonts w:ascii="Arial" w:hAnsi="Arial" w:cs="Arial"/>
                <w:noProof/>
                <w:webHidden/>
                <w:sz w:val="24"/>
                <w:szCs w:val="24"/>
              </w:rPr>
              <w:fldChar w:fldCharType="separate"/>
            </w:r>
            <w:r w:rsidRPr="00462C70">
              <w:rPr>
                <w:rFonts w:ascii="Arial" w:hAnsi="Arial" w:cs="Arial"/>
                <w:noProof/>
                <w:webHidden/>
                <w:sz w:val="24"/>
                <w:szCs w:val="24"/>
              </w:rPr>
              <w:t>12</w:t>
            </w:r>
            <w:r w:rsidRPr="00462C70">
              <w:rPr>
                <w:rFonts w:ascii="Arial" w:hAnsi="Arial" w:cs="Arial"/>
                <w:noProof/>
                <w:webHidden/>
                <w:sz w:val="24"/>
                <w:szCs w:val="24"/>
              </w:rPr>
              <w:fldChar w:fldCharType="end"/>
            </w:r>
          </w:hyperlink>
        </w:p>
        <w:p w14:paraId="531B81F4" w14:textId="4005ECD7" w:rsidR="00BA71D7" w:rsidRDefault="00BA71D7">
          <w:r w:rsidRPr="00462C70">
            <w:rPr>
              <w:rFonts w:ascii="Arial" w:hAnsi="Arial" w:cs="Arial"/>
              <w:b/>
              <w:bCs/>
              <w:sz w:val="24"/>
              <w:szCs w:val="24"/>
            </w:rPr>
            <w:fldChar w:fldCharType="end"/>
          </w:r>
        </w:p>
      </w:sdtContent>
    </w:sdt>
    <w:p w14:paraId="082FDFE2" w14:textId="4EFA9589" w:rsidR="00A57200" w:rsidRDefault="00A57200">
      <w:pPr>
        <w:rPr>
          <w:rFonts w:ascii="Arial" w:hAnsi="Arial" w:cs="Arial"/>
          <w:sz w:val="24"/>
          <w:szCs w:val="24"/>
        </w:rPr>
      </w:pPr>
    </w:p>
    <w:p w14:paraId="557B1A62" w14:textId="77777777" w:rsidR="00BA71D7" w:rsidRDefault="00BA71D7">
      <w:pPr>
        <w:rPr>
          <w:rFonts w:asciiTheme="majorHAnsi" w:eastAsiaTheme="majorEastAsia" w:hAnsiTheme="majorHAnsi" w:cstheme="majorBidi"/>
          <w:color w:val="0F4761" w:themeColor="accent1" w:themeShade="BF"/>
          <w:sz w:val="40"/>
          <w:szCs w:val="40"/>
        </w:rPr>
      </w:pPr>
      <w:r>
        <w:br w:type="page"/>
      </w:r>
    </w:p>
    <w:p w14:paraId="338FF695" w14:textId="0FE168B8" w:rsidR="0000051D" w:rsidRPr="00BA71D7" w:rsidRDefault="0000051D" w:rsidP="00BA71D7">
      <w:pPr>
        <w:pStyle w:val="Heading1"/>
      </w:pPr>
      <w:bookmarkStart w:id="0" w:name="_Toc218708878"/>
      <w:r w:rsidRPr="00BA71D7">
        <w:lastRenderedPageBreak/>
        <w:t>Introduction</w:t>
      </w:r>
      <w:bookmarkEnd w:id="0"/>
    </w:p>
    <w:p w14:paraId="34F38B98"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Leadership in policing is uniquely complex, demanding a blend of emotional intelligence, strategic awareness, ethical integrity, and operational decisiveness. As a Detective Inspector within a Safeguarding Unit, my leadership role involves balancing the immediacy of protecting vulnerable people with the long-term development of motivated, capable teams who can thrive under sustained pressure. The modern policing environment is characterised by volatility, uncertainty, complexity, and ambiguity (Bennett and Lemoine, 2014), where decisions must be made quickly but with deep ethical consideration. Within this context, effective leadership is not only about authority or command; it is about influence, empathy, and the ability to create a culture that supports learning, reflection, and psychological safety.</w:t>
      </w:r>
    </w:p>
    <w:p w14:paraId="7E3F1B69" w14:textId="2F21EADE"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 xml:space="preserve">This reflective review examines my personal leadership journey through both theoretical and practical lenses. It explores the successes and challenges I have encountered in leading others, particularly when managing emotionally charged safeguarding incidents and supporting staff wellbeing. By integrating leadership theory, motivation theory, and psychological principles, I aim to demonstrate how reflective practice enhances both professional development and organisational effectiveness. I will use Gibbs’ Reflective Cycle (1988) to structure my reflections, analysing two specific leadership examples from my career: one involving the operational management of a critical child abduction incident, and another addressing the wellbeing of a staff member experiencing menopausal symptoms and burnout. These two experiences offer contrasting yet complementary perspectives on </w:t>
      </w:r>
      <w:r w:rsidR="00B434D2" w:rsidRPr="0000051D">
        <w:rPr>
          <w:rFonts w:ascii="Arial" w:hAnsi="Arial" w:cs="Arial"/>
          <w:sz w:val="24"/>
          <w:szCs w:val="24"/>
        </w:rPr>
        <w:t>leadership</w:t>
      </w:r>
      <w:r w:rsidR="00B434D2">
        <w:rPr>
          <w:rFonts w:ascii="Arial" w:hAnsi="Arial" w:cs="Arial"/>
          <w:sz w:val="24"/>
          <w:szCs w:val="24"/>
        </w:rPr>
        <w:t>:</w:t>
      </w:r>
      <w:r w:rsidR="001D04BC">
        <w:rPr>
          <w:rFonts w:ascii="Arial" w:hAnsi="Arial" w:cs="Arial"/>
          <w:sz w:val="24"/>
          <w:szCs w:val="24"/>
        </w:rPr>
        <w:t xml:space="preserve"> </w:t>
      </w:r>
      <w:r w:rsidRPr="0000051D">
        <w:rPr>
          <w:rFonts w:ascii="Arial" w:hAnsi="Arial" w:cs="Arial"/>
          <w:sz w:val="24"/>
          <w:szCs w:val="24"/>
        </w:rPr>
        <w:t>one demanding immediate operational authority, the other requiring compassion, patience, and emotional intelligence.</w:t>
      </w:r>
    </w:p>
    <w:p w14:paraId="560B7923" w14:textId="6E45AFB4"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 xml:space="preserve">Before reflecting on these experiences, it is necessary to outline the theoretical context of leadership in policing. Policing has historically been rooted in </w:t>
      </w:r>
      <w:r w:rsidR="00FB25D4" w:rsidRPr="0000051D">
        <w:rPr>
          <w:rFonts w:ascii="Arial" w:hAnsi="Arial" w:cs="Arial"/>
          <w:sz w:val="24"/>
          <w:szCs w:val="24"/>
        </w:rPr>
        <w:t>command-and-control</w:t>
      </w:r>
      <w:r w:rsidRPr="0000051D">
        <w:rPr>
          <w:rFonts w:ascii="Arial" w:hAnsi="Arial" w:cs="Arial"/>
          <w:sz w:val="24"/>
          <w:szCs w:val="24"/>
        </w:rPr>
        <w:t xml:space="preserve"> structures, reflecting an authoritarian or autocratic style where authority flows from rank and compliance is expected (Bryman, 2011). However, the evolving nature of safeguarding work requires a broader range of leadership approaches, including transformational, servant, and participative models that encourage collaboration and critical thinking. These leadership styles are underpinned by </w:t>
      </w:r>
      <w:r w:rsidRPr="0000051D">
        <w:rPr>
          <w:rFonts w:ascii="Arial" w:hAnsi="Arial" w:cs="Arial"/>
          <w:sz w:val="24"/>
          <w:szCs w:val="24"/>
        </w:rPr>
        <w:lastRenderedPageBreak/>
        <w:t>various motivational and psychological theories that help explain how and why people behave the way they do in organisations. As policing becomes more complex, resource-constrained, and publicly accountable, understanding and applying these theories becomes essential to effective leadership.</w:t>
      </w:r>
    </w:p>
    <w:p w14:paraId="1133266F" w14:textId="7C18A25E"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My reflection will therefore consider how different leadership styles, models, and sources of power influence outcomes. French and Raven’s (1959) model of leadership power, which includes legitimate, reward, coercive, expert, referent, and moral power, provides a useful lens for understanding influence within hierarchical institutions such as policing. Equally, I will reflect on how leaders can motivate and sustain performance by understanding individual and group needs, as described in motivation theories by Maslow (1943), Herzberg (1959), and Vroom (1964). Finally, I will evaluate how leadership decisions intersect with financial governance, human resource frameworks, and ethical responsibility</w:t>
      </w:r>
      <w:r w:rsidR="00167383">
        <w:rPr>
          <w:rFonts w:ascii="Arial" w:hAnsi="Arial" w:cs="Arial"/>
          <w:sz w:val="24"/>
          <w:szCs w:val="24"/>
        </w:rPr>
        <w:t xml:space="preserve">, </w:t>
      </w:r>
      <w:r w:rsidRPr="0000051D">
        <w:rPr>
          <w:rFonts w:ascii="Arial" w:hAnsi="Arial" w:cs="Arial"/>
          <w:sz w:val="24"/>
          <w:szCs w:val="24"/>
        </w:rPr>
        <w:t>all of which shape organisational effectiveness and culture.</w:t>
      </w:r>
    </w:p>
    <w:p w14:paraId="707BEDA7" w14:textId="77777777" w:rsidR="00BA71D7" w:rsidRDefault="00BA71D7">
      <w:pPr>
        <w:rPr>
          <w:rFonts w:asciiTheme="majorHAnsi" w:eastAsiaTheme="majorEastAsia" w:hAnsiTheme="majorHAnsi" w:cstheme="majorBidi"/>
          <w:color w:val="0F4761" w:themeColor="accent1" w:themeShade="BF"/>
          <w:sz w:val="40"/>
          <w:szCs w:val="40"/>
        </w:rPr>
      </w:pPr>
      <w:r>
        <w:br w:type="page"/>
      </w:r>
    </w:p>
    <w:p w14:paraId="72562752" w14:textId="6EAFFCA3" w:rsidR="0000051D" w:rsidRPr="0000051D" w:rsidRDefault="0000051D" w:rsidP="00BA71D7">
      <w:pPr>
        <w:pStyle w:val="Heading1"/>
      </w:pPr>
      <w:bookmarkStart w:id="1" w:name="_Toc218708879"/>
      <w:r w:rsidRPr="0000051D">
        <w:lastRenderedPageBreak/>
        <w:t>Part 1: Leadership Theories and Context</w:t>
      </w:r>
      <w:bookmarkEnd w:id="1"/>
    </w:p>
    <w:p w14:paraId="6E2F5B10"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Effective leadership is not defined by a single style but by the ability to adapt to context. Traditional leadership models such as authoritarian or autocratic leadership are characterised by strong control, rigid hierarchy, and clear command structures (Lewin et al., 1939). These approaches can be effective in crisis or high-risk situations, such as critical incidents, where rapid, centralised decision-making is required. However, they may stifle initiative, reduce morale, and inhibit innovation if overused. Conversely, democratic and participative leadership encourage consultation and shared decision-making (</w:t>
      </w:r>
      <w:proofErr w:type="spellStart"/>
      <w:r w:rsidRPr="0000051D">
        <w:rPr>
          <w:rFonts w:ascii="Arial" w:hAnsi="Arial" w:cs="Arial"/>
          <w:sz w:val="24"/>
          <w:szCs w:val="24"/>
        </w:rPr>
        <w:t>Gastil</w:t>
      </w:r>
      <w:proofErr w:type="spellEnd"/>
      <w:r w:rsidRPr="0000051D">
        <w:rPr>
          <w:rFonts w:ascii="Arial" w:hAnsi="Arial" w:cs="Arial"/>
          <w:sz w:val="24"/>
          <w:szCs w:val="24"/>
        </w:rPr>
        <w:t>, 1994), improving morale and ownership but potentially slowing down urgent operational responses. Bureaucratic leadership, often seen in public sector organisations like policing, ensures compliance and procedural consistency but can create inflexibility and limit creativity (Adlam and Villiers, 2020). At the opposite end of the spectrum, laissez-faire leadership allows significant autonomy but can result in a lack of direction if not accompanied by clear vision or accountability (Northouse, 2021).</w:t>
      </w:r>
    </w:p>
    <w:p w14:paraId="29C572C5" w14:textId="53A3482D"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Transformational leadership, described by Bass and Riggio (2006), focuses on inspiring and motivating followers to achieve beyond expectations by articulating a compelling vision, demonstrating authenticity, and fostering individual growth. This approach aligns strongly with policing’s ethical and motivational challenges, as it promotes trust, integrity, and shared purpose. Transactional leadership, in contrast, relies on structure, clear expectations, and performance-based rewards or sanctions (Burns, 1978). While it provides necessary discipline and accountability, it is less effective for fostering intrinsic motivation or innovation. Servant leadership (Greenleaf, 1977) emphasises humility, empathy, and prioritising the needs of others. In a safeguarding context, this approach resonates with the ethical duty to protect and support vulnerable individuals while modelling compassion within teams. Similarly, people-oriented leadership focuses on interpersonal relationships and wellbeing, while task-oriented leadership prioritises efficiency and achievement (Fiedler, 1967). Effective leaders in policing must integrate both orientations to balance care and accountability. Situational leadership (Hersey and Blanchard, 1988) brings these perspectives together, proposing that effective leaders adjust their style based on followers’ competence and commitment levels</w:t>
      </w:r>
      <w:r w:rsidR="008330D5">
        <w:rPr>
          <w:rFonts w:ascii="Arial" w:hAnsi="Arial" w:cs="Arial"/>
          <w:sz w:val="24"/>
          <w:szCs w:val="24"/>
        </w:rPr>
        <w:t xml:space="preserve">, </w:t>
      </w:r>
      <w:r w:rsidRPr="0000051D">
        <w:rPr>
          <w:rFonts w:ascii="Arial" w:hAnsi="Arial" w:cs="Arial"/>
          <w:sz w:val="24"/>
          <w:szCs w:val="24"/>
        </w:rPr>
        <w:t>a particularly relevant model for managing diverse policing teams.</w:t>
      </w:r>
    </w:p>
    <w:p w14:paraId="16D0B015"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lastRenderedPageBreak/>
        <w:t>Leadership also involves the responsible use of power. French and Raven (1959) identified six bases of power: legitimate (derived from rank or role), reward (control over incentives), coercive (ability to sanction), expert (based on knowledge), referent (influence through respect or admiration), and moral (derived from ethical integrity). In policing, legitimate power is embedded in the rank structure, but effective leaders often rely more on referent, expert, and moral power to inspire trust and compliance. The misuse of coercive power can lead to resentment, while over-reliance on positional authority can erode morale. Understanding these dynamics is crucial in safeguarding contexts, where ethical influence and trust are essential.</w:t>
      </w:r>
    </w:p>
    <w:p w14:paraId="5EFFD82A" w14:textId="3B510A9C"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Leadership effectiveness is also linked to motivation. Maslow’s (1943) Hierarchy of Needs suggests individuals are motivated by progressive needs</w:t>
      </w:r>
      <w:r w:rsidR="00E97251">
        <w:rPr>
          <w:rFonts w:ascii="Arial" w:hAnsi="Arial" w:cs="Arial"/>
          <w:sz w:val="24"/>
          <w:szCs w:val="24"/>
        </w:rPr>
        <w:t xml:space="preserve">, </w:t>
      </w:r>
      <w:r w:rsidRPr="0000051D">
        <w:rPr>
          <w:rFonts w:ascii="Arial" w:hAnsi="Arial" w:cs="Arial"/>
          <w:sz w:val="24"/>
          <w:szCs w:val="24"/>
        </w:rPr>
        <w:t>physiological, safety, belonging, esteem, and self-actualisation. Herzberg’s (1959) Motivation–Hygiene Theory distinguishes between hygiene factors (such as working conditions and pay) and motivators (such as recognition and achievement). McClelland’s (1961) Theory of Needs identifies three drivers</w:t>
      </w:r>
      <w:r w:rsidR="00E97251">
        <w:rPr>
          <w:rFonts w:ascii="Arial" w:hAnsi="Arial" w:cs="Arial"/>
          <w:sz w:val="24"/>
          <w:szCs w:val="24"/>
        </w:rPr>
        <w:t xml:space="preserve">, </w:t>
      </w:r>
      <w:r w:rsidRPr="0000051D">
        <w:rPr>
          <w:rFonts w:ascii="Arial" w:hAnsi="Arial" w:cs="Arial"/>
          <w:sz w:val="24"/>
          <w:szCs w:val="24"/>
        </w:rPr>
        <w:t>achievement, power, and affiliation</w:t>
      </w:r>
      <w:r w:rsidR="00E97251">
        <w:rPr>
          <w:rFonts w:ascii="Arial" w:hAnsi="Arial" w:cs="Arial"/>
          <w:sz w:val="24"/>
          <w:szCs w:val="24"/>
        </w:rPr>
        <w:t>,</w:t>
      </w:r>
      <w:r w:rsidRPr="0000051D">
        <w:rPr>
          <w:rFonts w:ascii="Arial" w:hAnsi="Arial" w:cs="Arial"/>
          <w:sz w:val="24"/>
          <w:szCs w:val="24"/>
        </w:rPr>
        <w:t xml:space="preserve"> that shape workplace behaviour. Process theories such as Vroom’s (1964) Expectancy Theory and Locke and Latham’s (1990) Goal-Setting Theory highlight the cognitive processes linking effort, performance, and reward. Bandura’s (1977) Self</w:t>
      </w:r>
      <w:r w:rsidR="004C7C74">
        <w:rPr>
          <w:rFonts w:ascii="Arial" w:hAnsi="Arial" w:cs="Arial"/>
          <w:sz w:val="24"/>
          <w:szCs w:val="24"/>
        </w:rPr>
        <w:t>-</w:t>
      </w:r>
      <w:r w:rsidRPr="0000051D">
        <w:rPr>
          <w:rFonts w:ascii="Arial" w:hAnsi="Arial" w:cs="Arial"/>
          <w:sz w:val="24"/>
          <w:szCs w:val="24"/>
        </w:rPr>
        <w:t>Efficacy Theory emphasises the role of belief in one’s ability to achieve goals. For policing leaders, awareness of these theories helps explain how to sustain motivation in high-pressure environments, where intrinsic purpose and perceived fairness often outweigh extrinsic rewards.</w:t>
      </w:r>
    </w:p>
    <w:p w14:paraId="1814A87D" w14:textId="068B6D48"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In essence, effective leadership in policing is adaptive, ethical, and emotionally intelligent. It draws upon transformational inspiration, situational flexibility, servant empathy, and transactional accountability. Ineffective leadership, conversely, carries significant costs</w:t>
      </w:r>
      <w:r w:rsidR="004C7C74">
        <w:rPr>
          <w:rFonts w:ascii="Arial" w:hAnsi="Arial" w:cs="Arial"/>
          <w:sz w:val="24"/>
          <w:szCs w:val="24"/>
        </w:rPr>
        <w:t xml:space="preserve">; </w:t>
      </w:r>
      <w:r w:rsidRPr="0000051D">
        <w:rPr>
          <w:rFonts w:ascii="Arial" w:hAnsi="Arial" w:cs="Arial"/>
          <w:sz w:val="24"/>
          <w:szCs w:val="24"/>
        </w:rPr>
        <w:t>low morale, burnout, poor retention, and loss of public trust (Cockcroft, 2014). The benefits of effective leadership are evident in motivated, cohesive teams capable of delivering safeguarding outcomes under pressure. These theoretical foundations now frame my reflective analysis of two critical experiences that have shaped my leadership practice.</w:t>
      </w:r>
    </w:p>
    <w:p w14:paraId="6B908618" w14:textId="77777777" w:rsidR="0000051D" w:rsidRPr="0000051D" w:rsidRDefault="0000051D" w:rsidP="00BA71D7">
      <w:pPr>
        <w:pStyle w:val="Heading1"/>
      </w:pPr>
      <w:bookmarkStart w:id="2" w:name="_Toc218708880"/>
      <w:r w:rsidRPr="0000051D">
        <w:lastRenderedPageBreak/>
        <w:t>Part 2: Reflection Using Gibbs’ Reflective Cycle</w:t>
      </w:r>
      <w:bookmarkEnd w:id="2"/>
    </w:p>
    <w:p w14:paraId="227539E3" w14:textId="77777777" w:rsidR="0000051D" w:rsidRPr="0000051D" w:rsidRDefault="0000051D" w:rsidP="00BA71D7">
      <w:pPr>
        <w:pStyle w:val="Heading2"/>
      </w:pPr>
      <w:bookmarkStart w:id="3" w:name="_Toc218708881"/>
      <w:r w:rsidRPr="0000051D">
        <w:t>Case 1: Child Abduction Investigation</w:t>
      </w:r>
      <w:bookmarkEnd w:id="3"/>
    </w:p>
    <w:p w14:paraId="063A73FD"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Description:</w:t>
      </w:r>
      <w:r w:rsidRPr="0000051D">
        <w:rPr>
          <w:rFonts w:ascii="Arial" w:hAnsi="Arial" w:cs="Arial"/>
          <w:sz w:val="24"/>
          <w:szCs w:val="24"/>
        </w:rPr>
        <w:br/>
        <w:t>During one night shift, I was informed of an urgent safeguarding incident involving the abduction of a one-year-old child. The father, who had been arrested, refused to disclose the child’s whereabouts. The mother was distraught, and I assessed a real risk of significant harm. The father falsely claimed the child was with his mother, but checks confirmed the child was not there. Exhausting all known addresses, I authorised the arrest of the paternal grandmother, believing she was withholding information. Some officers were uneasy about arresting an elderly woman. I explained my rationale, clarified the legal threshold, and offered to attend myself. Once the arrest was made, the father disclosed the child’s location. The child was recovered safely and reunited with their mother.</w:t>
      </w:r>
    </w:p>
    <w:p w14:paraId="0B805F12" w14:textId="1BE8BB1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Feelings:</w:t>
      </w:r>
      <w:r w:rsidRPr="0000051D">
        <w:rPr>
          <w:rFonts w:ascii="Arial" w:hAnsi="Arial" w:cs="Arial"/>
          <w:sz w:val="24"/>
          <w:szCs w:val="24"/>
        </w:rPr>
        <w:br/>
        <w:t>At the time, I felt intense responsibility. The tension between compassion and duty was palpable. Arresting an elderly woman felt ethically challenging, but the risk to the child demanded decisive action. I was aware that my decision would shape both the operational outcome and the morale of the attending officers. There was pressure to act quickly, but I also wanted to ensure fairness and legality. I felt the emotional weight of leadership</w:t>
      </w:r>
      <w:r w:rsidR="00524F39">
        <w:rPr>
          <w:rFonts w:ascii="Arial" w:hAnsi="Arial" w:cs="Arial"/>
          <w:sz w:val="24"/>
          <w:szCs w:val="24"/>
        </w:rPr>
        <w:t xml:space="preserve">, </w:t>
      </w:r>
      <w:r w:rsidRPr="0000051D">
        <w:rPr>
          <w:rFonts w:ascii="Arial" w:hAnsi="Arial" w:cs="Arial"/>
          <w:sz w:val="24"/>
          <w:szCs w:val="24"/>
        </w:rPr>
        <w:t>being accountable for the welfare of a vulnerable child and for the confidence of my team.</w:t>
      </w:r>
    </w:p>
    <w:p w14:paraId="56CBE4D1"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Evaluation:</w:t>
      </w:r>
      <w:r w:rsidRPr="0000051D">
        <w:rPr>
          <w:rFonts w:ascii="Arial" w:hAnsi="Arial" w:cs="Arial"/>
          <w:sz w:val="24"/>
          <w:szCs w:val="24"/>
        </w:rPr>
        <w:br/>
        <w:t>The decision ultimately achieved a positive outcome. The child was found safe, and the team reported understanding my rationale. However, it also revealed the moral and psychological burden of leadership. I recognised that my legitimate power as a Detective Inspector needed to be balanced with referent and moral power to maintain trust and ethical integrity. By explaining my reasoning, I engaged the officers’ understanding and reduced moral discomfort. This balance between command and empathy reflected a democratic and participative style within an operationally autocratic framework.</w:t>
      </w:r>
    </w:p>
    <w:p w14:paraId="6716175D" w14:textId="612AAF36"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Analysis:</w:t>
      </w:r>
      <w:r w:rsidRPr="0000051D">
        <w:rPr>
          <w:rFonts w:ascii="Arial" w:hAnsi="Arial" w:cs="Arial"/>
          <w:sz w:val="24"/>
          <w:szCs w:val="24"/>
        </w:rPr>
        <w:br/>
        <w:t xml:space="preserve">This situation required the application of situational and transformational leadership. </w:t>
      </w:r>
      <w:r w:rsidRPr="0000051D">
        <w:rPr>
          <w:rFonts w:ascii="Arial" w:hAnsi="Arial" w:cs="Arial"/>
          <w:sz w:val="24"/>
          <w:szCs w:val="24"/>
        </w:rPr>
        <w:lastRenderedPageBreak/>
        <w:t>In a high-risk safeguarding case, I had to adopt a more directive approach consistent with transactional and autocratic leadership to ensure swift compliance and safety. Yet, I integrated transformational behaviours by motivating and supporting the team, showing moral reasoning, and demonstrating transparency (Bass and Riggio, 2006). By offering to attend in person, I exercised referent power</w:t>
      </w:r>
      <w:r w:rsidR="005C292F">
        <w:rPr>
          <w:rFonts w:ascii="Arial" w:hAnsi="Arial" w:cs="Arial"/>
          <w:sz w:val="24"/>
          <w:szCs w:val="24"/>
        </w:rPr>
        <w:t xml:space="preserve">, </w:t>
      </w:r>
      <w:r w:rsidRPr="0000051D">
        <w:rPr>
          <w:rFonts w:ascii="Arial" w:hAnsi="Arial" w:cs="Arial"/>
          <w:sz w:val="24"/>
          <w:szCs w:val="24"/>
        </w:rPr>
        <w:t>leading by example and showing solidarity. My moral power, rooted in ethical decision-making, reinforced trust. The case also illustrated aspects of Herzberg’s theory: the officers’ sense of purpose (a motivator) outweighed discomfort (a hygiene factor), maintaining intrinsic motivation to act in the child’s best interest.</w:t>
      </w:r>
    </w:p>
    <w:p w14:paraId="558B4B23"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Emotionally, I used self-regulation and empathy, consistent with Goleman’s (1998) concept of emotional intelligence, to remain calm and decisive. Cognitive stress theory, such as the Yerkes–Dodson Law (1908), suggests optimal stress enhances performance, which I observed in how the team became more focused once clarity of direction was given. Reflecting on motivation theories, the officers’ behaviour aligned with Maslow’s hierarchy, as their safety and belonging needs were met through leadership reassurance, allowing them to focus on esteem and achievement through safeguarding success.</w:t>
      </w:r>
    </w:p>
    <w:p w14:paraId="5BCE5D52" w14:textId="5B6A8866"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Conclusion:</w:t>
      </w:r>
      <w:r w:rsidRPr="0000051D">
        <w:rPr>
          <w:rFonts w:ascii="Arial" w:hAnsi="Arial" w:cs="Arial"/>
          <w:sz w:val="24"/>
          <w:szCs w:val="24"/>
        </w:rPr>
        <w:br/>
        <w:t>This incident reinforced the importance of blending authority with empathy. Effective safeguarding leadership demands decisiveness but also the ability to communicate moral reasoning. I learned that while legitimate power provides authority, referent and moral power sustain respect. The benefits of effective leadership were clear</w:t>
      </w:r>
      <w:r w:rsidR="00CB1096">
        <w:rPr>
          <w:rFonts w:ascii="Arial" w:hAnsi="Arial" w:cs="Arial"/>
          <w:sz w:val="24"/>
          <w:szCs w:val="24"/>
        </w:rPr>
        <w:t>;</w:t>
      </w:r>
      <w:r w:rsidRPr="0000051D">
        <w:rPr>
          <w:rFonts w:ascii="Arial" w:hAnsi="Arial" w:cs="Arial"/>
          <w:sz w:val="24"/>
          <w:szCs w:val="24"/>
        </w:rPr>
        <w:t xml:space="preserve"> swift resolution, team cohesion, and enhanced trust. The cost of ineffective leadership in such a case could have been catastrophic: loss of life, officer disillusionment, and reputational damage.</w:t>
      </w:r>
    </w:p>
    <w:p w14:paraId="16DF0A4D"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Action Plan:</w:t>
      </w:r>
      <w:r w:rsidRPr="0000051D">
        <w:rPr>
          <w:rFonts w:ascii="Arial" w:hAnsi="Arial" w:cs="Arial"/>
          <w:sz w:val="24"/>
          <w:szCs w:val="24"/>
        </w:rPr>
        <w:br/>
        <w:t>In future incidents, I intend to formalise reflective debriefs to explore emotional impact and learning. I will also continue to develop trauma-informed leadership skills and promote awareness of how motivation and stress interact in high-risk policing. Building psychological safety will remain a central priority to ensure that officers feel supported while maintaining accountability.</w:t>
      </w:r>
    </w:p>
    <w:p w14:paraId="059AFAF3" w14:textId="77777777" w:rsidR="0000051D" w:rsidRPr="0000051D" w:rsidRDefault="0000051D" w:rsidP="00BA71D7">
      <w:pPr>
        <w:pStyle w:val="Heading2"/>
      </w:pPr>
      <w:bookmarkStart w:id="4" w:name="_Toc218708882"/>
      <w:r w:rsidRPr="0000051D">
        <w:lastRenderedPageBreak/>
        <w:t>Case 2: Supporting Staff Wellbeing and Menopause</w:t>
      </w:r>
      <w:bookmarkEnd w:id="4"/>
    </w:p>
    <w:p w14:paraId="259A00FD"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Description:</w:t>
      </w:r>
      <w:r w:rsidRPr="0000051D">
        <w:rPr>
          <w:rFonts w:ascii="Arial" w:hAnsi="Arial" w:cs="Arial"/>
          <w:sz w:val="24"/>
          <w:szCs w:val="24"/>
        </w:rPr>
        <w:br/>
        <w:t>A member of my team confided that she was feeling burnt out, emotionally exhausted, and suspected she was experiencing menopausal symptoms. She expressed anxiety and fear of being perceived as incapable. Recognising menopause as a protected characteristic under the Equality Act 2010, I sought her consent to refer her to occupational health. Through this referral, she accessed medical advice, began Hormone Replacement Therapy (HRT), and took a short period of recovery before returning to work successfully.</w:t>
      </w:r>
    </w:p>
    <w:p w14:paraId="2024B30B" w14:textId="3C67933A"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Feelings:</w:t>
      </w:r>
      <w:r w:rsidRPr="0000051D">
        <w:rPr>
          <w:rFonts w:ascii="Arial" w:hAnsi="Arial" w:cs="Arial"/>
          <w:sz w:val="24"/>
          <w:szCs w:val="24"/>
        </w:rPr>
        <w:br/>
        <w:t>I felt compassion and a strong sense of responsibility. Policing culture often prioritises resilience and stoicism, yet I knew ignoring this issue could risk her wellbeing and professional confidence. I was also aware of my position of power</w:t>
      </w:r>
      <w:r w:rsidR="00141D3B">
        <w:rPr>
          <w:rFonts w:ascii="Arial" w:hAnsi="Arial" w:cs="Arial"/>
          <w:sz w:val="24"/>
          <w:szCs w:val="24"/>
        </w:rPr>
        <w:t>,</w:t>
      </w:r>
      <w:r w:rsidRPr="0000051D">
        <w:rPr>
          <w:rFonts w:ascii="Arial" w:hAnsi="Arial" w:cs="Arial"/>
          <w:sz w:val="24"/>
          <w:szCs w:val="24"/>
        </w:rPr>
        <w:t xml:space="preserve"> legitimate and informational and the importance of using it sensitively. I wanted to balance professionalism with genuine care, ensuring she felt supported, not scrutinised.</w:t>
      </w:r>
    </w:p>
    <w:p w14:paraId="3AF56B43"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Evaluation:</w:t>
      </w:r>
      <w:r w:rsidRPr="0000051D">
        <w:rPr>
          <w:rFonts w:ascii="Arial" w:hAnsi="Arial" w:cs="Arial"/>
          <w:sz w:val="24"/>
          <w:szCs w:val="24"/>
        </w:rPr>
        <w:br/>
        <w:t>The intervention was successful. The officer recovered, her performance improved, and her trust in the organisation strengthened. It also set a precedent for open discussions about menopause and wellbeing. However, the case highlighted systemic gaps in awareness and support for women’s health in policing. It reinforced my role not only as a manager but as an advocate for inclusion and wellbeing.</w:t>
      </w:r>
    </w:p>
    <w:p w14:paraId="7420C101"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Analysis:</w:t>
      </w:r>
      <w:r w:rsidRPr="0000051D">
        <w:rPr>
          <w:rFonts w:ascii="Arial" w:hAnsi="Arial" w:cs="Arial"/>
          <w:sz w:val="24"/>
          <w:szCs w:val="24"/>
        </w:rPr>
        <w:br/>
        <w:t xml:space="preserve">This case reflected a servant and people-oriented leadership approach. By prioritising her wellbeing, I demonstrated servant leadership values of empathy, stewardship, and community (Greenleaf, 1977). Transformational leadership was also evident through individualised consideration and empowerment (Bass and Riggio, 2006). Using moral and referent power, I influenced not through command but through care and authenticity. The decision also reflected aspects of Herzberg’s (1959) theory, addressing hygiene factors (supportive environment) and enhancing motivators (recognition and personal growth). From Maslow’s perspective, </w:t>
      </w:r>
      <w:r w:rsidRPr="0000051D">
        <w:rPr>
          <w:rFonts w:ascii="Arial" w:hAnsi="Arial" w:cs="Arial"/>
          <w:sz w:val="24"/>
          <w:szCs w:val="24"/>
        </w:rPr>
        <w:lastRenderedPageBreak/>
        <w:t>addressing physiological and emotional needs allowed the officer to regain esteem and self-actualisation.</w:t>
      </w:r>
    </w:p>
    <w:p w14:paraId="27993123"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Applying process motivation theories, Vroom’s Expectancy Theory (1964) explains how the officer’s motivation increased when she believed her efforts would lead to recovery and valued outcomes (returning to meaningful work). Goal-setting and self-efficacy theories (Locke and Latham, 1990; Bandura, 1977) further explain how confidence-building and achievable steps contributed to her success. This experience also underlined the link between leadership and HR frameworks such as occupational health, diversity, and inclusion. By aligning leadership behaviour with these systems, I enhanced both individual welfare and organisational effectiveness.</w:t>
      </w:r>
    </w:p>
    <w:p w14:paraId="3AFEC33D" w14:textId="4F27DC8B" w:rsidR="0000051D" w:rsidRPr="0000051D" w:rsidRDefault="0000051D" w:rsidP="0000051D">
      <w:pPr>
        <w:spacing w:line="360" w:lineRule="auto"/>
        <w:rPr>
          <w:rFonts w:ascii="Arial" w:hAnsi="Arial" w:cs="Arial"/>
          <w:sz w:val="24"/>
          <w:szCs w:val="24"/>
        </w:rPr>
      </w:pPr>
      <w:r w:rsidRPr="008C2A31">
        <w:rPr>
          <w:rFonts w:ascii="Arial" w:hAnsi="Arial" w:cs="Arial"/>
          <w:sz w:val="24"/>
          <w:szCs w:val="24"/>
        </w:rPr>
        <w:t>Conclusion</w:t>
      </w:r>
      <w:r w:rsidRPr="00BA71D7">
        <w:t>:</w:t>
      </w:r>
      <w:r w:rsidRPr="0000051D">
        <w:rPr>
          <w:rFonts w:ascii="Arial" w:hAnsi="Arial" w:cs="Arial"/>
          <w:sz w:val="24"/>
          <w:szCs w:val="24"/>
        </w:rPr>
        <w:br/>
        <w:t>This experience reaffirmed my belief in inclusive and emotionally intelligent leadership. It demonstrated how servant and transformational approaches can foster motivation and belonging. The benefits of effective leadership here extended beyond one individual: it encouraged openness, improved morale, and strengthened team culture. The cost of ineffective leadership</w:t>
      </w:r>
      <w:r w:rsidR="00CB1096">
        <w:rPr>
          <w:rFonts w:ascii="Arial" w:hAnsi="Arial" w:cs="Arial"/>
          <w:sz w:val="24"/>
          <w:szCs w:val="24"/>
        </w:rPr>
        <w:t xml:space="preserve">; </w:t>
      </w:r>
      <w:r w:rsidRPr="0000051D">
        <w:rPr>
          <w:rFonts w:ascii="Arial" w:hAnsi="Arial" w:cs="Arial"/>
          <w:sz w:val="24"/>
          <w:szCs w:val="24"/>
        </w:rPr>
        <w:t>neglecting wellbeing would likely have been absenteeism, loss of trust, and potential legal or ethical repercussions.</w:t>
      </w:r>
    </w:p>
    <w:p w14:paraId="5A94C57D"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Action Plan:</w:t>
      </w:r>
      <w:r w:rsidRPr="0000051D">
        <w:rPr>
          <w:rFonts w:ascii="Arial" w:hAnsi="Arial" w:cs="Arial"/>
          <w:sz w:val="24"/>
          <w:szCs w:val="24"/>
        </w:rPr>
        <w:br/>
        <w:t>I plan to deliver awareness sessions on menopause and wellbeing within my safeguarding team, collaborate with HR to embed supportive processes, and continue developing my own emotional intelligence through professional supervision. I will also promote a culture where wellbeing is viewed as integral to operational excellence.</w:t>
      </w:r>
    </w:p>
    <w:p w14:paraId="25FFF16B" w14:textId="77777777" w:rsidR="00BA71D7" w:rsidRDefault="00BA71D7">
      <w:pPr>
        <w:rPr>
          <w:rFonts w:asciiTheme="majorHAnsi" w:eastAsiaTheme="majorEastAsia" w:hAnsiTheme="majorHAnsi" w:cstheme="majorBidi"/>
          <w:color w:val="0F4761" w:themeColor="accent1" w:themeShade="BF"/>
          <w:sz w:val="32"/>
          <w:szCs w:val="32"/>
        </w:rPr>
      </w:pPr>
      <w:r>
        <w:br w:type="page"/>
      </w:r>
    </w:p>
    <w:p w14:paraId="18692D72" w14:textId="51683682" w:rsidR="0000051D" w:rsidRPr="0000051D" w:rsidRDefault="0000051D" w:rsidP="00BA71D7">
      <w:pPr>
        <w:pStyle w:val="Heading2"/>
      </w:pPr>
      <w:bookmarkStart w:id="5" w:name="_Toc218708883"/>
      <w:r w:rsidRPr="0000051D">
        <w:lastRenderedPageBreak/>
        <w:t>Synthesis of Learning</w:t>
      </w:r>
      <w:bookmarkEnd w:id="5"/>
    </w:p>
    <w:p w14:paraId="16012A82" w14:textId="1E8467E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Reflecting on both experiences, I recognise that leadership in safeguarding demands adaptability, integrity, and self-awareness. The child abduction case required authoritative, situational, and transformational leadership; the wellbeing case demanded servant, participative, and emotionally intelligent leadership. Across both, the effective use of legitimate, moral, and referent power proved vital in influencing behaviour ethically. Leadership is as much about character as competence, and its effectiveness lies in the ability to balance decisiveness with humanity. Motivation theory also plays a continuous role</w:t>
      </w:r>
      <w:r w:rsidR="00D7571B">
        <w:rPr>
          <w:rFonts w:ascii="Arial" w:hAnsi="Arial" w:cs="Arial"/>
          <w:sz w:val="24"/>
          <w:szCs w:val="24"/>
        </w:rPr>
        <w:t>,</w:t>
      </w:r>
      <w:r w:rsidRPr="0000051D">
        <w:rPr>
          <w:rFonts w:ascii="Arial" w:hAnsi="Arial" w:cs="Arial"/>
          <w:sz w:val="24"/>
          <w:szCs w:val="24"/>
        </w:rPr>
        <w:t xml:space="preserve"> understanding that people’s performance is shaped by needs, beliefs, and emotional states enables leaders to foster resilience and engagement even in challenging circumstances.</w:t>
      </w:r>
    </w:p>
    <w:p w14:paraId="3AFB2FDE" w14:textId="77777777" w:rsidR="00BA71D7" w:rsidRDefault="00BA71D7">
      <w:pPr>
        <w:rPr>
          <w:rFonts w:asciiTheme="majorHAnsi" w:eastAsiaTheme="majorEastAsia" w:hAnsiTheme="majorHAnsi" w:cstheme="majorBidi"/>
          <w:color w:val="0F4761" w:themeColor="accent1" w:themeShade="BF"/>
          <w:sz w:val="40"/>
          <w:szCs w:val="40"/>
        </w:rPr>
      </w:pPr>
      <w:r>
        <w:br w:type="page"/>
      </w:r>
    </w:p>
    <w:p w14:paraId="45C88AA1" w14:textId="5D5903FF" w:rsidR="0000051D" w:rsidRPr="0000051D" w:rsidRDefault="0000051D" w:rsidP="00BA71D7">
      <w:pPr>
        <w:pStyle w:val="Heading1"/>
      </w:pPr>
      <w:bookmarkStart w:id="6" w:name="_Toc218708884"/>
      <w:r w:rsidRPr="0000051D">
        <w:lastRenderedPageBreak/>
        <w:t>Conclusion</w:t>
      </w:r>
      <w:bookmarkEnd w:id="6"/>
    </w:p>
    <w:p w14:paraId="397B0E51"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Through this reflective review, I have deepened my understanding of leadership as a multifaceted, relational, and ethical process. Effective leadership in policing extends beyond managing tasks; it involves motivating people, managing emotions, and making principled decisions under pressure. My reflections have demonstrated that transformational, servant, and situational leadership styles are particularly effective in safeguarding contexts, where the balance between authority and empathy is crucial. Authoritarian and bureaucratic models retain their place in urgent operational command, but must be moderated by participative and people-centred approaches to maintain morale and trust.</w:t>
      </w:r>
    </w:p>
    <w:p w14:paraId="40E10C5F" w14:textId="27694564"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Motivation and emotional intelligence underpin effective leadership. Understanding theories such as those of Maslow, Herzberg, and Vroom has helped me appreciate how officers’ sense of purpose, fairness, and wellbeing drive performance more effectively than external incentives. Moreover, recognising the sources of power</w:t>
      </w:r>
      <w:r w:rsidR="00D7571B">
        <w:rPr>
          <w:rFonts w:ascii="Arial" w:hAnsi="Arial" w:cs="Arial"/>
          <w:sz w:val="24"/>
          <w:szCs w:val="24"/>
        </w:rPr>
        <w:t>;</w:t>
      </w:r>
      <w:r w:rsidRPr="0000051D">
        <w:rPr>
          <w:rFonts w:ascii="Arial" w:hAnsi="Arial" w:cs="Arial"/>
          <w:sz w:val="24"/>
          <w:szCs w:val="24"/>
        </w:rPr>
        <w:t xml:space="preserve"> legitimate, referent, expert, moral, reward, and coercive</w:t>
      </w:r>
      <w:r w:rsidR="00D7571B">
        <w:rPr>
          <w:rFonts w:ascii="Arial" w:hAnsi="Arial" w:cs="Arial"/>
          <w:sz w:val="24"/>
          <w:szCs w:val="24"/>
        </w:rPr>
        <w:t xml:space="preserve">, </w:t>
      </w:r>
      <w:r w:rsidRPr="0000051D">
        <w:rPr>
          <w:rFonts w:ascii="Arial" w:hAnsi="Arial" w:cs="Arial"/>
          <w:sz w:val="24"/>
          <w:szCs w:val="24"/>
        </w:rPr>
        <w:t>allows me to reflect critically on how influence should be exercised ethically within hierarchical systems like policing.</w:t>
      </w:r>
    </w:p>
    <w:p w14:paraId="14A47547" w14:textId="00EC3EC1"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The benefits of effective leadership are clear: cohesive teams, ethical decision-making, resilience, and public confidence. The costs of ineffective leadership are equally evident</w:t>
      </w:r>
      <w:r w:rsidR="008D5EC8">
        <w:rPr>
          <w:rFonts w:ascii="Arial" w:hAnsi="Arial" w:cs="Arial"/>
          <w:sz w:val="24"/>
          <w:szCs w:val="24"/>
        </w:rPr>
        <w:t xml:space="preserve">; </w:t>
      </w:r>
      <w:r w:rsidRPr="0000051D">
        <w:rPr>
          <w:rFonts w:ascii="Arial" w:hAnsi="Arial" w:cs="Arial"/>
          <w:sz w:val="24"/>
          <w:szCs w:val="24"/>
        </w:rPr>
        <w:t>burnout, disengagement, and failure to protect those most at risk. My reflections have reaffirmed my commitment to continuous learning and emotional awareness as core elements of leadership practice. In future leadership challenges, particularly within multi-agency safeguarding partnerships, I intend to apply these insights to foster collaboration, trust, and innovation across organisational boundaries.</w:t>
      </w:r>
    </w:p>
    <w:p w14:paraId="0433D354" w14:textId="77777777"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Ultimately, leadership in policing is not about control but about stewardship. It is the ability to lead decisively while caring deeply, to hold authority while showing humility, and to remain authentic amidst complexity. Through reflection, theory, and practice, I continue to evolve as a leader capable of both safeguarding others and nurturing the people who deliver that protection.</w:t>
      </w:r>
    </w:p>
    <w:p w14:paraId="533EE946" w14:textId="77777777" w:rsidR="0000051D" w:rsidRPr="0000051D" w:rsidRDefault="0000051D" w:rsidP="00BA71D7">
      <w:pPr>
        <w:pStyle w:val="Heading1"/>
      </w:pPr>
      <w:bookmarkStart w:id="7" w:name="_Toc218708885"/>
      <w:r w:rsidRPr="0000051D">
        <w:lastRenderedPageBreak/>
        <w:t>References</w:t>
      </w:r>
      <w:bookmarkEnd w:id="7"/>
    </w:p>
    <w:p w14:paraId="2F87FF44" w14:textId="553E67DB" w:rsidR="0000051D" w:rsidRPr="0000051D" w:rsidRDefault="0000051D" w:rsidP="0000051D">
      <w:pPr>
        <w:spacing w:line="360" w:lineRule="auto"/>
        <w:rPr>
          <w:rFonts w:ascii="Arial" w:hAnsi="Arial" w:cs="Arial"/>
          <w:sz w:val="24"/>
          <w:szCs w:val="24"/>
        </w:rPr>
      </w:pPr>
      <w:r w:rsidRPr="0000051D">
        <w:rPr>
          <w:rFonts w:ascii="Arial" w:hAnsi="Arial" w:cs="Arial"/>
          <w:sz w:val="24"/>
          <w:szCs w:val="24"/>
        </w:rPr>
        <w:t>Adlam, R. and Villiers, P. (2020) Leadership, Ethics and Policing: New Directions in Criminal Justice Studies. Routledge.</w:t>
      </w:r>
      <w:r w:rsidRPr="0000051D">
        <w:rPr>
          <w:rFonts w:ascii="Arial" w:hAnsi="Arial" w:cs="Arial"/>
          <w:sz w:val="24"/>
          <w:szCs w:val="24"/>
        </w:rPr>
        <w:br/>
        <w:t>Avolio, B.J. and Gardner, W.L. (2005) ‘Authentic leadership development: Getting to the root of positive forms of leadership’, The Leadership Quarterly, 16(3), pp. 315–338.</w:t>
      </w:r>
      <w:r w:rsidRPr="0000051D">
        <w:rPr>
          <w:rFonts w:ascii="Arial" w:hAnsi="Arial" w:cs="Arial"/>
          <w:sz w:val="24"/>
          <w:szCs w:val="24"/>
        </w:rPr>
        <w:br/>
        <w:t xml:space="preserve">Bandura, A. (1977) Self-Efficacy: Toward a Unifying Theory of </w:t>
      </w:r>
      <w:r w:rsidR="00F142F2" w:rsidRPr="0000051D">
        <w:rPr>
          <w:rFonts w:ascii="Arial" w:hAnsi="Arial" w:cs="Arial"/>
          <w:sz w:val="24"/>
          <w:szCs w:val="24"/>
        </w:rPr>
        <w:t>Behavioural</w:t>
      </w:r>
      <w:r w:rsidRPr="0000051D">
        <w:rPr>
          <w:rFonts w:ascii="Arial" w:hAnsi="Arial" w:cs="Arial"/>
          <w:sz w:val="24"/>
          <w:szCs w:val="24"/>
        </w:rPr>
        <w:t xml:space="preserve"> Change. Psychological Review, 84(2), pp. 191–215.</w:t>
      </w:r>
      <w:r w:rsidRPr="0000051D">
        <w:rPr>
          <w:rFonts w:ascii="Arial" w:hAnsi="Arial" w:cs="Arial"/>
          <w:sz w:val="24"/>
          <w:szCs w:val="24"/>
        </w:rPr>
        <w:br/>
        <w:t>Bass, B.M. and Riggio, R.E. (2006) Transformational Leadership. 2nd ed. Mahwah, NJ: Lawrence Erlbaum.</w:t>
      </w:r>
      <w:r w:rsidRPr="0000051D">
        <w:rPr>
          <w:rFonts w:ascii="Arial" w:hAnsi="Arial" w:cs="Arial"/>
          <w:sz w:val="24"/>
          <w:szCs w:val="24"/>
        </w:rPr>
        <w:br/>
        <w:t>Bennett, N. and Lemoine, G.J. (2014) ‘What a difference a word makes: Understanding threats to performance in a VUCA world’, Business Horizons, 57(3), pp. 311–317.</w:t>
      </w:r>
      <w:r w:rsidRPr="0000051D">
        <w:rPr>
          <w:rFonts w:ascii="Arial" w:hAnsi="Arial" w:cs="Arial"/>
          <w:sz w:val="24"/>
          <w:szCs w:val="24"/>
        </w:rPr>
        <w:br/>
        <w:t>Bryman, A. (2011) Leadership and Organizations. London: Routledge.</w:t>
      </w:r>
      <w:r w:rsidRPr="0000051D">
        <w:rPr>
          <w:rFonts w:ascii="Arial" w:hAnsi="Arial" w:cs="Arial"/>
          <w:sz w:val="24"/>
          <w:szCs w:val="24"/>
        </w:rPr>
        <w:br/>
        <w:t>Burns, J.M. (1978) Leadership. New York: Harper &amp; Row.</w:t>
      </w:r>
      <w:r w:rsidRPr="0000051D">
        <w:rPr>
          <w:rFonts w:ascii="Arial" w:hAnsi="Arial" w:cs="Arial"/>
          <w:sz w:val="24"/>
          <w:szCs w:val="24"/>
        </w:rPr>
        <w:br/>
        <w:t>Cockcroft, T. (2014) Police Culture: Themes and Concepts. London: Routledge.</w:t>
      </w:r>
      <w:r w:rsidRPr="0000051D">
        <w:rPr>
          <w:rFonts w:ascii="Arial" w:hAnsi="Arial" w:cs="Arial"/>
          <w:sz w:val="24"/>
          <w:szCs w:val="24"/>
        </w:rPr>
        <w:br/>
        <w:t>Fiedler, F.E. (1967) A Theory of Leadership Effectiveness. New York: McGraw-Hill.</w:t>
      </w:r>
      <w:r w:rsidRPr="0000051D">
        <w:rPr>
          <w:rFonts w:ascii="Arial" w:hAnsi="Arial" w:cs="Arial"/>
          <w:sz w:val="24"/>
          <w:szCs w:val="24"/>
        </w:rPr>
        <w:br/>
        <w:t>French, J.R.P. and Raven, B. (1959) ‘The bases of social power’, in Cartwright, D. (ed.) Studies in Social Power. Ann Arbor, MI: University of Michigan Press, pp. 150–167.</w:t>
      </w:r>
      <w:r w:rsidRPr="0000051D">
        <w:rPr>
          <w:rFonts w:ascii="Arial" w:hAnsi="Arial" w:cs="Arial"/>
          <w:sz w:val="24"/>
          <w:szCs w:val="24"/>
        </w:rPr>
        <w:br/>
      </w:r>
      <w:proofErr w:type="spellStart"/>
      <w:r w:rsidRPr="0000051D">
        <w:rPr>
          <w:rFonts w:ascii="Arial" w:hAnsi="Arial" w:cs="Arial"/>
          <w:sz w:val="24"/>
          <w:szCs w:val="24"/>
        </w:rPr>
        <w:t>Gastil</w:t>
      </w:r>
      <w:proofErr w:type="spellEnd"/>
      <w:r w:rsidRPr="0000051D">
        <w:rPr>
          <w:rFonts w:ascii="Arial" w:hAnsi="Arial" w:cs="Arial"/>
          <w:sz w:val="24"/>
          <w:szCs w:val="24"/>
        </w:rPr>
        <w:t>, J. (1994) ‘A definition and illustration of democratic leadership’, Human Relations, 47(8), pp. 953–975.</w:t>
      </w:r>
      <w:r w:rsidRPr="0000051D">
        <w:rPr>
          <w:rFonts w:ascii="Arial" w:hAnsi="Arial" w:cs="Arial"/>
          <w:sz w:val="24"/>
          <w:szCs w:val="24"/>
        </w:rPr>
        <w:br/>
        <w:t>Gibbs, G. (1988) Learning by Doing: A Guide to Teaching and Learning Methods. Oxford: Oxford Polytechnic.</w:t>
      </w:r>
      <w:r w:rsidRPr="0000051D">
        <w:rPr>
          <w:rFonts w:ascii="Arial" w:hAnsi="Arial" w:cs="Arial"/>
          <w:sz w:val="24"/>
          <w:szCs w:val="24"/>
        </w:rPr>
        <w:br/>
        <w:t>Goleman, D. (1998) Working with Emotional Intelligence. London: Bloomsbury.</w:t>
      </w:r>
      <w:r w:rsidRPr="0000051D">
        <w:rPr>
          <w:rFonts w:ascii="Arial" w:hAnsi="Arial" w:cs="Arial"/>
          <w:sz w:val="24"/>
          <w:szCs w:val="24"/>
        </w:rPr>
        <w:br/>
        <w:t>Greenleaf, R.K. (1977) Servant Leadership: A Journey into the Nature of Legitimate Power and Greatness. New York: Paulist Press.</w:t>
      </w:r>
      <w:r w:rsidRPr="0000051D">
        <w:rPr>
          <w:rFonts w:ascii="Arial" w:hAnsi="Arial" w:cs="Arial"/>
          <w:sz w:val="24"/>
          <w:szCs w:val="24"/>
        </w:rPr>
        <w:br/>
        <w:t>Herzberg, F. (1959) The Motivation to Work. New York: Wiley.</w:t>
      </w:r>
      <w:r w:rsidRPr="0000051D">
        <w:rPr>
          <w:rFonts w:ascii="Arial" w:hAnsi="Arial" w:cs="Arial"/>
          <w:sz w:val="24"/>
          <w:szCs w:val="24"/>
        </w:rPr>
        <w:br/>
        <w:t>Hersey, P. and Blanchard, K.H. (1988) Management of Organi</w:t>
      </w:r>
      <w:r w:rsidR="00F142F2">
        <w:rPr>
          <w:rFonts w:ascii="Arial" w:hAnsi="Arial" w:cs="Arial"/>
          <w:sz w:val="24"/>
          <w:szCs w:val="24"/>
        </w:rPr>
        <w:t>s</w:t>
      </w:r>
      <w:r w:rsidRPr="0000051D">
        <w:rPr>
          <w:rFonts w:ascii="Arial" w:hAnsi="Arial" w:cs="Arial"/>
          <w:sz w:val="24"/>
          <w:szCs w:val="24"/>
        </w:rPr>
        <w:t xml:space="preserve">ational </w:t>
      </w:r>
      <w:r w:rsidR="00F142F2" w:rsidRPr="0000051D">
        <w:rPr>
          <w:rFonts w:ascii="Arial" w:hAnsi="Arial" w:cs="Arial"/>
          <w:sz w:val="24"/>
          <w:szCs w:val="24"/>
        </w:rPr>
        <w:t>Behaviour</w:t>
      </w:r>
      <w:r w:rsidRPr="0000051D">
        <w:rPr>
          <w:rFonts w:ascii="Arial" w:hAnsi="Arial" w:cs="Arial"/>
          <w:sz w:val="24"/>
          <w:szCs w:val="24"/>
        </w:rPr>
        <w:t>: Utilizing Human Resources. Englewood Cliffs, NJ: Prentice Hall.</w:t>
      </w:r>
      <w:r w:rsidRPr="0000051D">
        <w:rPr>
          <w:rFonts w:ascii="Arial" w:hAnsi="Arial" w:cs="Arial"/>
          <w:sz w:val="24"/>
          <w:szCs w:val="24"/>
        </w:rPr>
        <w:br/>
        <w:t xml:space="preserve">Lewin, K., Lippitt, R. and White, R.K. (1939) ‘Patterns of aggressive </w:t>
      </w:r>
      <w:r w:rsidR="00F142F2" w:rsidRPr="0000051D">
        <w:rPr>
          <w:rFonts w:ascii="Arial" w:hAnsi="Arial" w:cs="Arial"/>
          <w:sz w:val="24"/>
          <w:szCs w:val="24"/>
        </w:rPr>
        <w:t>behaviour</w:t>
      </w:r>
      <w:r w:rsidRPr="0000051D">
        <w:rPr>
          <w:rFonts w:ascii="Arial" w:hAnsi="Arial" w:cs="Arial"/>
          <w:sz w:val="24"/>
          <w:szCs w:val="24"/>
        </w:rPr>
        <w:t xml:space="preserve"> in experimentally created social climates’, Journal of Social Psychology, 10(2), pp. 271–299.</w:t>
      </w:r>
      <w:r w:rsidRPr="0000051D">
        <w:rPr>
          <w:rFonts w:ascii="Arial" w:hAnsi="Arial" w:cs="Arial"/>
          <w:sz w:val="24"/>
          <w:szCs w:val="24"/>
        </w:rPr>
        <w:br/>
      </w:r>
      <w:r w:rsidRPr="0000051D">
        <w:rPr>
          <w:rFonts w:ascii="Arial" w:hAnsi="Arial" w:cs="Arial"/>
          <w:sz w:val="24"/>
          <w:szCs w:val="24"/>
        </w:rPr>
        <w:lastRenderedPageBreak/>
        <w:t>Locke, E.A. and Latham, G.P. (1990) A Theory of Goal Setting and Task Performance. Englewood Cliffs, NJ: Prentice Hall.</w:t>
      </w:r>
      <w:r w:rsidRPr="0000051D">
        <w:rPr>
          <w:rFonts w:ascii="Arial" w:hAnsi="Arial" w:cs="Arial"/>
          <w:sz w:val="24"/>
          <w:szCs w:val="24"/>
        </w:rPr>
        <w:br/>
        <w:t>Maslow, A.H. (1943) ‘A theory of human motivation’, Psychological Review, 50(4), pp. 370–396.</w:t>
      </w:r>
      <w:r w:rsidRPr="0000051D">
        <w:rPr>
          <w:rFonts w:ascii="Arial" w:hAnsi="Arial" w:cs="Arial"/>
          <w:sz w:val="24"/>
          <w:szCs w:val="24"/>
        </w:rPr>
        <w:br/>
        <w:t>McClelland, D.C. (1961) The Achieving Society. Princeton, NJ: Van Nostrand.</w:t>
      </w:r>
      <w:r w:rsidRPr="0000051D">
        <w:rPr>
          <w:rFonts w:ascii="Arial" w:hAnsi="Arial" w:cs="Arial"/>
          <w:sz w:val="24"/>
          <w:szCs w:val="24"/>
        </w:rPr>
        <w:br/>
        <w:t>Northouse, P.G. (2021) Leadership: Theory and Practice. 9th ed. London: Sage.</w:t>
      </w:r>
      <w:r w:rsidRPr="0000051D">
        <w:rPr>
          <w:rFonts w:ascii="Arial" w:hAnsi="Arial" w:cs="Arial"/>
          <w:sz w:val="24"/>
          <w:szCs w:val="24"/>
        </w:rPr>
        <w:br/>
        <w:t>Vroom, V.H. (1964) Work and Motivation. New York: Wiley.</w:t>
      </w:r>
      <w:r w:rsidRPr="0000051D">
        <w:rPr>
          <w:rFonts w:ascii="Arial" w:hAnsi="Arial" w:cs="Arial"/>
          <w:sz w:val="24"/>
          <w:szCs w:val="24"/>
        </w:rPr>
        <w:br/>
        <w:t>Yerkes, R.M. and Dodson, J.D. (1908) ‘The relation of strength of stimulus to rapidity of habit-formation’, Journal of Comparative Neurology and Psychology, 18(5), pp. 459–482.</w:t>
      </w:r>
    </w:p>
    <w:p w14:paraId="5D8AB075" w14:textId="6C6EC830" w:rsidR="00306431" w:rsidRPr="009327DA" w:rsidRDefault="00306431" w:rsidP="0000051D">
      <w:pPr>
        <w:spacing w:line="360" w:lineRule="auto"/>
        <w:rPr>
          <w:rFonts w:ascii="Arial" w:hAnsi="Arial" w:cs="Arial"/>
          <w:sz w:val="24"/>
          <w:szCs w:val="24"/>
        </w:rPr>
      </w:pPr>
    </w:p>
    <w:sectPr w:rsidR="00306431" w:rsidRPr="009327DA" w:rsidSect="00A5720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C61"/>
    <w:rsid w:val="0000051D"/>
    <w:rsid w:val="00021D01"/>
    <w:rsid w:val="00062F0F"/>
    <w:rsid w:val="00072668"/>
    <w:rsid w:val="000751CF"/>
    <w:rsid w:val="00075C24"/>
    <w:rsid w:val="00086BAC"/>
    <w:rsid w:val="000F5A01"/>
    <w:rsid w:val="00141D3B"/>
    <w:rsid w:val="00167383"/>
    <w:rsid w:val="001D04BC"/>
    <w:rsid w:val="00270058"/>
    <w:rsid w:val="00306431"/>
    <w:rsid w:val="00314F2C"/>
    <w:rsid w:val="00462C70"/>
    <w:rsid w:val="00496033"/>
    <w:rsid w:val="004C7C74"/>
    <w:rsid w:val="00505C61"/>
    <w:rsid w:val="00524F39"/>
    <w:rsid w:val="00560153"/>
    <w:rsid w:val="005C292F"/>
    <w:rsid w:val="00614485"/>
    <w:rsid w:val="00687437"/>
    <w:rsid w:val="00735A18"/>
    <w:rsid w:val="007421A3"/>
    <w:rsid w:val="008330D5"/>
    <w:rsid w:val="008C2A31"/>
    <w:rsid w:val="008D5EC8"/>
    <w:rsid w:val="009327DA"/>
    <w:rsid w:val="009E2E4F"/>
    <w:rsid w:val="00A57200"/>
    <w:rsid w:val="00B434D2"/>
    <w:rsid w:val="00B507D6"/>
    <w:rsid w:val="00BA71D7"/>
    <w:rsid w:val="00BC0889"/>
    <w:rsid w:val="00C2649D"/>
    <w:rsid w:val="00C32545"/>
    <w:rsid w:val="00C64CEB"/>
    <w:rsid w:val="00CB1096"/>
    <w:rsid w:val="00CD171C"/>
    <w:rsid w:val="00D7571B"/>
    <w:rsid w:val="00E97251"/>
    <w:rsid w:val="00F142F2"/>
    <w:rsid w:val="00FB2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6839B"/>
  <w15:chartTrackingRefBased/>
  <w15:docId w15:val="{132164DC-FC71-4299-874D-4CB33E36E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C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05C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05C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05C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C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C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C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C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C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C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05C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05C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05C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C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C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C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C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C61"/>
    <w:rPr>
      <w:rFonts w:eastAsiaTheme="majorEastAsia" w:cstheme="majorBidi"/>
      <w:color w:val="272727" w:themeColor="text1" w:themeTint="D8"/>
    </w:rPr>
  </w:style>
  <w:style w:type="paragraph" w:styleId="Title">
    <w:name w:val="Title"/>
    <w:basedOn w:val="Normal"/>
    <w:next w:val="Normal"/>
    <w:link w:val="TitleChar"/>
    <w:uiPriority w:val="10"/>
    <w:qFormat/>
    <w:rsid w:val="00505C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C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C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C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C61"/>
    <w:pPr>
      <w:spacing w:before="160"/>
      <w:jc w:val="center"/>
    </w:pPr>
    <w:rPr>
      <w:i/>
      <w:iCs/>
      <w:color w:val="404040" w:themeColor="text1" w:themeTint="BF"/>
    </w:rPr>
  </w:style>
  <w:style w:type="character" w:customStyle="1" w:styleId="QuoteChar">
    <w:name w:val="Quote Char"/>
    <w:basedOn w:val="DefaultParagraphFont"/>
    <w:link w:val="Quote"/>
    <w:uiPriority w:val="29"/>
    <w:rsid w:val="00505C61"/>
    <w:rPr>
      <w:i/>
      <w:iCs/>
      <w:color w:val="404040" w:themeColor="text1" w:themeTint="BF"/>
    </w:rPr>
  </w:style>
  <w:style w:type="paragraph" w:styleId="ListParagraph">
    <w:name w:val="List Paragraph"/>
    <w:basedOn w:val="Normal"/>
    <w:uiPriority w:val="34"/>
    <w:qFormat/>
    <w:rsid w:val="00505C61"/>
    <w:pPr>
      <w:ind w:left="720"/>
      <w:contextualSpacing/>
    </w:pPr>
  </w:style>
  <w:style w:type="character" w:styleId="IntenseEmphasis">
    <w:name w:val="Intense Emphasis"/>
    <w:basedOn w:val="DefaultParagraphFont"/>
    <w:uiPriority w:val="21"/>
    <w:qFormat/>
    <w:rsid w:val="00505C61"/>
    <w:rPr>
      <w:i/>
      <w:iCs/>
      <w:color w:val="0F4761" w:themeColor="accent1" w:themeShade="BF"/>
    </w:rPr>
  </w:style>
  <w:style w:type="paragraph" w:styleId="IntenseQuote">
    <w:name w:val="Intense Quote"/>
    <w:basedOn w:val="Normal"/>
    <w:next w:val="Normal"/>
    <w:link w:val="IntenseQuoteChar"/>
    <w:uiPriority w:val="30"/>
    <w:qFormat/>
    <w:rsid w:val="00505C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C61"/>
    <w:rPr>
      <w:i/>
      <w:iCs/>
      <w:color w:val="0F4761" w:themeColor="accent1" w:themeShade="BF"/>
    </w:rPr>
  </w:style>
  <w:style w:type="character" w:styleId="IntenseReference">
    <w:name w:val="Intense Reference"/>
    <w:basedOn w:val="DefaultParagraphFont"/>
    <w:uiPriority w:val="32"/>
    <w:qFormat/>
    <w:rsid w:val="00505C61"/>
    <w:rPr>
      <w:b/>
      <w:bCs/>
      <w:smallCaps/>
      <w:color w:val="0F4761" w:themeColor="accent1" w:themeShade="BF"/>
      <w:spacing w:val="5"/>
    </w:rPr>
  </w:style>
  <w:style w:type="paragraph" w:styleId="NoSpacing">
    <w:name w:val="No Spacing"/>
    <w:link w:val="NoSpacingChar"/>
    <w:uiPriority w:val="1"/>
    <w:qFormat/>
    <w:rsid w:val="00A57200"/>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A57200"/>
    <w:rPr>
      <w:rFonts w:eastAsiaTheme="minorEastAsia"/>
      <w:lang w:eastAsia="en-GB"/>
    </w:rPr>
  </w:style>
  <w:style w:type="paragraph" w:styleId="TOCHeading">
    <w:name w:val="TOC Heading"/>
    <w:basedOn w:val="Heading1"/>
    <w:next w:val="Normal"/>
    <w:uiPriority w:val="39"/>
    <w:unhideWhenUsed/>
    <w:qFormat/>
    <w:rsid w:val="00BA71D7"/>
    <w:pPr>
      <w:spacing w:before="240" w:after="0"/>
      <w:outlineLvl w:val="9"/>
    </w:pPr>
    <w:rPr>
      <w:sz w:val="32"/>
      <w:szCs w:val="32"/>
      <w:lang w:eastAsia="en-GB"/>
    </w:rPr>
  </w:style>
  <w:style w:type="paragraph" w:styleId="TOC2">
    <w:name w:val="toc 2"/>
    <w:basedOn w:val="Normal"/>
    <w:next w:val="Normal"/>
    <w:autoRedefine/>
    <w:uiPriority w:val="39"/>
    <w:unhideWhenUsed/>
    <w:rsid w:val="00BA71D7"/>
    <w:pPr>
      <w:spacing w:after="100"/>
      <w:ind w:left="220"/>
    </w:pPr>
    <w:rPr>
      <w:rFonts w:eastAsiaTheme="minorEastAsia" w:cs="Times New Roman"/>
      <w:lang w:eastAsia="en-GB"/>
    </w:rPr>
  </w:style>
  <w:style w:type="paragraph" w:styleId="TOC1">
    <w:name w:val="toc 1"/>
    <w:basedOn w:val="Normal"/>
    <w:next w:val="Normal"/>
    <w:autoRedefine/>
    <w:uiPriority w:val="39"/>
    <w:unhideWhenUsed/>
    <w:rsid w:val="00BA71D7"/>
    <w:pPr>
      <w:spacing w:after="100"/>
    </w:pPr>
    <w:rPr>
      <w:rFonts w:eastAsiaTheme="minorEastAsia" w:cs="Times New Roman"/>
      <w:lang w:eastAsia="en-GB"/>
    </w:rPr>
  </w:style>
  <w:style w:type="paragraph" w:styleId="TOC3">
    <w:name w:val="toc 3"/>
    <w:basedOn w:val="Normal"/>
    <w:next w:val="Normal"/>
    <w:autoRedefine/>
    <w:uiPriority w:val="39"/>
    <w:unhideWhenUsed/>
    <w:rsid w:val="00BA71D7"/>
    <w:pPr>
      <w:spacing w:after="100"/>
      <w:ind w:left="440"/>
    </w:pPr>
    <w:rPr>
      <w:rFonts w:eastAsiaTheme="minorEastAsia" w:cs="Times New Roman"/>
      <w:lang w:eastAsia="en-GB"/>
    </w:rPr>
  </w:style>
  <w:style w:type="character" w:styleId="Hyperlink">
    <w:name w:val="Hyperlink"/>
    <w:basedOn w:val="DefaultParagraphFont"/>
    <w:uiPriority w:val="99"/>
    <w:unhideWhenUsed/>
    <w:rsid w:val="00BA71D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93EFE-62F6-4408-B6A5-7E971AF25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1886</TotalTime>
  <Pages>14</Pages>
  <Words>3413</Words>
  <Characters>19458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Review: Leadership in Complex Policing Environments</dc:title>
  <dc:subject/>
  <dc:creator>Kendra Wedgwood (2406211)</dc:creator>
  <cp:keywords/>
  <dc:description/>
  <cp:lastModifiedBy>Kendra Wedgwood (2406211)</cp:lastModifiedBy>
  <cp:revision>36</cp:revision>
  <dcterms:created xsi:type="dcterms:W3CDTF">2025-10-14T17:23:00Z</dcterms:created>
  <dcterms:modified xsi:type="dcterms:W3CDTF">2026-01-07T20:36:00Z</dcterms:modified>
</cp:coreProperties>
</file>