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611E3" w14:textId="77777777" w:rsidR="00F53A76" w:rsidRDefault="00F53A76">
      <w:pPr>
        <w:jc w:val="center"/>
        <w:rPr>
          <w:rFonts w:ascii="Times New Roman" w:hAnsi="Times New Roman"/>
          <w:sz w:val="36"/>
          <w:szCs w:val="36"/>
        </w:rPr>
      </w:pPr>
      <w:bookmarkStart w:id="0" w:name="_Hlk182007339"/>
      <w:bookmarkEnd w:id="0"/>
    </w:p>
    <w:p w14:paraId="743611E4" w14:textId="77777777" w:rsidR="00F53A76" w:rsidRDefault="00F53A76">
      <w:pPr>
        <w:jc w:val="center"/>
        <w:rPr>
          <w:rFonts w:ascii="Times New Roman" w:hAnsi="Times New Roman"/>
          <w:sz w:val="36"/>
          <w:szCs w:val="36"/>
        </w:rPr>
      </w:pPr>
    </w:p>
    <w:p w14:paraId="743611E5" w14:textId="77777777" w:rsidR="00F53A76" w:rsidRDefault="00F53A76">
      <w:pPr>
        <w:jc w:val="center"/>
        <w:rPr>
          <w:rFonts w:ascii="Times New Roman" w:hAnsi="Times New Roman"/>
          <w:sz w:val="36"/>
          <w:szCs w:val="36"/>
        </w:rPr>
      </w:pPr>
    </w:p>
    <w:p w14:paraId="743611E6" w14:textId="77777777" w:rsidR="00F53A76" w:rsidRDefault="00F53A76">
      <w:pPr>
        <w:jc w:val="center"/>
        <w:rPr>
          <w:rFonts w:ascii="Times New Roman" w:hAnsi="Times New Roman"/>
          <w:sz w:val="36"/>
          <w:szCs w:val="36"/>
        </w:rPr>
      </w:pPr>
    </w:p>
    <w:p w14:paraId="743611E7" w14:textId="77777777" w:rsidR="00F53A76" w:rsidRDefault="00F53A76"/>
    <w:p w14:paraId="743611E8" w14:textId="77777777" w:rsidR="00F53A76" w:rsidRDefault="00F53A76"/>
    <w:p w14:paraId="743611E9" w14:textId="77777777" w:rsidR="00F53A76" w:rsidRDefault="005A383F">
      <w:pPr>
        <w:jc w:val="center"/>
        <w:rPr>
          <w:rFonts w:ascii="Times New Roman" w:hAnsi="Times New Roman"/>
          <w:b/>
          <w:bCs/>
          <w:sz w:val="40"/>
          <w:szCs w:val="40"/>
        </w:rPr>
      </w:pPr>
      <w:r>
        <w:rPr>
          <w:rFonts w:ascii="Times New Roman" w:hAnsi="Times New Roman"/>
          <w:b/>
          <w:bCs/>
          <w:sz w:val="40"/>
          <w:szCs w:val="40"/>
        </w:rPr>
        <w:t>INTERNATIONAL BUSINESS                          COMMUNICATIONS</w:t>
      </w:r>
    </w:p>
    <w:p w14:paraId="743611EA" w14:textId="77777777" w:rsidR="00F53A76" w:rsidRDefault="005A383F">
      <w:pPr>
        <w:jc w:val="center"/>
        <w:rPr>
          <w:rFonts w:ascii="Times New Roman" w:hAnsi="Times New Roman"/>
          <w:sz w:val="32"/>
          <w:szCs w:val="32"/>
        </w:rPr>
      </w:pPr>
      <w:r>
        <w:rPr>
          <w:rFonts w:ascii="Times New Roman" w:hAnsi="Times New Roman"/>
          <w:sz w:val="32"/>
          <w:szCs w:val="32"/>
        </w:rPr>
        <w:t>ESSAY</w:t>
      </w:r>
    </w:p>
    <w:p w14:paraId="743611EB" w14:textId="77777777" w:rsidR="00F53A76" w:rsidRDefault="00F53A76">
      <w:pPr>
        <w:jc w:val="center"/>
        <w:rPr>
          <w:rFonts w:ascii="Times New Roman" w:hAnsi="Times New Roman"/>
          <w:sz w:val="32"/>
          <w:szCs w:val="32"/>
        </w:rPr>
      </w:pPr>
    </w:p>
    <w:p w14:paraId="743611EC" w14:textId="77777777" w:rsidR="00F53A76" w:rsidRDefault="00F53A76">
      <w:pPr>
        <w:jc w:val="center"/>
        <w:rPr>
          <w:rFonts w:ascii="Times New Roman" w:hAnsi="Times New Roman"/>
          <w:sz w:val="32"/>
          <w:szCs w:val="32"/>
        </w:rPr>
      </w:pPr>
    </w:p>
    <w:p w14:paraId="743611ED" w14:textId="77777777" w:rsidR="00F53A76" w:rsidRDefault="00F53A76">
      <w:pPr>
        <w:jc w:val="center"/>
        <w:rPr>
          <w:rFonts w:ascii="Times New Roman" w:hAnsi="Times New Roman"/>
          <w:sz w:val="32"/>
          <w:szCs w:val="32"/>
        </w:rPr>
      </w:pPr>
    </w:p>
    <w:p w14:paraId="743611EE" w14:textId="77777777" w:rsidR="00F53A76" w:rsidRDefault="00F53A76">
      <w:pPr>
        <w:jc w:val="center"/>
        <w:rPr>
          <w:rFonts w:ascii="Times New Roman" w:hAnsi="Times New Roman"/>
          <w:sz w:val="32"/>
          <w:szCs w:val="32"/>
        </w:rPr>
      </w:pPr>
    </w:p>
    <w:p w14:paraId="743611EF" w14:textId="77777777" w:rsidR="00F53A76" w:rsidRDefault="005A383F">
      <w:pPr>
        <w:jc w:val="center"/>
        <w:rPr>
          <w:rFonts w:ascii="Times New Roman" w:hAnsi="Times New Roman"/>
          <w:sz w:val="32"/>
          <w:szCs w:val="32"/>
        </w:rPr>
      </w:pPr>
      <w:r>
        <w:rPr>
          <w:rFonts w:ascii="Times New Roman" w:hAnsi="Times New Roman"/>
          <w:sz w:val="32"/>
          <w:szCs w:val="32"/>
        </w:rPr>
        <w:t>Student Name: OANA CRETU</w:t>
      </w:r>
    </w:p>
    <w:p w14:paraId="743611F0" w14:textId="77777777" w:rsidR="00F53A76" w:rsidRDefault="005A383F">
      <w:pPr>
        <w:jc w:val="center"/>
        <w:rPr>
          <w:rFonts w:ascii="Times New Roman" w:hAnsi="Times New Roman"/>
          <w:sz w:val="32"/>
          <w:szCs w:val="32"/>
        </w:rPr>
      </w:pPr>
      <w:r>
        <w:rPr>
          <w:rFonts w:ascii="Times New Roman" w:hAnsi="Times New Roman"/>
          <w:sz w:val="32"/>
          <w:szCs w:val="32"/>
        </w:rPr>
        <w:t>Student ID: 2212293</w:t>
      </w:r>
    </w:p>
    <w:p w14:paraId="743611F1" w14:textId="77777777" w:rsidR="00F53A76" w:rsidRDefault="005A383F">
      <w:pPr>
        <w:jc w:val="center"/>
        <w:rPr>
          <w:rFonts w:ascii="Times New Roman" w:hAnsi="Times New Roman"/>
          <w:sz w:val="32"/>
          <w:szCs w:val="32"/>
        </w:rPr>
      </w:pPr>
      <w:r>
        <w:rPr>
          <w:rFonts w:ascii="Times New Roman" w:hAnsi="Times New Roman"/>
          <w:sz w:val="32"/>
          <w:szCs w:val="32"/>
        </w:rPr>
        <w:t>Lecturer Name: Dr REXON NTING</w:t>
      </w:r>
    </w:p>
    <w:p w14:paraId="743611F2" w14:textId="77777777" w:rsidR="00F53A76" w:rsidRDefault="00F53A76">
      <w:pPr>
        <w:jc w:val="center"/>
        <w:rPr>
          <w:rFonts w:ascii="Times New Roman" w:hAnsi="Times New Roman"/>
          <w:sz w:val="32"/>
          <w:szCs w:val="32"/>
        </w:rPr>
      </w:pPr>
    </w:p>
    <w:p w14:paraId="743611F3" w14:textId="77777777" w:rsidR="00F53A76" w:rsidRDefault="00F53A76">
      <w:pPr>
        <w:jc w:val="center"/>
        <w:rPr>
          <w:rFonts w:ascii="Times New Roman" w:hAnsi="Times New Roman"/>
          <w:sz w:val="36"/>
          <w:szCs w:val="36"/>
        </w:rPr>
      </w:pPr>
    </w:p>
    <w:p w14:paraId="743611F4" w14:textId="77777777" w:rsidR="00F53A76" w:rsidRDefault="00F53A76">
      <w:pPr>
        <w:jc w:val="center"/>
        <w:rPr>
          <w:rFonts w:ascii="Times New Roman" w:hAnsi="Times New Roman"/>
          <w:sz w:val="36"/>
          <w:szCs w:val="36"/>
        </w:rPr>
      </w:pPr>
    </w:p>
    <w:p w14:paraId="743611F5" w14:textId="77777777" w:rsidR="00F53A76" w:rsidRDefault="00F53A76">
      <w:pPr>
        <w:jc w:val="center"/>
        <w:rPr>
          <w:rFonts w:ascii="Times New Roman" w:hAnsi="Times New Roman"/>
          <w:sz w:val="36"/>
          <w:szCs w:val="36"/>
        </w:rPr>
      </w:pPr>
    </w:p>
    <w:p w14:paraId="743611F6" w14:textId="77777777" w:rsidR="00F53A76" w:rsidRDefault="00F53A76">
      <w:pPr>
        <w:jc w:val="center"/>
        <w:rPr>
          <w:rFonts w:ascii="Times New Roman" w:hAnsi="Times New Roman"/>
          <w:sz w:val="36"/>
          <w:szCs w:val="36"/>
        </w:rPr>
      </w:pPr>
    </w:p>
    <w:p w14:paraId="743611F7" w14:textId="77777777" w:rsidR="00F53A76" w:rsidRDefault="00F53A76">
      <w:pPr>
        <w:jc w:val="center"/>
        <w:rPr>
          <w:rFonts w:ascii="Times New Roman" w:hAnsi="Times New Roman"/>
          <w:sz w:val="36"/>
          <w:szCs w:val="36"/>
        </w:rPr>
      </w:pPr>
    </w:p>
    <w:p w14:paraId="743611F8" w14:textId="77777777" w:rsidR="00F53A76" w:rsidRDefault="00F53A76">
      <w:pPr>
        <w:rPr>
          <w:rFonts w:ascii="Times New Roman" w:hAnsi="Times New Roman"/>
          <w:sz w:val="36"/>
          <w:szCs w:val="36"/>
        </w:rPr>
      </w:pPr>
    </w:p>
    <w:p w14:paraId="743611F9" w14:textId="77777777" w:rsidR="00F53A76" w:rsidRDefault="00F53A76">
      <w:pPr>
        <w:rPr>
          <w:rFonts w:ascii="Times New Roman" w:hAnsi="Times New Roman"/>
          <w:sz w:val="36"/>
          <w:szCs w:val="36"/>
        </w:rPr>
      </w:pPr>
    </w:p>
    <w:p w14:paraId="743611FA" w14:textId="77777777" w:rsidR="00F53A76" w:rsidRDefault="00F53A76">
      <w:pPr>
        <w:rPr>
          <w:rFonts w:ascii="Times New Roman" w:hAnsi="Times New Roman"/>
          <w:sz w:val="36"/>
          <w:szCs w:val="36"/>
        </w:rPr>
      </w:pPr>
    </w:p>
    <w:p w14:paraId="743611FB" w14:textId="77777777" w:rsidR="00F53A76" w:rsidRDefault="005A383F">
      <w:pPr>
        <w:jc w:val="center"/>
        <w:rPr>
          <w:rFonts w:ascii="Times New Roman" w:hAnsi="Times New Roman"/>
          <w:sz w:val="36"/>
          <w:szCs w:val="36"/>
        </w:rPr>
      </w:pPr>
      <w:r>
        <w:rPr>
          <w:rFonts w:ascii="Times New Roman" w:hAnsi="Times New Roman"/>
          <w:sz w:val="36"/>
          <w:szCs w:val="36"/>
        </w:rPr>
        <w:lastRenderedPageBreak/>
        <w:t>TABLE OF CONTENT</w:t>
      </w:r>
    </w:p>
    <w:p w14:paraId="743611FC" w14:textId="77777777" w:rsidR="00F53A76" w:rsidRDefault="00F53A76">
      <w:pPr>
        <w:jc w:val="center"/>
        <w:rPr>
          <w:rFonts w:ascii="Times New Roman" w:hAnsi="Times New Roman"/>
          <w:sz w:val="36"/>
          <w:szCs w:val="36"/>
        </w:rPr>
      </w:pPr>
    </w:p>
    <w:p w14:paraId="743611FD" w14:textId="77777777" w:rsidR="00F53A76" w:rsidRDefault="00F53A76">
      <w:pPr>
        <w:jc w:val="center"/>
        <w:rPr>
          <w:rFonts w:ascii="Times New Roman" w:hAnsi="Times New Roman"/>
          <w:sz w:val="32"/>
          <w:szCs w:val="32"/>
        </w:rPr>
      </w:pPr>
    </w:p>
    <w:p w14:paraId="743611FE" w14:textId="77777777" w:rsidR="00F53A76" w:rsidRDefault="00F53A76">
      <w:pPr>
        <w:jc w:val="center"/>
        <w:rPr>
          <w:rFonts w:ascii="Times New Roman" w:hAnsi="Times New Roman"/>
          <w:sz w:val="32"/>
          <w:szCs w:val="32"/>
        </w:rPr>
      </w:pPr>
    </w:p>
    <w:p w14:paraId="743611FF"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INTRODUCTION</w:t>
      </w:r>
    </w:p>
    <w:p w14:paraId="74361200" w14:textId="77777777" w:rsidR="00F53A76" w:rsidRDefault="00F53A76">
      <w:pPr>
        <w:pStyle w:val="Listparagraf"/>
        <w:rPr>
          <w:rFonts w:ascii="Times New Roman" w:hAnsi="Times New Roman"/>
          <w:sz w:val="28"/>
          <w:szCs w:val="28"/>
        </w:rPr>
      </w:pPr>
    </w:p>
    <w:p w14:paraId="74361201"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 xml:space="preserve">BACKGROUND OF DIAGEO AND SUNTORY </w:t>
      </w:r>
    </w:p>
    <w:p w14:paraId="74361202" w14:textId="77777777" w:rsidR="00F53A76" w:rsidRDefault="00F53A76">
      <w:pPr>
        <w:pStyle w:val="Listparagraf"/>
        <w:rPr>
          <w:rFonts w:ascii="Times New Roman" w:hAnsi="Times New Roman"/>
          <w:sz w:val="28"/>
          <w:szCs w:val="28"/>
        </w:rPr>
      </w:pPr>
    </w:p>
    <w:p w14:paraId="74361203" w14:textId="77777777" w:rsidR="00F53A76" w:rsidRDefault="00F53A76">
      <w:pPr>
        <w:pStyle w:val="Listparagraf"/>
        <w:rPr>
          <w:rFonts w:ascii="Times New Roman" w:hAnsi="Times New Roman"/>
          <w:sz w:val="28"/>
          <w:szCs w:val="28"/>
        </w:rPr>
      </w:pPr>
    </w:p>
    <w:p w14:paraId="74361204"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CULTURAL CONTEXT AND BUSINESS OPERATIONS IN ASIA</w:t>
      </w:r>
    </w:p>
    <w:p w14:paraId="74361205" w14:textId="77777777" w:rsidR="00F53A76" w:rsidRDefault="00F53A76">
      <w:pPr>
        <w:pStyle w:val="Listparagraf"/>
        <w:rPr>
          <w:rFonts w:ascii="Times New Roman" w:hAnsi="Times New Roman"/>
          <w:sz w:val="28"/>
          <w:szCs w:val="28"/>
        </w:rPr>
      </w:pPr>
    </w:p>
    <w:p w14:paraId="74361206"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 xml:space="preserve">DIFFERENCES IN COMMUNICATION STYLES: UK vs JAPAN  </w:t>
      </w:r>
    </w:p>
    <w:p w14:paraId="74361207" w14:textId="77777777" w:rsidR="00F53A76" w:rsidRDefault="005A383F">
      <w:pPr>
        <w:pStyle w:val="Listparagraf"/>
        <w:numPr>
          <w:ilvl w:val="0"/>
          <w:numId w:val="2"/>
        </w:numPr>
      </w:pPr>
      <w:r>
        <w:rPr>
          <w:rFonts w:ascii="Times New Roman" w:hAnsi="Times New Roman"/>
          <w:sz w:val="28"/>
          <w:szCs w:val="28"/>
        </w:rPr>
        <w:t>High-Context vs. Low-Context Communication Theory</w:t>
      </w:r>
    </w:p>
    <w:p w14:paraId="74361208" w14:textId="77777777" w:rsidR="00F53A76" w:rsidRDefault="005A383F">
      <w:pPr>
        <w:pStyle w:val="Listparagraf"/>
        <w:numPr>
          <w:ilvl w:val="0"/>
          <w:numId w:val="2"/>
        </w:numPr>
      </w:pPr>
      <w:r>
        <w:rPr>
          <w:rFonts w:ascii="Times New Roman" w:hAnsi="Times New Roman"/>
          <w:sz w:val="28"/>
          <w:szCs w:val="28"/>
        </w:rPr>
        <w:t>Hofstede’s Cultural Dimensions Theory</w:t>
      </w:r>
    </w:p>
    <w:p w14:paraId="74361209" w14:textId="77777777" w:rsidR="00F53A76" w:rsidRDefault="005A383F">
      <w:pPr>
        <w:pStyle w:val="Listparagraf"/>
        <w:ind w:left="1524"/>
      </w:pPr>
      <w:r>
        <w:rPr>
          <w:rFonts w:ascii="Times New Roman" w:hAnsi="Times New Roman"/>
          <w:sz w:val="28"/>
          <w:szCs w:val="28"/>
        </w:rPr>
        <w:t xml:space="preserve">  </w:t>
      </w:r>
    </w:p>
    <w:p w14:paraId="7436120A" w14:textId="77777777" w:rsidR="00F53A76" w:rsidRDefault="00F53A76">
      <w:pPr>
        <w:pStyle w:val="Listparagraf"/>
        <w:ind w:left="1524"/>
        <w:rPr>
          <w:rFonts w:ascii="Times New Roman" w:eastAsia="Times New Roman" w:hAnsi="Times New Roman"/>
          <w:kern w:val="0"/>
          <w:sz w:val="28"/>
          <w:szCs w:val="28"/>
        </w:rPr>
      </w:pPr>
    </w:p>
    <w:p w14:paraId="7436120B"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 xml:space="preserve">RECOMMENDATIONS </w:t>
      </w:r>
    </w:p>
    <w:p w14:paraId="7436120C" w14:textId="77777777" w:rsidR="00F53A76" w:rsidRDefault="00F53A76">
      <w:pPr>
        <w:pStyle w:val="Listparagraf"/>
        <w:rPr>
          <w:rFonts w:ascii="Times New Roman" w:hAnsi="Times New Roman"/>
          <w:sz w:val="28"/>
          <w:szCs w:val="28"/>
        </w:rPr>
      </w:pPr>
    </w:p>
    <w:p w14:paraId="7436120D"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CONCLUSION</w:t>
      </w:r>
    </w:p>
    <w:p w14:paraId="7436120E" w14:textId="77777777" w:rsidR="00F53A76" w:rsidRDefault="00F53A76">
      <w:pPr>
        <w:pStyle w:val="Listparagraf"/>
        <w:rPr>
          <w:rFonts w:ascii="Times New Roman" w:hAnsi="Times New Roman"/>
          <w:sz w:val="28"/>
          <w:szCs w:val="28"/>
        </w:rPr>
      </w:pPr>
    </w:p>
    <w:p w14:paraId="7436120F" w14:textId="77777777" w:rsidR="00F53A76" w:rsidRDefault="005A383F">
      <w:pPr>
        <w:pStyle w:val="Listparagraf"/>
        <w:numPr>
          <w:ilvl w:val="0"/>
          <w:numId w:val="1"/>
        </w:numPr>
        <w:rPr>
          <w:rFonts w:ascii="Times New Roman" w:hAnsi="Times New Roman"/>
          <w:sz w:val="28"/>
          <w:szCs w:val="28"/>
        </w:rPr>
      </w:pPr>
      <w:r>
        <w:rPr>
          <w:rFonts w:ascii="Times New Roman" w:hAnsi="Times New Roman"/>
          <w:sz w:val="28"/>
          <w:szCs w:val="28"/>
        </w:rPr>
        <w:t>REFERENCES LIST</w:t>
      </w:r>
    </w:p>
    <w:p w14:paraId="74361210" w14:textId="77777777" w:rsidR="00F53A76" w:rsidRDefault="00F53A76">
      <w:pPr>
        <w:rPr>
          <w:rFonts w:ascii="Times New Roman" w:hAnsi="Times New Roman"/>
          <w:sz w:val="28"/>
          <w:szCs w:val="28"/>
        </w:rPr>
      </w:pPr>
    </w:p>
    <w:p w14:paraId="74361211" w14:textId="77777777" w:rsidR="00F53A76" w:rsidRDefault="00F53A76">
      <w:pPr>
        <w:rPr>
          <w:rFonts w:ascii="Times New Roman" w:hAnsi="Times New Roman"/>
          <w:sz w:val="28"/>
          <w:szCs w:val="28"/>
        </w:rPr>
      </w:pPr>
    </w:p>
    <w:p w14:paraId="74361212" w14:textId="77777777" w:rsidR="00F53A76" w:rsidRDefault="00F53A76"/>
    <w:p w14:paraId="74361213" w14:textId="77777777" w:rsidR="00F53A76" w:rsidRDefault="00F53A76"/>
    <w:p w14:paraId="74361214" w14:textId="77777777" w:rsidR="00F53A76" w:rsidRDefault="00F53A76"/>
    <w:p w14:paraId="74361215" w14:textId="77777777" w:rsidR="00F53A76" w:rsidRDefault="00F53A76"/>
    <w:p w14:paraId="74361216" w14:textId="77777777" w:rsidR="00F53A76" w:rsidRDefault="00F53A76"/>
    <w:p w14:paraId="74361217" w14:textId="77777777" w:rsidR="00F53A76" w:rsidRDefault="00F53A76"/>
    <w:p w14:paraId="74361218" w14:textId="77777777" w:rsidR="00F53A76" w:rsidRDefault="00F53A76"/>
    <w:p w14:paraId="74361219" w14:textId="77777777" w:rsidR="00F53A76" w:rsidRDefault="00F53A76"/>
    <w:p w14:paraId="7436121A" w14:textId="77777777" w:rsidR="00F53A76" w:rsidRDefault="00F53A76"/>
    <w:p w14:paraId="7436121B" w14:textId="77777777" w:rsidR="00F53A76" w:rsidRDefault="00F53A76"/>
    <w:p w14:paraId="7436121C" w14:textId="77777777" w:rsidR="00F53A76" w:rsidRDefault="00F53A76"/>
    <w:p w14:paraId="7436121D" w14:textId="77777777" w:rsidR="00F53A76" w:rsidRDefault="005A383F">
      <w:r>
        <w:lastRenderedPageBreak/>
        <w:t xml:space="preserve">                                                                  </w:t>
      </w:r>
      <w:r>
        <w:rPr>
          <w:rFonts w:ascii="Times New Roman" w:hAnsi="Times New Roman"/>
          <w:sz w:val="28"/>
          <w:szCs w:val="28"/>
        </w:rPr>
        <w:t>INTRODUCTION</w:t>
      </w:r>
    </w:p>
    <w:p w14:paraId="7436121E" w14:textId="77777777" w:rsidR="00F53A76" w:rsidRDefault="00F53A76">
      <w:pPr>
        <w:rPr>
          <w:rFonts w:ascii="Times New Roman" w:hAnsi="Times New Roman"/>
          <w:sz w:val="28"/>
          <w:szCs w:val="28"/>
        </w:rPr>
      </w:pPr>
    </w:p>
    <w:p w14:paraId="7436121F" w14:textId="347A40CB" w:rsidR="00F53A76" w:rsidRDefault="00285B4D">
      <w:pPr>
        <w:rPr>
          <w:rFonts w:ascii="Times New Roman" w:hAnsi="Times New Roman"/>
          <w:sz w:val="28"/>
          <w:szCs w:val="28"/>
        </w:rPr>
      </w:pPr>
      <w:r w:rsidRPr="00285B4D">
        <w:rPr>
          <w:rFonts w:ascii="Times New Roman" w:hAnsi="Times New Roman"/>
          <w:sz w:val="28"/>
          <w:szCs w:val="28"/>
        </w:rPr>
        <w:t>Cross-cultural communication has become essential to worldwide business success in today's globalised economy</w:t>
      </w:r>
      <w:r w:rsidR="005A383F">
        <w:rPr>
          <w:rFonts w:ascii="Times New Roman" w:hAnsi="Times New Roman"/>
          <w:sz w:val="28"/>
          <w:szCs w:val="28"/>
        </w:rPr>
        <w:t xml:space="preserve"> </w:t>
      </w:r>
      <w:r w:rsidR="005A383F">
        <w:rPr>
          <w:rFonts w:ascii="Times New Roman" w:hAnsi="Times New Roman"/>
          <w:sz w:val="28"/>
          <w:szCs w:val="28"/>
        </w:rPr>
        <w:t xml:space="preserve">(He and Liu, 2010). </w:t>
      </w:r>
    </w:p>
    <w:p w14:paraId="74361220" w14:textId="799424BC" w:rsidR="00F53A76" w:rsidRDefault="00285B4D">
      <w:pPr>
        <w:rPr>
          <w:rFonts w:ascii="Times New Roman" w:hAnsi="Times New Roman"/>
          <w:sz w:val="28"/>
          <w:szCs w:val="28"/>
        </w:rPr>
      </w:pPr>
      <w:r w:rsidRPr="00285B4D">
        <w:rPr>
          <w:rFonts w:ascii="Times New Roman" w:hAnsi="Times New Roman"/>
          <w:sz w:val="28"/>
          <w:szCs w:val="28"/>
        </w:rPr>
        <w:t>Culture refers to the common values, beliefs, customs, and behaviours that define a group of people. People's views, actions, and interactions in their social surroundings are shaped by the customs, language, symbols, art, and behaviours that are passed down from one generation to the next</w:t>
      </w:r>
      <w:r w:rsidR="005A383F">
        <w:rPr>
          <w:rFonts w:ascii="Times New Roman" w:hAnsi="Times New Roman"/>
          <w:sz w:val="28"/>
          <w:szCs w:val="28"/>
        </w:rPr>
        <w:t xml:space="preserve"> </w:t>
      </w:r>
      <w:r w:rsidR="005A383F">
        <w:rPr>
          <w:rFonts w:ascii="Times New Roman" w:hAnsi="Times New Roman"/>
          <w:sz w:val="28"/>
          <w:szCs w:val="28"/>
        </w:rPr>
        <w:t xml:space="preserve">(Hofstede, 1980; Hall, 1976). </w:t>
      </w:r>
      <w:r w:rsidR="00590710" w:rsidRPr="00590710">
        <w:rPr>
          <w:rFonts w:ascii="Times New Roman" w:hAnsi="Times New Roman"/>
          <w:sz w:val="28"/>
          <w:szCs w:val="28"/>
        </w:rPr>
        <w:t xml:space="preserve">For instance, American culture observes </w:t>
      </w:r>
      <w:r w:rsidR="0028176B">
        <w:rPr>
          <w:rFonts w:ascii="Times New Roman" w:hAnsi="Times New Roman"/>
          <w:sz w:val="28"/>
          <w:szCs w:val="28"/>
        </w:rPr>
        <w:t>some</w:t>
      </w:r>
      <w:r w:rsidR="00590710" w:rsidRPr="00590710">
        <w:rPr>
          <w:rFonts w:ascii="Times New Roman" w:hAnsi="Times New Roman"/>
          <w:sz w:val="28"/>
          <w:szCs w:val="28"/>
        </w:rPr>
        <w:t xml:space="preserve"> religious traditions with a strong Christian influence, values equality and freedom, and celebrates holidays like Thanksgiving (Huntington, 2004). On the other hand, Chinese culture, which is based on Confucianism, Taoism, and Buddhism, stresses respect for elders and the welfare of the group. Examples of this include Chinese New Year celebrations</w:t>
      </w:r>
      <w:r w:rsidR="00590710">
        <w:rPr>
          <w:rFonts w:ascii="Times New Roman" w:hAnsi="Times New Roman"/>
          <w:sz w:val="28"/>
          <w:szCs w:val="28"/>
        </w:rPr>
        <w:t xml:space="preserve"> </w:t>
      </w:r>
      <w:r w:rsidR="005A383F">
        <w:rPr>
          <w:rFonts w:ascii="Times New Roman" w:hAnsi="Times New Roman"/>
          <w:sz w:val="28"/>
          <w:szCs w:val="28"/>
        </w:rPr>
        <w:t>(Li, 2006).</w:t>
      </w:r>
    </w:p>
    <w:p w14:paraId="74361221" w14:textId="72C20982" w:rsidR="00F53A76" w:rsidRDefault="00590710">
      <w:pPr>
        <w:rPr>
          <w:rFonts w:ascii="Times New Roman" w:hAnsi="Times New Roman"/>
          <w:sz w:val="28"/>
          <w:szCs w:val="28"/>
        </w:rPr>
      </w:pPr>
      <w:r w:rsidRPr="00590710">
        <w:rPr>
          <w:rFonts w:ascii="Times New Roman" w:hAnsi="Times New Roman"/>
          <w:sz w:val="28"/>
          <w:szCs w:val="28"/>
        </w:rPr>
        <w:t>Businesses are greatly impacted by culture as it shapes employee behaviour, management techniques, marketing plans, and communication approaches. With low-context cultures like the US emphasising directness and information and high-context cultures like China emphasising nuance and emotion, businesses entering new markets must modify their strategy to suit local customer preferences</w:t>
      </w:r>
      <w:r w:rsidR="005A383F">
        <w:rPr>
          <w:rFonts w:ascii="Times New Roman" w:hAnsi="Times New Roman"/>
          <w:sz w:val="28"/>
          <w:szCs w:val="28"/>
        </w:rPr>
        <w:t xml:space="preserve"> </w:t>
      </w:r>
      <w:r w:rsidR="005A383F">
        <w:rPr>
          <w:rFonts w:ascii="Times New Roman" w:hAnsi="Times New Roman"/>
          <w:sz w:val="28"/>
          <w:szCs w:val="28"/>
        </w:rPr>
        <w:t>(Hall, 1976).</w:t>
      </w:r>
    </w:p>
    <w:p w14:paraId="79580DAB" w14:textId="6D6D204D" w:rsidR="00590710" w:rsidRPr="00590710" w:rsidRDefault="00590710" w:rsidP="00590710">
      <w:pPr>
        <w:rPr>
          <w:rFonts w:ascii="Times New Roman" w:hAnsi="Times New Roman"/>
          <w:sz w:val="28"/>
          <w:szCs w:val="28"/>
        </w:rPr>
      </w:pPr>
      <w:r w:rsidRPr="00590710">
        <w:rPr>
          <w:rFonts w:ascii="Times New Roman" w:hAnsi="Times New Roman"/>
          <w:sz w:val="28"/>
          <w:szCs w:val="28"/>
        </w:rPr>
        <w:t xml:space="preserve">Through a strategic relationship with Suntory, a prominent Japanese firm, Diageo, a worldwide corporation with headquarters in the UK, has lately extended its operations into Asia </w:t>
      </w:r>
      <w:r>
        <w:rPr>
          <w:rFonts w:ascii="Times New Roman" w:hAnsi="Times New Roman"/>
          <w:sz w:val="28"/>
          <w:szCs w:val="28"/>
        </w:rPr>
        <w:t>to</w:t>
      </w:r>
      <w:r w:rsidRPr="00590710">
        <w:rPr>
          <w:rFonts w:ascii="Times New Roman" w:hAnsi="Times New Roman"/>
          <w:sz w:val="28"/>
          <w:szCs w:val="28"/>
        </w:rPr>
        <w:t xml:space="preserve"> develop and promote innovative products. In order to provide theoretical insights for effective project execution, this essay assesses the communication styles of the UK and Japanese teams involved in the Diageo-Suntory partnership. It covers high-context vs low-context communication theory, Hofstede's cultural dimensions, and cultural context before offering effective communication strategies in its conclusion.</w:t>
      </w:r>
    </w:p>
    <w:p w14:paraId="74361224" w14:textId="77777777" w:rsidR="00F53A76" w:rsidRDefault="00F53A76">
      <w:pPr>
        <w:rPr>
          <w:rFonts w:ascii="Times New Roman" w:hAnsi="Times New Roman"/>
          <w:sz w:val="28"/>
          <w:szCs w:val="28"/>
        </w:rPr>
      </w:pPr>
    </w:p>
    <w:p w14:paraId="74361225" w14:textId="77777777" w:rsidR="00F53A76" w:rsidRDefault="005A383F">
      <w:pPr>
        <w:rPr>
          <w:rFonts w:ascii="Times New Roman" w:hAnsi="Times New Roman"/>
          <w:sz w:val="28"/>
          <w:szCs w:val="28"/>
        </w:rPr>
      </w:pPr>
      <w:r>
        <w:rPr>
          <w:rFonts w:ascii="Times New Roman" w:hAnsi="Times New Roman"/>
          <w:sz w:val="28"/>
          <w:szCs w:val="28"/>
        </w:rPr>
        <w:t xml:space="preserve">BACKGROUND OF DIAGEO AND SUNTORY </w:t>
      </w:r>
    </w:p>
    <w:p w14:paraId="74361227" w14:textId="1AB1C3B9" w:rsidR="00F53A76" w:rsidRPr="00735249" w:rsidRDefault="00735249">
      <w:pPr>
        <w:rPr>
          <w:rFonts w:ascii="Times New Roman" w:hAnsi="Times New Roman"/>
          <w:sz w:val="28"/>
          <w:szCs w:val="28"/>
        </w:rPr>
      </w:pPr>
      <w:r w:rsidRPr="00735249">
        <w:rPr>
          <w:rFonts w:ascii="Times New Roman" w:hAnsi="Times New Roman"/>
          <w:sz w:val="28"/>
          <w:szCs w:val="28"/>
        </w:rPr>
        <w:t>Established in 1997, Diageo is a prominent international corporation in the alcoholic beverage sector with roots in the Haig family's 1627 scotch whisky distillery. It moved to luxury beverages, introduced the Spirit of Progress, increased production in Mexico, created a new global headquarters in London, and purchased trademarks including Baileys Original Irish Cream Liqueur and Captain Morgan. Diageo has operations in more than 180 nations</w:t>
      </w:r>
      <w:r w:rsidR="005A383F">
        <w:rPr>
          <w:rFonts w:ascii="Times New Roman" w:hAnsi="Times New Roman"/>
          <w:sz w:val="28"/>
          <w:szCs w:val="28"/>
        </w:rPr>
        <w:t xml:space="preserve"> </w:t>
      </w:r>
      <w:r w:rsidR="005A383F">
        <w:rPr>
          <w:rFonts w:ascii="Times New Roman" w:hAnsi="Times New Roman"/>
          <w:sz w:val="28"/>
          <w:szCs w:val="28"/>
        </w:rPr>
        <w:t>(Diageo, 2024</w:t>
      </w:r>
      <w:proofErr w:type="gramStart"/>
      <w:r w:rsidR="005A383F">
        <w:rPr>
          <w:rFonts w:ascii="Times New Roman" w:hAnsi="Times New Roman"/>
          <w:sz w:val="28"/>
          <w:szCs w:val="28"/>
        </w:rPr>
        <w:t>)</w:t>
      </w:r>
      <w:r>
        <w:rPr>
          <w:rFonts w:ascii="Times New Roman" w:hAnsi="Times New Roman"/>
          <w:sz w:val="28"/>
          <w:szCs w:val="28"/>
        </w:rPr>
        <w:t>, and</w:t>
      </w:r>
      <w:proofErr w:type="gramEnd"/>
      <w:r w:rsidRPr="00735249">
        <w:rPr>
          <w:rFonts w:ascii="Times New Roman" w:hAnsi="Times New Roman"/>
          <w:sz w:val="28"/>
          <w:szCs w:val="28"/>
        </w:rPr>
        <w:t xml:space="preserve"> has been seeking a significant expansion into Asia as part of its </w:t>
      </w:r>
      <w:r w:rsidRPr="00735249">
        <w:rPr>
          <w:rFonts w:ascii="Times New Roman" w:hAnsi="Times New Roman"/>
          <w:sz w:val="28"/>
          <w:szCs w:val="28"/>
        </w:rPr>
        <w:lastRenderedPageBreak/>
        <w:t>development objectives. Diageo has intentionally collaborated with Suntory, a well-known Japanese corporation with a strong market presence and deep cultural understanding, in recognition of the enormous market potential in the area. Is a reputable business in the same sector that is well-known for its inventiveness and dedication to excellence</w:t>
      </w:r>
      <w:r w:rsidR="005A383F">
        <w:rPr>
          <w:rFonts w:ascii="Times New Roman" w:hAnsi="Times New Roman"/>
          <w:sz w:val="28"/>
          <w:szCs w:val="28"/>
        </w:rPr>
        <w:t xml:space="preserve"> </w:t>
      </w:r>
      <w:r w:rsidR="005A383F">
        <w:rPr>
          <w:rFonts w:ascii="Times New Roman" w:hAnsi="Times New Roman"/>
          <w:sz w:val="28"/>
          <w:szCs w:val="28"/>
        </w:rPr>
        <w:t>(Suntory, 2024). This collaboration not only enables Diageo to leverage Suntory's established networks and market expertise but also aims to foster the development and promotion of innovative products tailored to Asian consumer preferences. However, the cultural differences between the UK and Japan, particularly in business communication styles, introduce unique challenges that require careful navigation (Johnson, 2022).</w:t>
      </w:r>
    </w:p>
    <w:p w14:paraId="74361228" w14:textId="77777777" w:rsidR="00F53A76" w:rsidRDefault="00F53A76">
      <w:pPr>
        <w:rPr>
          <w:rFonts w:ascii="Times New Roman" w:hAnsi="Times New Roman"/>
          <w:sz w:val="28"/>
          <w:szCs w:val="28"/>
        </w:rPr>
      </w:pPr>
    </w:p>
    <w:p w14:paraId="74361229" w14:textId="77777777" w:rsidR="00F53A76" w:rsidRDefault="005A383F">
      <w:pPr>
        <w:rPr>
          <w:rFonts w:ascii="Times New Roman" w:hAnsi="Times New Roman"/>
          <w:sz w:val="28"/>
          <w:szCs w:val="28"/>
        </w:rPr>
      </w:pPr>
      <w:r>
        <w:rPr>
          <w:rFonts w:ascii="Times New Roman" w:hAnsi="Times New Roman"/>
          <w:sz w:val="28"/>
          <w:szCs w:val="28"/>
        </w:rPr>
        <w:t>CULTURAL CONTEXT AND BUSINESS OPERATIONS IN ASIA</w:t>
      </w:r>
    </w:p>
    <w:p w14:paraId="7436122C" w14:textId="39D5C335" w:rsidR="00F53A76" w:rsidRDefault="00735249">
      <w:pPr>
        <w:rPr>
          <w:rFonts w:ascii="Times New Roman" w:hAnsi="Times New Roman"/>
          <w:sz w:val="28"/>
          <w:szCs w:val="28"/>
        </w:rPr>
      </w:pPr>
      <w:r w:rsidRPr="00735249">
        <w:rPr>
          <w:rFonts w:ascii="Times New Roman" w:hAnsi="Times New Roman"/>
          <w:sz w:val="28"/>
          <w:szCs w:val="28"/>
        </w:rPr>
        <w:t xml:space="preserve">Successful integration and communication need an understanding of the cultural environment in which a firm operates. </w:t>
      </w:r>
      <w:r w:rsidRPr="00735249">
        <w:rPr>
          <w:rFonts w:ascii="Times New Roman" w:hAnsi="Times New Roman"/>
          <w:sz w:val="28"/>
          <w:szCs w:val="28"/>
        </w:rPr>
        <w:br/>
        <w:t xml:space="preserve">Understanding the cultural distinctions between the UK and Japan is especially crucial </w:t>
      </w:r>
      <w:proofErr w:type="gramStart"/>
      <w:r w:rsidRPr="00735249">
        <w:rPr>
          <w:rFonts w:ascii="Times New Roman" w:hAnsi="Times New Roman"/>
          <w:sz w:val="28"/>
          <w:szCs w:val="28"/>
        </w:rPr>
        <w:t>in light of</w:t>
      </w:r>
      <w:proofErr w:type="gramEnd"/>
      <w:r w:rsidRPr="00735249">
        <w:rPr>
          <w:rFonts w:ascii="Times New Roman" w:hAnsi="Times New Roman"/>
          <w:sz w:val="28"/>
          <w:szCs w:val="28"/>
        </w:rPr>
        <w:t xml:space="preserve"> Diageo's entry into the Asian market through its collaboration with Suntory. Different cultural frameworks in the UK and Japan have an impact on cooperation, communication, and decision-making. Innovation, pragmatism, risk assessment, and formal relationship-building are valued in British corporate culture, which is generally individualistic and more equal</w:t>
      </w:r>
      <w:r w:rsidR="005A383F">
        <w:rPr>
          <w:rFonts w:ascii="Times New Roman" w:hAnsi="Times New Roman"/>
          <w:sz w:val="28"/>
          <w:szCs w:val="28"/>
        </w:rPr>
        <w:t xml:space="preserve"> </w:t>
      </w:r>
      <w:r w:rsidR="005A383F">
        <w:rPr>
          <w:rFonts w:ascii="Times New Roman" w:hAnsi="Times New Roman"/>
          <w:sz w:val="28"/>
          <w:szCs w:val="28"/>
        </w:rPr>
        <w:t>(Dubal, 2023). </w:t>
      </w:r>
    </w:p>
    <w:p w14:paraId="7436122D" w14:textId="52B783D0" w:rsidR="00F53A76" w:rsidRDefault="00735249">
      <w:pPr>
        <w:rPr>
          <w:rFonts w:ascii="Times New Roman" w:hAnsi="Times New Roman"/>
          <w:sz w:val="28"/>
          <w:szCs w:val="28"/>
        </w:rPr>
      </w:pPr>
      <w:r w:rsidRPr="00735249">
        <w:rPr>
          <w:rFonts w:ascii="Times New Roman" w:hAnsi="Times New Roman"/>
          <w:sz w:val="28"/>
          <w:szCs w:val="28"/>
        </w:rPr>
        <w:t xml:space="preserve">On the other hand, Japan, a nation steeped in tradition, emphasises loyalty and long-term relationships and places a strong importance on respect, hierarchy, and group cohesion. For </w:t>
      </w:r>
      <w:r>
        <w:rPr>
          <w:rFonts w:ascii="Times New Roman" w:hAnsi="Times New Roman"/>
          <w:sz w:val="28"/>
          <w:szCs w:val="28"/>
        </w:rPr>
        <w:t>partnerships</w:t>
      </w:r>
      <w:r w:rsidRPr="00735249">
        <w:rPr>
          <w:rFonts w:ascii="Times New Roman" w:hAnsi="Times New Roman"/>
          <w:sz w:val="28"/>
          <w:szCs w:val="28"/>
        </w:rPr>
        <w:t xml:space="preserve"> to be successful, foreign companies must adjust to Japanese quirks</w:t>
      </w:r>
      <w:r w:rsidR="005A383F">
        <w:rPr>
          <w:rFonts w:ascii="Times New Roman" w:hAnsi="Times New Roman"/>
          <w:sz w:val="28"/>
          <w:szCs w:val="28"/>
        </w:rPr>
        <w:t xml:space="preserve"> </w:t>
      </w:r>
      <w:r w:rsidR="005A383F">
        <w:rPr>
          <w:rFonts w:ascii="Times New Roman" w:hAnsi="Times New Roman"/>
          <w:sz w:val="28"/>
          <w:szCs w:val="28"/>
        </w:rPr>
        <w:t>(</w:t>
      </w:r>
      <w:proofErr w:type="spellStart"/>
      <w:r w:rsidR="005A383F">
        <w:rPr>
          <w:rFonts w:ascii="Times New Roman" w:hAnsi="Times New Roman"/>
          <w:sz w:val="28"/>
          <w:szCs w:val="28"/>
        </w:rPr>
        <w:t>Jlidi</w:t>
      </w:r>
      <w:proofErr w:type="spellEnd"/>
      <w:r w:rsidR="005A383F">
        <w:rPr>
          <w:rFonts w:ascii="Times New Roman" w:hAnsi="Times New Roman"/>
          <w:sz w:val="28"/>
          <w:szCs w:val="28"/>
        </w:rPr>
        <w:t>, 2023;). The concept of "</w:t>
      </w:r>
      <w:proofErr w:type="spellStart"/>
      <w:r w:rsidR="005A383F">
        <w:rPr>
          <w:rFonts w:ascii="Times New Roman" w:hAnsi="Times New Roman"/>
          <w:sz w:val="28"/>
          <w:szCs w:val="28"/>
        </w:rPr>
        <w:t>nemawashi</w:t>
      </w:r>
      <w:proofErr w:type="spellEnd"/>
      <w:r w:rsidR="005A383F">
        <w:rPr>
          <w:rFonts w:ascii="Times New Roman" w:hAnsi="Times New Roman"/>
          <w:sz w:val="28"/>
          <w:szCs w:val="28"/>
        </w:rPr>
        <w:t>," or laying the groundwork through informal discussions before making decisions, is integral to Japanese business culture. This approach ensures that all stakeholders agree and helps to build consensus, which is crucial in a collectivist society (Nakane, 1970).</w:t>
      </w:r>
      <w:r w:rsidR="002C2E90">
        <w:rPr>
          <w:rFonts w:ascii="Times New Roman" w:hAnsi="Times New Roman"/>
          <w:sz w:val="28"/>
          <w:szCs w:val="28"/>
        </w:rPr>
        <w:t xml:space="preserve"> </w:t>
      </w:r>
      <w:r w:rsidR="002C2E90" w:rsidRPr="002C2E90">
        <w:rPr>
          <w:rFonts w:ascii="Times New Roman" w:hAnsi="Times New Roman"/>
          <w:sz w:val="28"/>
          <w:szCs w:val="28"/>
        </w:rPr>
        <w:t>Despite cultural differences, Japan is one of the most resilient and well-respected countries in the world due to its methodical and relationship-focused corporate climate</w:t>
      </w:r>
      <w:r w:rsidR="002C2E90">
        <w:rPr>
          <w:rFonts w:ascii="Times New Roman" w:hAnsi="Times New Roman"/>
          <w:sz w:val="28"/>
          <w:szCs w:val="28"/>
        </w:rPr>
        <w:t xml:space="preserve"> </w:t>
      </w:r>
      <w:r w:rsidR="005A383F">
        <w:rPr>
          <w:rFonts w:ascii="Times New Roman" w:hAnsi="Times New Roman"/>
          <w:sz w:val="28"/>
          <w:szCs w:val="28"/>
        </w:rPr>
        <w:t>(Lebra, 1976).</w:t>
      </w:r>
    </w:p>
    <w:p w14:paraId="287DF992" w14:textId="30176778" w:rsidR="002C2E90" w:rsidRPr="002C2E90" w:rsidRDefault="002C2E90" w:rsidP="002C2E90">
      <w:pPr>
        <w:rPr>
          <w:rFonts w:ascii="Times New Roman" w:hAnsi="Times New Roman"/>
          <w:sz w:val="28"/>
          <w:szCs w:val="28"/>
        </w:rPr>
      </w:pPr>
      <w:r>
        <w:rPr>
          <w:rFonts w:ascii="Times New Roman" w:hAnsi="Times New Roman"/>
          <w:sz w:val="28"/>
          <w:szCs w:val="28"/>
        </w:rPr>
        <w:t>To</w:t>
      </w:r>
      <w:r w:rsidRPr="002C2E90">
        <w:rPr>
          <w:rFonts w:ascii="Times New Roman" w:hAnsi="Times New Roman"/>
          <w:sz w:val="28"/>
          <w:szCs w:val="28"/>
        </w:rPr>
        <w:t xml:space="preserve"> reach Japanese consumers and promote innovation in product development, Diageo intends to expand into Asia and take advantage of the growing premium beverage market, which is being driven by a younger demographic and rising disposable income (Nguyen and Chen, 2020). This will be accomplished through a partnership with Suntory, a brand that has a thorough understanding of local markets and consumer preferences (Luo, 2021).</w:t>
      </w:r>
    </w:p>
    <w:p w14:paraId="1552B1EE" w14:textId="77777777" w:rsidR="0016665D" w:rsidRPr="0016665D" w:rsidRDefault="0016665D" w:rsidP="0016665D">
      <w:pPr>
        <w:rPr>
          <w:rFonts w:ascii="Times New Roman" w:hAnsi="Times New Roman"/>
          <w:sz w:val="28"/>
          <w:szCs w:val="28"/>
        </w:rPr>
      </w:pPr>
      <w:r w:rsidRPr="0016665D">
        <w:rPr>
          <w:rFonts w:ascii="Times New Roman" w:hAnsi="Times New Roman"/>
          <w:sz w:val="28"/>
          <w:szCs w:val="28"/>
        </w:rPr>
        <w:lastRenderedPageBreak/>
        <w:t xml:space="preserve">Cultural aspects of Diageo's business operations in Asia include worker behaviour, management techniques, strategies for marketing, and communication approaches. </w:t>
      </w:r>
      <w:r w:rsidRPr="0016665D">
        <w:rPr>
          <w:rFonts w:ascii="Times New Roman" w:hAnsi="Times New Roman"/>
          <w:sz w:val="28"/>
          <w:szCs w:val="28"/>
        </w:rPr>
        <w:br/>
        <w:t xml:space="preserve">Realising the partnership's goals requires overcoming these cultural barriers since miscommunications or misplaced expectations may impede collaborative progress. Therefore, the effective integration and expansion of Diageo's brand in Japan and the larger Asian market depend on cultivating a culturally aware marketing strategy that respects and conforms to both UK and Japanese norms. </w:t>
      </w:r>
    </w:p>
    <w:p w14:paraId="74361231" w14:textId="77777777" w:rsidR="00F53A76" w:rsidRDefault="00F53A76">
      <w:pPr>
        <w:rPr>
          <w:rFonts w:ascii="Times New Roman" w:hAnsi="Times New Roman"/>
          <w:sz w:val="28"/>
          <w:szCs w:val="28"/>
        </w:rPr>
      </w:pPr>
    </w:p>
    <w:p w14:paraId="74361232" w14:textId="77777777" w:rsidR="00F53A76" w:rsidRDefault="005A383F">
      <w:pPr>
        <w:rPr>
          <w:rFonts w:ascii="Times New Roman" w:hAnsi="Times New Roman"/>
          <w:sz w:val="28"/>
          <w:szCs w:val="28"/>
        </w:rPr>
      </w:pPr>
      <w:r>
        <w:rPr>
          <w:rFonts w:ascii="Times New Roman" w:hAnsi="Times New Roman"/>
          <w:sz w:val="28"/>
          <w:szCs w:val="28"/>
        </w:rPr>
        <w:t xml:space="preserve">DIFFERENCES IN COMMUNICATION STYLES: UK vs JAPAN  </w:t>
      </w:r>
    </w:p>
    <w:p w14:paraId="642166C5" w14:textId="77777777" w:rsidR="003A4CEA" w:rsidRPr="003A4CEA" w:rsidRDefault="003A4CEA" w:rsidP="003A4CEA">
      <w:pPr>
        <w:rPr>
          <w:rFonts w:ascii="Times New Roman" w:hAnsi="Times New Roman"/>
          <w:sz w:val="28"/>
          <w:szCs w:val="28"/>
        </w:rPr>
      </w:pPr>
      <w:r w:rsidRPr="003A4CEA">
        <w:rPr>
          <w:rFonts w:ascii="Times New Roman" w:hAnsi="Times New Roman"/>
          <w:sz w:val="28"/>
          <w:szCs w:val="28"/>
        </w:rPr>
        <w:t>Businesses can adapt methods of communication for multinational teams by having a better understanding of cultural factors, such as Hofstede's theory and High-context vs. Low-context communication. This can improve decision-making, foster creativity, and provide them with a competitive advantage in the global marketplace (Hofstede, 1980).</w:t>
      </w:r>
    </w:p>
    <w:p w14:paraId="74361234" w14:textId="77777777" w:rsidR="00F53A76" w:rsidRDefault="005A383F">
      <w:pPr>
        <w:rPr>
          <w:rFonts w:ascii="Times New Roman" w:hAnsi="Times New Roman"/>
          <w:sz w:val="28"/>
          <w:szCs w:val="28"/>
        </w:rPr>
      </w:pPr>
      <w:r>
        <w:rPr>
          <w:rFonts w:ascii="Times New Roman" w:hAnsi="Times New Roman"/>
          <w:sz w:val="28"/>
          <w:szCs w:val="28"/>
        </w:rPr>
        <w:t>H</w:t>
      </w:r>
      <w:r>
        <w:rPr>
          <w:rFonts w:ascii="Times New Roman" w:hAnsi="Times New Roman"/>
          <w:sz w:val="28"/>
          <w:szCs w:val="28"/>
        </w:rPr>
        <w:t>igh-Context vs. Low-Context Communication Theory:</w:t>
      </w:r>
    </w:p>
    <w:p w14:paraId="74361235" w14:textId="77777777" w:rsidR="00F53A76" w:rsidRDefault="005A383F">
      <w:pPr>
        <w:rPr>
          <w:rFonts w:ascii="Times New Roman" w:hAnsi="Times New Roman"/>
          <w:sz w:val="28"/>
          <w:szCs w:val="28"/>
        </w:rPr>
      </w:pPr>
      <w:r>
        <w:rPr>
          <w:rFonts w:ascii="Times New Roman" w:hAnsi="Times New Roman"/>
          <w:sz w:val="28"/>
          <w:szCs w:val="28"/>
        </w:rPr>
        <w:t>High-Context and Low-Context communication theories highlight how cultures differ in their communication styles, developed by Edward T. Hall. To assist differentiate between high-context/low-content and low-context/high-content cultures, Hall established criteria for doing so (Wurtz, 2005).</w:t>
      </w:r>
    </w:p>
    <w:p w14:paraId="74361236" w14:textId="77777777" w:rsidR="00F53A76" w:rsidRDefault="005A383F">
      <w:r>
        <w:rPr>
          <w:rFonts w:ascii="Times New Roman" w:hAnsi="Times New Roman"/>
          <w:sz w:val="28"/>
          <w:szCs w:val="28"/>
        </w:rPr>
        <w:t xml:space="preserve">      </w:t>
      </w:r>
      <w:r>
        <w:rPr>
          <w:rFonts w:ascii="Times New Roman" w:hAnsi="Times New Roman"/>
          <w:noProof/>
          <w:sz w:val="28"/>
          <w:szCs w:val="28"/>
        </w:rPr>
        <w:drawing>
          <wp:inline distT="0" distB="0" distL="0" distR="0" wp14:anchorId="743611E3" wp14:editId="743611E4">
            <wp:extent cx="3025585" cy="2833112"/>
            <wp:effectExtent l="0" t="0" r="3365" b="5338"/>
            <wp:docPr id="1033235735" name="Imagine 1" descr="O imagine care conține text, captură de ecran, meniu, Font&#10;&#10;Descriere generată automa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25585" cy="2833112"/>
                    </a:xfrm>
                    <a:prstGeom prst="rect">
                      <a:avLst/>
                    </a:prstGeom>
                    <a:noFill/>
                    <a:ln>
                      <a:noFill/>
                      <a:prstDash/>
                    </a:ln>
                  </pic:spPr>
                </pic:pic>
              </a:graphicData>
            </a:graphic>
          </wp:inline>
        </w:drawing>
      </w:r>
    </w:p>
    <w:p w14:paraId="74361237" w14:textId="5FD9CB6B" w:rsidR="00F53A76" w:rsidRDefault="005A383F">
      <w:pPr>
        <w:rPr>
          <w:rFonts w:ascii="Times New Roman" w:hAnsi="Times New Roman"/>
          <w:sz w:val="28"/>
          <w:szCs w:val="28"/>
        </w:rPr>
      </w:pPr>
      <w:r>
        <w:rPr>
          <w:rFonts w:ascii="Times New Roman" w:hAnsi="Times New Roman"/>
          <w:sz w:val="28"/>
          <w:szCs w:val="28"/>
        </w:rPr>
        <w:t xml:space="preserve">Japan is considered a high-context culture, while the UK is typically classified as </w:t>
      </w:r>
      <w:r w:rsidR="00A87A0E">
        <w:rPr>
          <w:rFonts w:ascii="Times New Roman" w:hAnsi="Times New Roman"/>
          <w:sz w:val="28"/>
          <w:szCs w:val="28"/>
        </w:rPr>
        <w:t>low-context</w:t>
      </w:r>
      <w:r>
        <w:rPr>
          <w:rFonts w:ascii="Times New Roman" w:hAnsi="Times New Roman"/>
          <w:sz w:val="28"/>
          <w:szCs w:val="28"/>
        </w:rPr>
        <w:t>.</w:t>
      </w:r>
    </w:p>
    <w:p w14:paraId="1C6BBC09" w14:textId="3A1B39EA" w:rsidR="00A87A0E" w:rsidRPr="00A87A0E" w:rsidRDefault="00A87A0E" w:rsidP="00A87A0E">
      <w:pPr>
        <w:rPr>
          <w:rFonts w:ascii="Times New Roman" w:hAnsi="Times New Roman"/>
          <w:sz w:val="28"/>
          <w:szCs w:val="28"/>
        </w:rPr>
      </w:pPr>
      <w:r w:rsidRPr="00A87A0E">
        <w:rPr>
          <w:rFonts w:ascii="Times New Roman" w:hAnsi="Times New Roman"/>
          <w:sz w:val="28"/>
          <w:szCs w:val="28"/>
        </w:rPr>
        <w:t xml:space="preserve">In high-context countries like Japan, communication mostly depends on nonverbal clues and implicit messages. Understanding the message depends on </w:t>
      </w:r>
      <w:r w:rsidRPr="00A87A0E">
        <w:rPr>
          <w:rFonts w:ascii="Times New Roman" w:hAnsi="Times New Roman"/>
          <w:sz w:val="28"/>
          <w:szCs w:val="28"/>
        </w:rPr>
        <w:lastRenderedPageBreak/>
        <w:t xml:space="preserve">relationships, shared experiences, and context. In a business meeting, for example, Japanese professionals might not speak explicitly but instead rely on the group's understanding of unwritten customs or subliminal hints. A solid understanding of the cultural context is necessary to fully appreciate the depth of meaning this may offer (Hall, 1976; Ting-Toomey &amp; Chung, 2012). </w:t>
      </w:r>
      <w:r w:rsidRPr="00A87A0E">
        <w:rPr>
          <w:rFonts w:ascii="Times New Roman" w:hAnsi="Times New Roman"/>
          <w:sz w:val="28"/>
          <w:szCs w:val="28"/>
        </w:rPr>
        <w:br/>
        <w:t xml:space="preserve">On the other hand, the UK has a low-context culture that emphasises verbal communication that is simple, straightforward, and clear. It </w:t>
      </w:r>
      <w:r>
        <w:rPr>
          <w:rFonts w:ascii="Times New Roman" w:hAnsi="Times New Roman"/>
          <w:sz w:val="28"/>
          <w:szCs w:val="28"/>
        </w:rPr>
        <w:t>less emphasises</w:t>
      </w:r>
      <w:r w:rsidRPr="00A87A0E">
        <w:rPr>
          <w:rFonts w:ascii="Times New Roman" w:hAnsi="Times New Roman"/>
          <w:sz w:val="28"/>
          <w:szCs w:val="28"/>
        </w:rPr>
        <w:t xml:space="preserve"> nonverbal clues and presumptive previous knowledge and promotes open communication and comprehensive explanations (Hall, 1976; Lewis, 2006).</w:t>
      </w:r>
    </w:p>
    <w:p w14:paraId="421378DD" w14:textId="03180F86" w:rsidR="00BD4216" w:rsidRPr="00BD4216" w:rsidRDefault="00BD4216" w:rsidP="00BD4216">
      <w:pPr>
        <w:rPr>
          <w:rFonts w:ascii="Times New Roman" w:hAnsi="Times New Roman"/>
          <w:sz w:val="28"/>
          <w:szCs w:val="28"/>
        </w:rPr>
      </w:pPr>
      <w:r>
        <w:rPr>
          <w:rFonts w:ascii="Times New Roman" w:hAnsi="Times New Roman"/>
          <w:sz w:val="28"/>
          <w:szCs w:val="28"/>
        </w:rPr>
        <w:t>For example, t</w:t>
      </w:r>
      <w:r w:rsidRPr="00BD4216">
        <w:rPr>
          <w:rFonts w:ascii="Times New Roman" w:hAnsi="Times New Roman"/>
          <w:sz w:val="28"/>
          <w:szCs w:val="28"/>
        </w:rPr>
        <w:t xml:space="preserve">he UK's strong individuality and low power distance, which emphasise individual contributions and personal accountability, </w:t>
      </w:r>
      <w:r w:rsidR="00A87A0E">
        <w:rPr>
          <w:rFonts w:ascii="Times New Roman" w:hAnsi="Times New Roman"/>
          <w:sz w:val="28"/>
          <w:szCs w:val="28"/>
        </w:rPr>
        <w:t>align</w:t>
      </w:r>
      <w:r w:rsidRPr="00BD4216">
        <w:rPr>
          <w:rFonts w:ascii="Times New Roman" w:hAnsi="Times New Roman"/>
          <w:sz w:val="28"/>
          <w:szCs w:val="28"/>
        </w:rPr>
        <w:t xml:space="preserve"> with the British team's tendency to freely voice disagreement or criticism and offer constructive feedback. According to Hofstede Insights (2024), Japanese colleagues can view this approach as hostile.</w:t>
      </w:r>
    </w:p>
    <w:p w14:paraId="1714EA0D" w14:textId="40257F85" w:rsidR="005863B5" w:rsidRPr="005863B5" w:rsidRDefault="00313A85" w:rsidP="005863B5">
      <w:pPr>
        <w:rPr>
          <w:rFonts w:ascii="Times New Roman" w:hAnsi="Times New Roman"/>
          <w:sz w:val="28"/>
          <w:szCs w:val="28"/>
        </w:rPr>
      </w:pPr>
      <w:r w:rsidRPr="00313A85">
        <w:rPr>
          <w:rFonts w:ascii="Times New Roman" w:hAnsi="Times New Roman"/>
          <w:sz w:val="28"/>
          <w:szCs w:val="28"/>
        </w:rPr>
        <w:t xml:space="preserve">Among the possible misinterpretations resulting from the distinctions between High Context and Low Context are non-verbal clues, formality and context, and implicit vs explicit messages (Hara, 2016). </w:t>
      </w:r>
      <w:r w:rsidR="005863B5" w:rsidRPr="005863B5">
        <w:rPr>
          <w:rFonts w:ascii="Times New Roman" w:hAnsi="Times New Roman"/>
          <w:sz w:val="28"/>
          <w:szCs w:val="28"/>
        </w:rPr>
        <w:t>Japanese team members may utilise quiet to voice disagreements, whereas UK team members may see it as an agreement. Personal attacks and demoralisation can result from nonverbal cues, whereas emails may be interpreted as rude because of their formality and context.</w:t>
      </w:r>
      <w:r w:rsidR="005863B5" w:rsidRPr="005863B5">
        <w:rPr>
          <w:rFonts w:ascii="Times New Roman" w:hAnsi="Times New Roman"/>
          <w:sz w:val="28"/>
          <w:szCs w:val="28"/>
        </w:rPr>
        <w:br/>
        <w:t xml:space="preserve">By understanding these distinctions, team members may devise strategies to bridge communication barriers. Increasing cultural awareness, communicating more </w:t>
      </w:r>
      <w:r w:rsidR="005863B5">
        <w:rPr>
          <w:rFonts w:ascii="Times New Roman" w:hAnsi="Times New Roman"/>
          <w:sz w:val="28"/>
          <w:szCs w:val="28"/>
        </w:rPr>
        <w:t>adaptable</w:t>
      </w:r>
      <w:r w:rsidR="005863B5" w:rsidRPr="005863B5">
        <w:rPr>
          <w:rFonts w:ascii="Times New Roman" w:hAnsi="Times New Roman"/>
          <w:sz w:val="28"/>
          <w:szCs w:val="28"/>
        </w:rPr>
        <w:t>, and effectively using both verbal and nonverbal cues are some of these strategies.</w:t>
      </w:r>
    </w:p>
    <w:p w14:paraId="1DFC5075" w14:textId="1863BB02" w:rsidR="00313A85" w:rsidRPr="00313A85" w:rsidRDefault="00313A85" w:rsidP="005863B5">
      <w:pPr>
        <w:rPr>
          <w:rFonts w:ascii="Times New Roman" w:hAnsi="Times New Roman"/>
          <w:sz w:val="28"/>
          <w:szCs w:val="28"/>
        </w:rPr>
      </w:pPr>
    </w:p>
    <w:p w14:paraId="7436123D" w14:textId="77777777" w:rsidR="00F53A76" w:rsidRDefault="00F53A76">
      <w:pPr>
        <w:rPr>
          <w:rFonts w:ascii="Times New Roman" w:hAnsi="Times New Roman"/>
          <w:sz w:val="28"/>
          <w:szCs w:val="28"/>
        </w:rPr>
      </w:pPr>
    </w:p>
    <w:p w14:paraId="7436123E" w14:textId="77777777" w:rsidR="00F53A76" w:rsidRDefault="005A383F">
      <w:pPr>
        <w:rPr>
          <w:rFonts w:ascii="Times New Roman" w:hAnsi="Times New Roman"/>
          <w:sz w:val="28"/>
          <w:szCs w:val="28"/>
        </w:rPr>
      </w:pPr>
      <w:r>
        <w:rPr>
          <w:rFonts w:ascii="Times New Roman" w:hAnsi="Times New Roman"/>
          <w:sz w:val="28"/>
          <w:szCs w:val="28"/>
        </w:rPr>
        <w:t>Analysis of Hofsted Theory:</w:t>
      </w:r>
    </w:p>
    <w:p w14:paraId="3A2478CD" w14:textId="77777777" w:rsidR="005863B5" w:rsidRPr="005863B5" w:rsidRDefault="005863B5" w:rsidP="005863B5">
      <w:pPr>
        <w:rPr>
          <w:rFonts w:ascii="Times New Roman" w:hAnsi="Times New Roman"/>
          <w:sz w:val="28"/>
          <w:szCs w:val="28"/>
        </w:rPr>
      </w:pPr>
      <w:r w:rsidRPr="005863B5">
        <w:rPr>
          <w:rFonts w:ascii="Times New Roman" w:hAnsi="Times New Roman"/>
          <w:sz w:val="28"/>
          <w:szCs w:val="28"/>
        </w:rPr>
        <w:t xml:space="preserve">Cultural differences can provide barriers to cooperation, efficiency, and overall effectiveness in foreign relationships. Misunderstandings can occur when communication styles differ considerably between cultures, compromising project operations and relationships (Taras et al., 2021). </w:t>
      </w:r>
    </w:p>
    <w:p w14:paraId="74361241" w14:textId="77777777" w:rsidR="00F53A76" w:rsidRDefault="005A383F">
      <w:r>
        <w:rPr>
          <w:rFonts w:ascii="Times New Roman" w:hAnsi="Times New Roman"/>
          <w:noProof/>
          <w:sz w:val="28"/>
          <w:szCs w:val="28"/>
        </w:rPr>
        <w:lastRenderedPageBreak/>
        <w:drawing>
          <wp:inline distT="0" distB="0" distL="0" distR="0" wp14:anchorId="743611E5" wp14:editId="743611E6">
            <wp:extent cx="5731514" cy="3037207"/>
            <wp:effectExtent l="0" t="0" r="2536" b="0"/>
            <wp:docPr id="1947140979" name="Imagine 1" descr="O imagine care conține text, captură de ecran, diagramă, proiectare&#10;&#10;Descriere generată automa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3037207"/>
                    </a:xfrm>
                    <a:prstGeom prst="rect">
                      <a:avLst/>
                    </a:prstGeom>
                    <a:noFill/>
                    <a:ln>
                      <a:noFill/>
                      <a:prstDash/>
                    </a:ln>
                  </pic:spPr>
                </pic:pic>
              </a:graphicData>
            </a:graphic>
          </wp:inline>
        </w:drawing>
      </w:r>
    </w:p>
    <w:p w14:paraId="74361242" w14:textId="77777777" w:rsidR="00F53A76" w:rsidRDefault="00F53A76">
      <w:pPr>
        <w:rPr>
          <w:rFonts w:ascii="Times New Roman" w:hAnsi="Times New Roman"/>
          <w:sz w:val="28"/>
          <w:szCs w:val="28"/>
        </w:rPr>
      </w:pPr>
    </w:p>
    <w:p w14:paraId="74361243" w14:textId="77777777" w:rsidR="00F53A76" w:rsidRDefault="005A383F">
      <w:r>
        <w:rPr>
          <w:rFonts w:ascii="Times New Roman" w:hAnsi="Times New Roman"/>
          <w:i/>
          <w:iCs/>
          <w:sz w:val="28"/>
          <w:szCs w:val="28"/>
        </w:rPr>
        <w:t>(</w:t>
      </w:r>
      <w:hyperlink r:id="rId9" w:history="1">
        <w:r>
          <w:rPr>
            <w:rStyle w:val="Hyperlink"/>
            <w:rFonts w:ascii="Times New Roman" w:hAnsi="Times New Roman"/>
            <w:i/>
            <w:iCs/>
            <w:sz w:val="28"/>
            <w:szCs w:val="28"/>
          </w:rPr>
          <w:t>Country comparison tool</w:t>
        </w:r>
      </w:hyperlink>
      <w:r>
        <w:rPr>
          <w:rFonts w:ascii="Times New Roman" w:hAnsi="Times New Roman"/>
          <w:i/>
          <w:iCs/>
          <w:sz w:val="28"/>
          <w:szCs w:val="28"/>
        </w:rPr>
        <w:t>, 2024)</w:t>
      </w:r>
    </w:p>
    <w:p w14:paraId="74361244" w14:textId="77777777" w:rsidR="00F53A76" w:rsidRDefault="00F53A76">
      <w:pPr>
        <w:rPr>
          <w:rFonts w:ascii="Times New Roman" w:hAnsi="Times New Roman"/>
          <w:sz w:val="28"/>
          <w:szCs w:val="28"/>
        </w:rPr>
      </w:pPr>
    </w:p>
    <w:p w14:paraId="74361245" w14:textId="77777777" w:rsidR="00F53A76" w:rsidRDefault="005A383F">
      <w:pPr>
        <w:pStyle w:val="Listparagraf"/>
        <w:numPr>
          <w:ilvl w:val="0"/>
          <w:numId w:val="3"/>
        </w:numPr>
        <w:rPr>
          <w:rFonts w:ascii="Times New Roman" w:hAnsi="Times New Roman"/>
          <w:sz w:val="28"/>
          <w:szCs w:val="28"/>
        </w:rPr>
      </w:pPr>
      <w:r>
        <w:rPr>
          <w:rFonts w:ascii="Times New Roman" w:hAnsi="Times New Roman"/>
          <w:sz w:val="28"/>
          <w:szCs w:val="28"/>
        </w:rPr>
        <w:t>Power Distance</w:t>
      </w:r>
    </w:p>
    <w:p w14:paraId="5CAC8E44" w14:textId="7CA6341E" w:rsidR="005863B5" w:rsidRPr="005863B5" w:rsidRDefault="005A383F" w:rsidP="005863B5">
      <w:pPr>
        <w:rPr>
          <w:rFonts w:ascii="Times New Roman" w:hAnsi="Times New Roman"/>
          <w:sz w:val="28"/>
          <w:szCs w:val="28"/>
        </w:rPr>
      </w:pPr>
      <w:r>
        <w:rPr>
          <w:rFonts w:ascii="Times New Roman" w:hAnsi="Times New Roman"/>
          <w:sz w:val="28"/>
          <w:szCs w:val="28"/>
        </w:rPr>
        <w:t>This dimension measures how much less powerful members of a society defer to more powerful members (</w:t>
      </w:r>
      <w:proofErr w:type="spellStart"/>
      <w:r>
        <w:rPr>
          <w:rFonts w:ascii="Times New Roman" w:hAnsi="Times New Roman"/>
          <w:sz w:val="28"/>
          <w:szCs w:val="28"/>
        </w:rPr>
        <w:t>Prooijen</w:t>
      </w:r>
      <w:proofErr w:type="spellEnd"/>
      <w:r>
        <w:rPr>
          <w:rFonts w:ascii="Times New Roman" w:hAnsi="Times New Roman"/>
          <w:sz w:val="28"/>
          <w:szCs w:val="28"/>
        </w:rPr>
        <w:t>, and Song, 2021).</w:t>
      </w:r>
      <w:r w:rsidR="005863B5" w:rsidRPr="005863B5">
        <w:rPr>
          <w:rFonts w:ascii="Times New Roman" w:eastAsia="Times New Roman" w:hAnsi="Times New Roman"/>
          <w:kern w:val="0"/>
          <w:sz w:val="24"/>
          <w:szCs w:val="24"/>
          <w:lang w:eastAsia="en-GB"/>
        </w:rPr>
        <w:t xml:space="preserve"> </w:t>
      </w:r>
      <w:r w:rsidR="005863B5" w:rsidRPr="005863B5">
        <w:rPr>
          <w:rFonts w:ascii="Times New Roman" w:hAnsi="Times New Roman"/>
          <w:sz w:val="28"/>
          <w:szCs w:val="28"/>
        </w:rPr>
        <w:t>Japan (54) has a somewhat modest Power Distance score, indicating that hierarchical systems are acceptable but balanced with some degree of equality. The UK (35), which has a lower score, prioritises flatter organisational structures and informal communication (Country Comparison Tool, 2024).</w:t>
      </w:r>
      <w:r w:rsidR="005863B5" w:rsidRPr="005863B5">
        <w:rPr>
          <w:rFonts w:ascii="Times New Roman" w:hAnsi="Times New Roman"/>
          <w:sz w:val="28"/>
          <w:szCs w:val="28"/>
        </w:rPr>
        <w:br/>
        <w:t>According to these observations, Diageo and Suntory executives should establish clear structures and duties while also encouraging team members to exchange ideas and viewpoints. This might be achieved by appointing mentors or leaders to Japanese staff who value hierarchy while maintaining an open and approachable environment for UK personnel. It would also be beneficial to hold frequent, planned team meetings in which feedback from all levels is welcomed.</w:t>
      </w:r>
    </w:p>
    <w:p w14:paraId="74361246" w14:textId="62DABD8A" w:rsidR="00F53A76" w:rsidRDefault="00F53A76">
      <w:pPr>
        <w:rPr>
          <w:rFonts w:ascii="Times New Roman" w:hAnsi="Times New Roman"/>
          <w:sz w:val="28"/>
          <w:szCs w:val="28"/>
        </w:rPr>
      </w:pPr>
    </w:p>
    <w:p w14:paraId="74361249" w14:textId="77777777" w:rsidR="00F53A76" w:rsidRDefault="005A383F">
      <w:pPr>
        <w:pStyle w:val="Listparagraf"/>
        <w:numPr>
          <w:ilvl w:val="0"/>
          <w:numId w:val="3"/>
        </w:numPr>
        <w:rPr>
          <w:rFonts w:ascii="Times New Roman" w:hAnsi="Times New Roman"/>
          <w:sz w:val="28"/>
          <w:szCs w:val="28"/>
        </w:rPr>
      </w:pPr>
      <w:r>
        <w:rPr>
          <w:rFonts w:ascii="Times New Roman" w:hAnsi="Times New Roman"/>
          <w:sz w:val="28"/>
          <w:szCs w:val="28"/>
        </w:rPr>
        <w:t xml:space="preserve">Individualism </w:t>
      </w:r>
    </w:p>
    <w:p w14:paraId="10C469E1" w14:textId="77777777" w:rsidR="007276A2" w:rsidRDefault="005A383F" w:rsidP="007276A2">
      <w:pPr>
        <w:rPr>
          <w:rFonts w:ascii="Times New Roman" w:hAnsi="Times New Roman"/>
          <w:sz w:val="28"/>
          <w:szCs w:val="28"/>
        </w:rPr>
      </w:pPr>
      <w:r>
        <w:rPr>
          <w:rFonts w:ascii="Times New Roman" w:hAnsi="Times New Roman"/>
          <w:sz w:val="28"/>
          <w:szCs w:val="28"/>
        </w:rPr>
        <w:t>This dimension looks at whether people in a society prefer to act as individuals or as part of a group. Individualistic societies value personal freedom and self-reliance, while collectivist societies emphasize group loyalty and harmony (</w:t>
      </w:r>
      <w:hyperlink r:id="rId10" w:history="1">
        <w:r>
          <w:rPr>
            <w:rStyle w:val="Hyperlink"/>
            <w:rFonts w:ascii="Times New Roman" w:hAnsi="Times New Roman"/>
            <w:sz w:val="28"/>
            <w:szCs w:val="28"/>
          </w:rPr>
          <w:t>Country comparison tool</w:t>
        </w:r>
      </w:hyperlink>
      <w:r>
        <w:rPr>
          <w:rFonts w:ascii="Times New Roman" w:hAnsi="Times New Roman"/>
          <w:sz w:val="28"/>
          <w:szCs w:val="28"/>
        </w:rPr>
        <w:t>, 2024).</w:t>
      </w:r>
    </w:p>
    <w:p w14:paraId="001092BF" w14:textId="3AE71888" w:rsidR="007276A2" w:rsidRPr="007276A2" w:rsidRDefault="007276A2" w:rsidP="007276A2">
      <w:pPr>
        <w:rPr>
          <w:rFonts w:ascii="Times New Roman" w:hAnsi="Times New Roman"/>
          <w:sz w:val="28"/>
          <w:szCs w:val="28"/>
        </w:rPr>
      </w:pPr>
      <w:r w:rsidRPr="007276A2">
        <w:rPr>
          <w:rFonts w:ascii="Times New Roman" w:hAnsi="Times New Roman"/>
          <w:sz w:val="28"/>
          <w:szCs w:val="28"/>
        </w:rPr>
        <w:lastRenderedPageBreak/>
        <w:t xml:space="preserve">The United Kingdom (76) is regarded </w:t>
      </w:r>
      <w:r>
        <w:rPr>
          <w:rFonts w:ascii="Times New Roman" w:hAnsi="Times New Roman"/>
          <w:sz w:val="28"/>
          <w:szCs w:val="28"/>
        </w:rPr>
        <w:t xml:space="preserve">as </w:t>
      </w:r>
      <w:r w:rsidRPr="007276A2">
        <w:rPr>
          <w:rFonts w:ascii="Times New Roman" w:hAnsi="Times New Roman"/>
          <w:sz w:val="28"/>
          <w:szCs w:val="28"/>
        </w:rPr>
        <w:t xml:space="preserve">more individualistic, with a strong emphasis on personal accomplishment and liberty. Japan, on the other hand, has a (62) score, indicating that it is more collectivist and values group cohesion and consensus. This has an impact on cooperation and decision-making processes since Japanese employees frequently </w:t>
      </w:r>
      <w:r w:rsidRPr="007276A2">
        <w:rPr>
          <w:rFonts w:ascii="Times New Roman" w:hAnsi="Times New Roman"/>
          <w:sz w:val="28"/>
          <w:szCs w:val="28"/>
        </w:rPr>
        <w:t>prioritise,</w:t>
      </w:r>
      <w:r w:rsidRPr="007276A2">
        <w:rPr>
          <w:rFonts w:ascii="Times New Roman" w:hAnsi="Times New Roman"/>
          <w:sz w:val="28"/>
          <w:szCs w:val="28"/>
        </w:rPr>
        <w:t xml:space="preserve"> group aims over individual desires (Hofstede, Hofstede, &amp; Minkov, 2010).</w:t>
      </w:r>
      <w:r w:rsidRPr="007276A2">
        <w:rPr>
          <w:rFonts w:ascii="Times New Roman" w:hAnsi="Times New Roman"/>
          <w:sz w:val="28"/>
          <w:szCs w:val="28"/>
        </w:rPr>
        <w:br/>
        <w:t xml:space="preserve">Diageo team members may feel more at ease stating their viewpoints, whereas Japanese members may prioritise group consensus. Diageo and Suntory should encourage cooperation by providing organised opportunities. For example, team leaders might schedule brainstorming sessions in which everyone can participate and then lead a group debate to reach a decision. Group harmony and individual accountability can be matched by assigning specific tasks to each team member that showcase their strengths. </w:t>
      </w:r>
    </w:p>
    <w:p w14:paraId="7436124A" w14:textId="16DA48C9" w:rsidR="00F53A76" w:rsidRDefault="00F53A76"/>
    <w:p w14:paraId="7436124D" w14:textId="77777777" w:rsidR="00F53A76" w:rsidRDefault="005A383F">
      <w:pPr>
        <w:pStyle w:val="Listparagraf"/>
        <w:numPr>
          <w:ilvl w:val="0"/>
          <w:numId w:val="3"/>
        </w:numPr>
        <w:rPr>
          <w:rFonts w:ascii="Times New Roman" w:hAnsi="Times New Roman"/>
          <w:sz w:val="28"/>
          <w:szCs w:val="28"/>
        </w:rPr>
      </w:pPr>
      <w:r>
        <w:rPr>
          <w:rFonts w:ascii="Times New Roman" w:hAnsi="Times New Roman"/>
          <w:sz w:val="28"/>
          <w:szCs w:val="28"/>
        </w:rPr>
        <w:t>M</w:t>
      </w:r>
      <w:r>
        <w:rPr>
          <w:rFonts w:ascii="Times New Roman" w:hAnsi="Times New Roman"/>
          <w:sz w:val="28"/>
          <w:szCs w:val="28"/>
        </w:rPr>
        <w:t>otivation towards achievement and success</w:t>
      </w:r>
    </w:p>
    <w:p w14:paraId="5C957D0E" w14:textId="77777777" w:rsidR="00E04AE4" w:rsidRDefault="005A383F" w:rsidP="00E04AE4">
      <w:pPr>
        <w:rPr>
          <w:rFonts w:ascii="Times New Roman" w:eastAsia="Times New Roman" w:hAnsi="Times New Roman"/>
          <w:kern w:val="0"/>
          <w:sz w:val="28"/>
          <w:szCs w:val="28"/>
          <w:lang w:eastAsia="en-GB"/>
        </w:rPr>
      </w:pPr>
      <w:r>
        <w:rPr>
          <w:rFonts w:ascii="Times New Roman" w:eastAsia="Times New Roman" w:hAnsi="Times New Roman"/>
          <w:kern w:val="0"/>
          <w:sz w:val="28"/>
          <w:szCs w:val="28"/>
          <w:lang w:eastAsia="en-GB"/>
        </w:rPr>
        <w:t>Whereas a low Decisive score emphasises quality of life and caring for others, a high Decisive score emphasises competition, achievement, and success.</w:t>
      </w:r>
      <w:r w:rsidR="00E04AE4">
        <w:rPr>
          <w:rFonts w:ascii="Times New Roman" w:eastAsia="Times New Roman" w:hAnsi="Times New Roman"/>
          <w:kern w:val="0"/>
          <w:sz w:val="28"/>
          <w:szCs w:val="28"/>
          <w:lang w:eastAsia="en-GB"/>
        </w:rPr>
        <w:t xml:space="preserve"> </w:t>
      </w:r>
    </w:p>
    <w:p w14:paraId="0C96F42D" w14:textId="2E506092" w:rsidR="00E04AE4" w:rsidRPr="00E04AE4" w:rsidRDefault="00E04AE4" w:rsidP="00E04AE4">
      <w:pPr>
        <w:rPr>
          <w:rFonts w:ascii="Times New Roman" w:eastAsia="Times New Roman" w:hAnsi="Times New Roman"/>
          <w:kern w:val="0"/>
          <w:sz w:val="28"/>
          <w:szCs w:val="28"/>
          <w:lang w:eastAsia="en-GB"/>
        </w:rPr>
      </w:pPr>
      <w:r w:rsidRPr="00E04AE4">
        <w:rPr>
          <w:rFonts w:ascii="Times New Roman" w:eastAsia="Times New Roman" w:hAnsi="Times New Roman"/>
          <w:kern w:val="0"/>
          <w:sz w:val="28"/>
          <w:szCs w:val="28"/>
          <w:lang w:eastAsia="en-GB"/>
        </w:rPr>
        <w:t xml:space="preserve">With a score of 95, Japan is a very determined culture that values group competition and excellence in the creation of goods, services, and presentations. Long workdays and workaholism block women from rising in business. In contrast, the United Kingdom (66) is a Decisive culture that emphasises both achievement and modesty (Country Comparison Tool, 2024). </w:t>
      </w:r>
      <w:r w:rsidRPr="00E04AE4">
        <w:rPr>
          <w:rFonts w:ascii="Times New Roman" w:eastAsia="Times New Roman" w:hAnsi="Times New Roman"/>
          <w:kern w:val="0"/>
          <w:sz w:val="28"/>
          <w:szCs w:val="28"/>
          <w:lang w:eastAsia="en-GB"/>
        </w:rPr>
        <w:br/>
        <w:t>Whereas UK employees may prioritise work-life balance, Japanese workers may be highly driven and thorough. Setting ambitious goals and acknowledging accomplishments will support the UK team's inclination for fair acknowledgement, whilst performance measurements and milestone tracking will appeal to the Japanese focus on success. Both groups can be further encouraged by providing regular feedback on progress and acknowledging team successes.</w:t>
      </w:r>
    </w:p>
    <w:p w14:paraId="7436124E" w14:textId="162227BC" w:rsidR="00F53A76" w:rsidRDefault="00F53A76"/>
    <w:p w14:paraId="74361251" w14:textId="77777777" w:rsidR="00F53A76" w:rsidRDefault="005A383F">
      <w:pPr>
        <w:pStyle w:val="Listparagraf"/>
        <w:numPr>
          <w:ilvl w:val="0"/>
          <w:numId w:val="3"/>
        </w:numPr>
        <w:rPr>
          <w:rFonts w:ascii="Times New Roman" w:hAnsi="Times New Roman"/>
          <w:sz w:val="28"/>
          <w:szCs w:val="28"/>
        </w:rPr>
      </w:pPr>
      <w:r>
        <w:rPr>
          <w:rFonts w:ascii="Times New Roman" w:hAnsi="Times New Roman"/>
          <w:sz w:val="28"/>
          <w:szCs w:val="28"/>
        </w:rPr>
        <w:t>Uncertainty avoidance</w:t>
      </w:r>
    </w:p>
    <w:p w14:paraId="4C90B8A7" w14:textId="3EC00992" w:rsidR="00E04AE4" w:rsidRPr="00E04AE4" w:rsidRDefault="00E04AE4" w:rsidP="00E04AE4">
      <w:pPr>
        <w:suppressAutoHyphens w:val="0"/>
        <w:autoSpaceDN/>
        <w:spacing w:after="0" w:line="240" w:lineRule="auto"/>
        <w:rPr>
          <w:rFonts w:ascii="Times New Roman" w:eastAsia="Times New Roman" w:hAnsi="Times New Roman"/>
          <w:kern w:val="0"/>
          <w:sz w:val="28"/>
          <w:szCs w:val="28"/>
          <w:lang w:eastAsia="en-GB"/>
        </w:rPr>
      </w:pPr>
      <w:r w:rsidRPr="00E04AE4">
        <w:rPr>
          <w:rFonts w:ascii="Times New Roman" w:eastAsia="Times New Roman" w:hAnsi="Times New Roman"/>
          <w:kern w:val="0"/>
          <w:sz w:val="28"/>
          <w:szCs w:val="28"/>
          <w:lang w:eastAsia="en-GB"/>
        </w:rPr>
        <w:t xml:space="preserve">This indicates a society's level of tolerance </w:t>
      </w:r>
      <w:r>
        <w:rPr>
          <w:rFonts w:ascii="Times New Roman" w:eastAsia="Times New Roman" w:hAnsi="Times New Roman"/>
          <w:kern w:val="0"/>
          <w:sz w:val="28"/>
          <w:szCs w:val="28"/>
          <w:lang w:eastAsia="en-GB"/>
        </w:rPr>
        <w:t>for</w:t>
      </w:r>
      <w:r w:rsidRPr="00E04AE4">
        <w:rPr>
          <w:rFonts w:ascii="Times New Roman" w:eastAsia="Times New Roman" w:hAnsi="Times New Roman"/>
          <w:kern w:val="0"/>
          <w:sz w:val="28"/>
          <w:szCs w:val="28"/>
          <w:lang w:eastAsia="en-GB"/>
        </w:rPr>
        <w:t xml:space="preserve"> ambiguity and uncertainty. Low uncertainty avoidance denotes a more relaxed attitude towards ambiguity, whereas high uncertainty avoidance reflects a preference for rules and explicit structure (Nickerson, 2023).</w:t>
      </w:r>
    </w:p>
    <w:p w14:paraId="211EE3CF" w14:textId="55A116D9" w:rsidR="007B38C3" w:rsidRPr="007B38C3" w:rsidRDefault="00E04AE4" w:rsidP="007B38C3">
      <w:pPr>
        <w:rPr>
          <w:rFonts w:ascii="Times New Roman" w:hAnsi="Times New Roman"/>
          <w:sz w:val="28"/>
          <w:szCs w:val="28"/>
        </w:rPr>
      </w:pPr>
      <w:r w:rsidRPr="00E04AE4">
        <w:rPr>
          <w:rFonts w:ascii="Times New Roman" w:hAnsi="Times New Roman"/>
          <w:sz w:val="28"/>
          <w:szCs w:val="28"/>
        </w:rPr>
        <w:t xml:space="preserve">Natural catastrophes have contributed to Japan's high degree of uncertainty avoidance (92), which has resulted in a highly ritualised, detailed way of living marked by a strong concern for stability, norms, and structure, as well as </w:t>
      </w:r>
      <w:r w:rsidRPr="00E04AE4">
        <w:rPr>
          <w:rFonts w:ascii="Times New Roman" w:hAnsi="Times New Roman"/>
          <w:sz w:val="28"/>
          <w:szCs w:val="28"/>
        </w:rPr>
        <w:lastRenderedPageBreak/>
        <w:t>etiquette books that prescribe appearance and behaviour. The UK's low uncertainty avoidance score of 35 is indicative of its individuality, adaptability, and flexibility, as seen by its consumption, humour, and rapidly expanding marketing, advertising, and financial engineering sectors (Country comparison tool, 2024).</w:t>
      </w:r>
      <w:r>
        <w:rPr>
          <w:rFonts w:ascii="Times New Roman" w:hAnsi="Times New Roman"/>
          <w:sz w:val="28"/>
          <w:szCs w:val="28"/>
        </w:rPr>
        <w:t xml:space="preserve"> </w:t>
      </w:r>
      <w:r w:rsidR="007B38C3">
        <w:rPr>
          <w:rFonts w:ascii="Times New Roman" w:hAnsi="Times New Roman"/>
          <w:sz w:val="28"/>
          <w:szCs w:val="28"/>
        </w:rPr>
        <w:t>To</w:t>
      </w:r>
      <w:r w:rsidR="007B38C3" w:rsidRPr="007B38C3">
        <w:rPr>
          <w:rFonts w:ascii="Times New Roman" w:hAnsi="Times New Roman"/>
          <w:sz w:val="28"/>
          <w:szCs w:val="28"/>
        </w:rPr>
        <w:t xml:space="preserve"> satisfy the Japanese desire for certainty, Diageo can use organised planning procedures that include precise instructions, timetables, and risk assessments. At the same time, provide these plans some leeway to adjust to the UK's changing needs. This might entail establishing backup plans and promoting innovative approaches to problems, making sure that both parties feel safe but free to adapt as necessary.</w:t>
      </w:r>
    </w:p>
    <w:p w14:paraId="74361255" w14:textId="61C70C33" w:rsidR="00F53A76" w:rsidRPr="007B38C3" w:rsidRDefault="005A383F" w:rsidP="007B38C3">
      <w:pPr>
        <w:pStyle w:val="Listparagraf"/>
        <w:numPr>
          <w:ilvl w:val="0"/>
          <w:numId w:val="3"/>
        </w:numPr>
        <w:rPr>
          <w:rFonts w:ascii="Times New Roman" w:hAnsi="Times New Roman"/>
          <w:sz w:val="28"/>
          <w:szCs w:val="28"/>
        </w:rPr>
      </w:pPr>
      <w:r w:rsidRPr="007B38C3">
        <w:rPr>
          <w:rFonts w:ascii="Times New Roman" w:hAnsi="Times New Roman"/>
          <w:sz w:val="28"/>
          <w:szCs w:val="28"/>
        </w:rPr>
        <w:t>Long term orientation</w:t>
      </w:r>
    </w:p>
    <w:p w14:paraId="74361256" w14:textId="77777777" w:rsidR="00F53A76" w:rsidRDefault="005A383F">
      <w:pPr>
        <w:rPr>
          <w:rFonts w:ascii="Times New Roman" w:hAnsi="Times New Roman"/>
          <w:sz w:val="28"/>
          <w:szCs w:val="28"/>
        </w:rPr>
      </w:pPr>
      <w:r>
        <w:rPr>
          <w:rFonts w:ascii="Times New Roman" w:hAnsi="Times New Roman"/>
          <w:sz w:val="28"/>
          <w:szCs w:val="28"/>
        </w:rPr>
        <w:t>T</w:t>
      </w:r>
      <w:r>
        <w:rPr>
          <w:rFonts w:ascii="Times New Roman" w:hAnsi="Times New Roman"/>
          <w:sz w:val="28"/>
          <w:szCs w:val="28"/>
        </w:rPr>
        <w:t>his dimension reflects the degree to which a culture values long-term commitments and respect for tradition versus a focus on short-term results and flexibility (Hofstede and Minkov, 2010).</w:t>
      </w:r>
    </w:p>
    <w:p w14:paraId="74361257" w14:textId="77777777" w:rsidR="00F53A76" w:rsidRDefault="005A383F">
      <w:r>
        <w:rPr>
          <w:rFonts w:ascii="Times New Roman" w:hAnsi="Times New Roman"/>
          <w:sz w:val="28"/>
          <w:szCs w:val="28"/>
        </w:rPr>
        <w:t>While Britain scores 60th with a pragmatic culture that welcomes new customs, saves, invests, and is resourceful, and enterprises serve stakeholders and society for years, Japan ranks 100th in terms of civilisations that prioritise market share expansion and research (</w:t>
      </w:r>
      <w:hyperlink r:id="rId11" w:history="1">
        <w:r>
          <w:rPr>
            <w:rStyle w:val="Hyperlink"/>
            <w:rFonts w:ascii="Times New Roman" w:hAnsi="Times New Roman"/>
            <w:sz w:val="28"/>
            <w:szCs w:val="28"/>
          </w:rPr>
          <w:t>Country comparison tool</w:t>
        </w:r>
      </w:hyperlink>
      <w:r>
        <w:rPr>
          <w:rFonts w:ascii="Times New Roman" w:hAnsi="Times New Roman"/>
          <w:sz w:val="28"/>
          <w:szCs w:val="28"/>
        </w:rPr>
        <w:t>, 2024).</w:t>
      </w:r>
    </w:p>
    <w:p w14:paraId="0E97D32D" w14:textId="77777777" w:rsidR="007B38C3" w:rsidRPr="007B38C3" w:rsidRDefault="007B38C3" w:rsidP="007B38C3">
      <w:pPr>
        <w:suppressAutoHyphens w:val="0"/>
        <w:autoSpaceDN/>
        <w:spacing w:after="0" w:line="240" w:lineRule="auto"/>
        <w:rPr>
          <w:rFonts w:ascii="Times New Roman" w:eastAsia="Times New Roman" w:hAnsi="Times New Roman"/>
          <w:kern w:val="0"/>
          <w:sz w:val="28"/>
          <w:szCs w:val="28"/>
          <w:lang w:eastAsia="en-GB"/>
        </w:rPr>
      </w:pPr>
      <w:r w:rsidRPr="007B38C3">
        <w:rPr>
          <w:rFonts w:ascii="Times New Roman" w:eastAsia="Times New Roman" w:hAnsi="Times New Roman"/>
          <w:kern w:val="0"/>
          <w:sz w:val="28"/>
          <w:szCs w:val="28"/>
          <w:lang w:eastAsia="en-GB"/>
        </w:rPr>
        <w:t>Clearly outline the long-term objectives of the Diageo-Suntory partnership and divide them into attainable, short-term milestones to keep the team motivated and on the same page. This might entail setting quarterly or yearly goals that complement the overall vision. This approach keeps the UK team involved while honouring the Japanese need for constant improvement with observable results and making sure the collaboration is sustainable.</w:t>
      </w:r>
    </w:p>
    <w:p w14:paraId="74361259" w14:textId="23A6CC8C" w:rsidR="00F53A76" w:rsidRPr="007B38C3" w:rsidRDefault="005A383F" w:rsidP="007B38C3">
      <w:pPr>
        <w:pStyle w:val="Listparagraf"/>
        <w:numPr>
          <w:ilvl w:val="0"/>
          <w:numId w:val="3"/>
        </w:numPr>
        <w:rPr>
          <w:rFonts w:ascii="Times New Roman" w:hAnsi="Times New Roman"/>
          <w:sz w:val="28"/>
          <w:szCs w:val="28"/>
        </w:rPr>
      </w:pPr>
      <w:r w:rsidRPr="007B38C3">
        <w:rPr>
          <w:rFonts w:ascii="Times New Roman" w:hAnsi="Times New Roman"/>
          <w:sz w:val="28"/>
          <w:szCs w:val="28"/>
        </w:rPr>
        <w:t>Indulgence</w:t>
      </w:r>
    </w:p>
    <w:p w14:paraId="7436125A" w14:textId="77777777" w:rsidR="00F53A76" w:rsidRDefault="005A383F">
      <w:pPr>
        <w:rPr>
          <w:rFonts w:ascii="Times New Roman" w:hAnsi="Times New Roman"/>
          <w:sz w:val="28"/>
          <w:szCs w:val="28"/>
        </w:rPr>
      </w:pPr>
      <w:r>
        <w:rPr>
          <w:rFonts w:ascii="Times New Roman" w:hAnsi="Times New Roman"/>
          <w:sz w:val="28"/>
          <w:szCs w:val="28"/>
        </w:rPr>
        <w:t>T</w:t>
      </w:r>
      <w:r>
        <w:rPr>
          <w:rFonts w:ascii="Times New Roman" w:hAnsi="Times New Roman"/>
          <w:sz w:val="28"/>
          <w:szCs w:val="28"/>
        </w:rPr>
        <w:t xml:space="preserve">his dimension looks at the extent to which a society allows for the gratification of basic and natural human desires related to enjoying life and having fun </w:t>
      </w:r>
      <w:bookmarkStart w:id="1" w:name="_Hlk181984519"/>
      <w:r>
        <w:rPr>
          <w:rFonts w:ascii="Times New Roman" w:hAnsi="Times New Roman"/>
          <w:sz w:val="28"/>
          <w:szCs w:val="28"/>
        </w:rPr>
        <w:t>(Hofstede, Hofstede and Minkov, 2010)</w:t>
      </w:r>
      <w:bookmarkEnd w:id="1"/>
      <w:r>
        <w:rPr>
          <w:rFonts w:ascii="Times New Roman" w:hAnsi="Times New Roman"/>
          <w:sz w:val="28"/>
          <w:szCs w:val="28"/>
        </w:rPr>
        <w:t>.</w:t>
      </w:r>
    </w:p>
    <w:p w14:paraId="7436125B" w14:textId="77777777" w:rsidR="00F53A76" w:rsidRDefault="005A383F">
      <w:r>
        <w:rPr>
          <w:rFonts w:ascii="Times New Roman" w:hAnsi="Times New Roman"/>
          <w:sz w:val="28"/>
          <w:szCs w:val="28"/>
        </w:rPr>
        <w:t>Japan's culture values hard work, discipline, and moderation with a low score of 42, while the UK's high score of 69 suggests a more decadent culture, valuing leisure and individuality, with individuals in these communities having more free time (</w:t>
      </w:r>
      <w:hyperlink r:id="rId12" w:history="1">
        <w:r>
          <w:rPr>
            <w:rStyle w:val="Hyperlink"/>
            <w:rFonts w:ascii="Times New Roman" w:hAnsi="Times New Roman"/>
            <w:sz w:val="28"/>
            <w:szCs w:val="28"/>
          </w:rPr>
          <w:t>Country comparison tool</w:t>
        </w:r>
      </w:hyperlink>
      <w:r>
        <w:rPr>
          <w:rFonts w:ascii="Times New Roman" w:hAnsi="Times New Roman"/>
          <w:sz w:val="28"/>
          <w:szCs w:val="28"/>
        </w:rPr>
        <w:t>, 2024).</w:t>
      </w:r>
    </w:p>
    <w:p w14:paraId="7436125C" w14:textId="77777777" w:rsidR="00F53A76" w:rsidRDefault="005A383F">
      <w:pPr>
        <w:spacing w:after="0" w:line="240" w:lineRule="auto"/>
        <w:rPr>
          <w:rFonts w:ascii="Times New Roman" w:eastAsia="Times New Roman" w:hAnsi="Times New Roman"/>
          <w:kern w:val="0"/>
          <w:sz w:val="28"/>
          <w:szCs w:val="28"/>
          <w:lang w:eastAsia="en-GB"/>
        </w:rPr>
      </w:pPr>
      <w:r>
        <w:rPr>
          <w:rFonts w:ascii="Times New Roman" w:eastAsia="Times New Roman" w:hAnsi="Times New Roman"/>
          <w:kern w:val="0"/>
          <w:sz w:val="28"/>
          <w:szCs w:val="28"/>
          <w:lang w:eastAsia="en-GB"/>
        </w:rPr>
        <w:t>UK employees may prioritize work-life balance and expressiveness, while Japanese employees might focus on restraint and responsibility. Acknowledging these differences can help the companies promote well-being and engagement across both teams, encouraging a work culture that respects each country’s attitudes toward indulgence and restraint.</w:t>
      </w:r>
    </w:p>
    <w:p w14:paraId="7436125D" w14:textId="77777777" w:rsidR="00F53A76" w:rsidRDefault="00F53A76">
      <w:pPr>
        <w:spacing w:after="0" w:line="240" w:lineRule="auto"/>
        <w:rPr>
          <w:rFonts w:ascii="Times New Roman" w:eastAsia="Times New Roman" w:hAnsi="Times New Roman"/>
          <w:kern w:val="0"/>
          <w:sz w:val="28"/>
          <w:szCs w:val="28"/>
          <w:lang w:eastAsia="en-GB"/>
        </w:rPr>
      </w:pPr>
    </w:p>
    <w:p w14:paraId="7436125E" w14:textId="77777777" w:rsidR="00F53A76" w:rsidRDefault="005A383F">
      <w:pPr>
        <w:spacing w:after="0" w:line="240" w:lineRule="auto"/>
        <w:rPr>
          <w:rFonts w:ascii="Times New Roman" w:eastAsia="Times New Roman" w:hAnsi="Times New Roman"/>
          <w:kern w:val="0"/>
          <w:sz w:val="28"/>
          <w:szCs w:val="28"/>
          <w:lang w:eastAsia="en-GB"/>
        </w:rPr>
      </w:pPr>
      <w:r>
        <w:rPr>
          <w:rFonts w:ascii="Times New Roman" w:eastAsia="Times New Roman" w:hAnsi="Times New Roman"/>
          <w:kern w:val="0"/>
          <w:sz w:val="28"/>
          <w:szCs w:val="28"/>
          <w:lang w:eastAsia="en-GB"/>
        </w:rPr>
        <w:lastRenderedPageBreak/>
        <w:t xml:space="preserve">Recognizing and adapting to these cultural nuances for achieving effective communication and successful project implementation, Diageo and Suntory can tailor their communication strategies to navigate cultural differences effectively. </w:t>
      </w:r>
    </w:p>
    <w:p w14:paraId="57610161" w14:textId="77777777" w:rsidR="007B38C3" w:rsidRDefault="007B38C3">
      <w:pPr>
        <w:spacing w:after="0" w:line="240" w:lineRule="auto"/>
        <w:rPr>
          <w:rFonts w:ascii="Times New Roman" w:eastAsia="Times New Roman" w:hAnsi="Times New Roman"/>
          <w:kern w:val="0"/>
          <w:sz w:val="28"/>
          <w:szCs w:val="28"/>
          <w:lang w:eastAsia="en-GB"/>
        </w:rPr>
      </w:pPr>
    </w:p>
    <w:p w14:paraId="7436125F" w14:textId="0FD2E782" w:rsidR="00F53A76" w:rsidRDefault="007B38C3">
      <w:pPr>
        <w:rPr>
          <w:rFonts w:ascii="Times New Roman" w:hAnsi="Times New Roman"/>
          <w:sz w:val="28"/>
          <w:szCs w:val="28"/>
        </w:rPr>
      </w:pPr>
      <w:r>
        <w:rPr>
          <w:rFonts w:ascii="Times New Roman" w:hAnsi="Times New Roman"/>
          <w:sz w:val="28"/>
          <w:szCs w:val="28"/>
        </w:rPr>
        <w:t>RECOMMENDATIONS</w:t>
      </w:r>
    </w:p>
    <w:p w14:paraId="1A0E7488" w14:textId="079CBFBE" w:rsidR="007B38C3" w:rsidRPr="007B38C3" w:rsidRDefault="007B38C3" w:rsidP="007B38C3">
      <w:pPr>
        <w:rPr>
          <w:rFonts w:ascii="Times New Roman" w:hAnsi="Times New Roman"/>
          <w:sz w:val="28"/>
          <w:szCs w:val="28"/>
        </w:rPr>
      </w:pPr>
      <w:r w:rsidRPr="007B38C3">
        <w:rPr>
          <w:rFonts w:ascii="Times New Roman" w:hAnsi="Times New Roman"/>
          <w:sz w:val="28"/>
          <w:szCs w:val="28"/>
        </w:rPr>
        <w:t>Strategies for Leading a Cross-Cultural Team for Diageo and Suntory:</w:t>
      </w:r>
      <w:r w:rsidRPr="007B38C3">
        <w:rPr>
          <w:rFonts w:ascii="Times New Roman" w:hAnsi="Times New Roman"/>
          <w:sz w:val="28"/>
          <w:szCs w:val="28"/>
        </w:rPr>
        <w:br/>
        <w:t>1. Promote Cultural Awareness: Team members should learn about and appreciate each other's cultural backgrounds and communication methods.</w:t>
      </w:r>
      <w:r w:rsidRPr="007B38C3">
        <w:rPr>
          <w:rFonts w:ascii="Times New Roman" w:hAnsi="Times New Roman"/>
          <w:sz w:val="28"/>
          <w:szCs w:val="28"/>
        </w:rPr>
        <w:br/>
        <w:t>2. Practice flexible communication by combining directness with diplomacy. Be forthright, but also aware of secondary communication clues.</w:t>
      </w:r>
      <w:r w:rsidRPr="007B38C3">
        <w:rPr>
          <w:rFonts w:ascii="Times New Roman" w:hAnsi="Times New Roman"/>
          <w:sz w:val="28"/>
          <w:szCs w:val="28"/>
        </w:rPr>
        <w:br/>
        <w:t xml:space="preserve">3. Encourage Inclusive Decision Making: Strike a balance between quick decision-making and careful consideration. Involve team members in a way that </w:t>
      </w:r>
      <w:r w:rsidRPr="007B38C3">
        <w:rPr>
          <w:rFonts w:ascii="Times New Roman" w:hAnsi="Times New Roman"/>
          <w:sz w:val="28"/>
          <w:szCs w:val="28"/>
        </w:rPr>
        <w:t>considers</w:t>
      </w:r>
      <w:r w:rsidRPr="007B38C3">
        <w:rPr>
          <w:rFonts w:ascii="Times New Roman" w:hAnsi="Times New Roman"/>
          <w:sz w:val="28"/>
          <w:szCs w:val="28"/>
        </w:rPr>
        <w:t xml:space="preserve"> their individual and collective preferences.</w:t>
      </w:r>
      <w:r w:rsidRPr="007B38C3">
        <w:rPr>
          <w:rFonts w:ascii="Times New Roman" w:hAnsi="Times New Roman"/>
          <w:sz w:val="28"/>
          <w:szCs w:val="28"/>
        </w:rPr>
        <w:br/>
        <w:t>4. Respect Formalities: Balance formal Japanese conversation with a casual UK style when necessary.</w:t>
      </w:r>
      <w:r w:rsidRPr="007B38C3">
        <w:rPr>
          <w:rFonts w:ascii="Times New Roman" w:hAnsi="Times New Roman"/>
          <w:sz w:val="28"/>
          <w:szCs w:val="28"/>
        </w:rPr>
        <w:br/>
        <w:t>5. Facilitate Conflict Resolution: Promote open discussions while maintaining team cohesion and partnerships.</w:t>
      </w:r>
      <w:r w:rsidRPr="007B38C3">
        <w:rPr>
          <w:rFonts w:ascii="Times New Roman" w:hAnsi="Times New Roman"/>
          <w:sz w:val="28"/>
          <w:szCs w:val="28"/>
        </w:rPr>
        <w:br/>
        <w:t>6. Encourage long-term thinking by combining the UK's focus on rapid outcomes with Japan's long-term planning for a balanced strategy.</w:t>
      </w:r>
    </w:p>
    <w:p w14:paraId="74361268" w14:textId="77777777" w:rsidR="00F53A76" w:rsidRDefault="00F53A76">
      <w:pPr>
        <w:rPr>
          <w:rFonts w:ascii="Times New Roman" w:hAnsi="Times New Roman"/>
          <w:sz w:val="28"/>
          <w:szCs w:val="28"/>
        </w:rPr>
      </w:pPr>
    </w:p>
    <w:p w14:paraId="74361269" w14:textId="77777777" w:rsidR="00F53A76" w:rsidRDefault="00F53A76">
      <w:pPr>
        <w:rPr>
          <w:rFonts w:ascii="Times New Roman" w:hAnsi="Times New Roman"/>
          <w:sz w:val="28"/>
          <w:szCs w:val="28"/>
        </w:rPr>
      </w:pPr>
    </w:p>
    <w:p w14:paraId="7436126A" w14:textId="77777777" w:rsidR="00F53A76" w:rsidRDefault="005A383F">
      <w:pPr>
        <w:rPr>
          <w:rFonts w:ascii="Times New Roman" w:hAnsi="Times New Roman"/>
          <w:sz w:val="28"/>
          <w:szCs w:val="28"/>
        </w:rPr>
      </w:pPr>
      <w:r>
        <w:rPr>
          <w:rFonts w:ascii="Times New Roman" w:hAnsi="Times New Roman"/>
          <w:sz w:val="28"/>
          <w:szCs w:val="28"/>
        </w:rPr>
        <w:t xml:space="preserve">                                           CONCLUSION</w:t>
      </w:r>
    </w:p>
    <w:p w14:paraId="7F55CAB0" w14:textId="08C254B7" w:rsidR="00090237" w:rsidRPr="00090237" w:rsidRDefault="005A383F" w:rsidP="00090237">
      <w:pPr>
        <w:rPr>
          <w:rFonts w:ascii="Times New Roman" w:hAnsi="Times New Roman"/>
          <w:sz w:val="28"/>
          <w:szCs w:val="28"/>
        </w:rPr>
      </w:pPr>
      <w:r>
        <w:rPr>
          <w:rFonts w:ascii="Times New Roman" w:hAnsi="Times New Roman"/>
          <w:sz w:val="28"/>
          <w:szCs w:val="28"/>
        </w:rPr>
        <w:t xml:space="preserve">Diageo’s partnership with Suntory offers substantial growth opportunities in Asia, but it also presents unique communication challenges arising from cultural differences. It examines the impact of Japan's high-context communication style and the UK's low-context approach </w:t>
      </w:r>
      <w:r w:rsidR="00090237">
        <w:rPr>
          <w:rFonts w:ascii="Times New Roman" w:hAnsi="Times New Roman"/>
          <w:sz w:val="28"/>
          <w:szCs w:val="28"/>
        </w:rPr>
        <w:t>to</w:t>
      </w:r>
      <w:r>
        <w:rPr>
          <w:rFonts w:ascii="Times New Roman" w:hAnsi="Times New Roman"/>
          <w:sz w:val="28"/>
          <w:szCs w:val="28"/>
        </w:rPr>
        <w:t xml:space="preserve"> business interactions by delving into Hall's theory. </w:t>
      </w:r>
      <w:r w:rsidR="00090237" w:rsidRPr="00090237">
        <w:rPr>
          <w:rFonts w:ascii="Times New Roman" w:hAnsi="Times New Roman"/>
          <w:sz w:val="28"/>
          <w:szCs w:val="28"/>
        </w:rPr>
        <w:t>At the same time, this essay examines Hofstede's theory to identify crucial cultural characteristics such as power distance, individualism vs collectivism, uncertainty avoidance, and long-term orientation. To achieve effective cooperation and project delivery, Diageo must alter its strategy to account for cultural variations. Recognising and accepting cultural differences is critical for successful communication, employee happiness, and organisational success in today's globalised corporate world.</w:t>
      </w:r>
    </w:p>
    <w:p w14:paraId="7436126B" w14:textId="194DCB22" w:rsidR="00F53A76" w:rsidRDefault="00F53A76">
      <w:pPr>
        <w:rPr>
          <w:rFonts w:ascii="Times New Roman" w:hAnsi="Times New Roman"/>
          <w:sz w:val="28"/>
          <w:szCs w:val="28"/>
        </w:rPr>
      </w:pPr>
    </w:p>
    <w:p w14:paraId="7436126C" w14:textId="77777777" w:rsidR="00F53A76" w:rsidRDefault="00F53A76">
      <w:pPr>
        <w:rPr>
          <w:rFonts w:ascii="Times New Roman" w:hAnsi="Times New Roman"/>
          <w:sz w:val="28"/>
          <w:szCs w:val="28"/>
        </w:rPr>
      </w:pPr>
    </w:p>
    <w:p w14:paraId="05AB5BC0" w14:textId="77777777" w:rsidR="0028176B" w:rsidRDefault="0028176B">
      <w:pPr>
        <w:rPr>
          <w:rFonts w:ascii="Times New Roman" w:hAnsi="Times New Roman"/>
          <w:sz w:val="28"/>
          <w:szCs w:val="28"/>
        </w:rPr>
      </w:pPr>
    </w:p>
    <w:p w14:paraId="136715C0" w14:textId="77777777" w:rsidR="007B38C3" w:rsidRDefault="007B38C3">
      <w:pPr>
        <w:rPr>
          <w:rFonts w:ascii="Times New Roman" w:hAnsi="Times New Roman"/>
          <w:sz w:val="28"/>
          <w:szCs w:val="28"/>
        </w:rPr>
      </w:pPr>
    </w:p>
    <w:p w14:paraId="7436126D" w14:textId="77777777" w:rsidR="00F53A76" w:rsidRDefault="005A383F">
      <w:pPr>
        <w:jc w:val="both"/>
        <w:rPr>
          <w:rFonts w:ascii="Times New Roman" w:hAnsi="Times New Roman"/>
          <w:sz w:val="28"/>
          <w:szCs w:val="28"/>
        </w:rPr>
      </w:pPr>
      <w:r>
        <w:rPr>
          <w:rFonts w:ascii="Times New Roman" w:hAnsi="Times New Roman"/>
          <w:sz w:val="28"/>
          <w:szCs w:val="28"/>
        </w:rPr>
        <w:lastRenderedPageBreak/>
        <w:t xml:space="preserve">                                         REFERENCES LIST</w:t>
      </w:r>
    </w:p>
    <w:p w14:paraId="7436126E" w14:textId="77777777" w:rsidR="00F53A76" w:rsidRDefault="00F53A76">
      <w:pPr>
        <w:pStyle w:val="NormalWeb"/>
        <w:spacing w:before="0" w:after="0" w:line="480" w:lineRule="auto"/>
        <w:rPr>
          <w:i/>
          <w:iCs/>
          <w:sz w:val="28"/>
          <w:szCs w:val="28"/>
        </w:rPr>
      </w:pPr>
    </w:p>
    <w:p w14:paraId="7436126F" w14:textId="77777777" w:rsidR="00F53A76" w:rsidRDefault="005A383F">
      <w:pPr>
        <w:pStyle w:val="NormalWeb"/>
        <w:numPr>
          <w:ilvl w:val="0"/>
          <w:numId w:val="5"/>
        </w:numPr>
        <w:spacing w:before="0" w:after="0" w:line="480" w:lineRule="auto"/>
      </w:pPr>
      <w:r>
        <w:rPr>
          <w:i/>
          <w:iCs/>
        </w:rPr>
        <w:t>Country comparison tool</w:t>
      </w:r>
      <w:r>
        <w:t xml:space="preserve"> (2024). Available at: </w:t>
      </w:r>
      <w:hyperlink r:id="rId13" w:history="1">
        <w:r>
          <w:rPr>
            <w:rStyle w:val="Hyperlink"/>
          </w:rPr>
          <w:t>https://www.theculturefactor.com/country-comparison-tool?countries=japan%2Cunited+kingdom</w:t>
        </w:r>
      </w:hyperlink>
      <w:r>
        <w:t>. (Accessed: 5</w:t>
      </w:r>
      <w:r>
        <w:rPr>
          <w:vertAlign w:val="superscript"/>
        </w:rPr>
        <w:t>th</w:t>
      </w:r>
      <w:r>
        <w:t xml:space="preserve"> November 2024).</w:t>
      </w:r>
    </w:p>
    <w:p w14:paraId="74361270" w14:textId="77777777" w:rsidR="00F53A76" w:rsidRDefault="005A383F">
      <w:pPr>
        <w:pStyle w:val="NormalWeb"/>
        <w:numPr>
          <w:ilvl w:val="0"/>
          <w:numId w:val="5"/>
        </w:numPr>
        <w:spacing w:before="0" w:after="0" w:line="480" w:lineRule="auto"/>
      </w:pPr>
      <w:r>
        <w:t>Diageo (2024) </w:t>
      </w:r>
      <w:r>
        <w:rPr>
          <w:i/>
          <w:iCs/>
        </w:rPr>
        <w:t>Our history</w:t>
      </w:r>
      <w:r>
        <w:t xml:space="preserve">. Available at: </w:t>
      </w:r>
      <w:hyperlink r:id="rId14" w:history="1">
        <w:r>
          <w:rPr>
            <w:rStyle w:val="Hyperlink"/>
          </w:rPr>
          <w:t>https://www.diageo.com/en/our- business/our-history</w:t>
        </w:r>
      </w:hyperlink>
      <w:r>
        <w:t>. (Accessed: 2nd November 2024).</w:t>
      </w:r>
    </w:p>
    <w:p w14:paraId="74361271" w14:textId="77777777" w:rsidR="00F53A76" w:rsidRDefault="005A383F">
      <w:pPr>
        <w:pStyle w:val="NormalWeb"/>
        <w:numPr>
          <w:ilvl w:val="0"/>
          <w:numId w:val="5"/>
        </w:numPr>
        <w:spacing w:before="0" w:after="0" w:line="480" w:lineRule="auto"/>
      </w:pPr>
      <w:r>
        <w:t xml:space="preserve">Dubal, Y. (2023) </w:t>
      </w:r>
      <w:r>
        <w:rPr>
          <w:i/>
          <w:iCs/>
        </w:rPr>
        <w:t>A guide to UK business culture: What you need to know</w:t>
      </w:r>
      <w:r>
        <w:t xml:space="preserve">. Available at: </w:t>
      </w:r>
      <w:hyperlink r:id="rId15" w:history="1">
        <w:r>
          <w:rPr>
            <w:rStyle w:val="Hyperlink"/>
          </w:rPr>
          <w:t>https://www.linkedin.com/pulse/guide-uk-business-culture-what-you-need-know-yash-dubal/</w:t>
        </w:r>
      </w:hyperlink>
      <w:r>
        <w:t>. (Accessed: 2</w:t>
      </w:r>
      <w:r>
        <w:rPr>
          <w:vertAlign w:val="superscript"/>
        </w:rPr>
        <w:t>nd</w:t>
      </w:r>
      <w:r>
        <w:t xml:space="preserve"> November)</w:t>
      </w:r>
    </w:p>
    <w:p w14:paraId="74361272" w14:textId="77777777" w:rsidR="00F53A76" w:rsidRDefault="005A383F">
      <w:pPr>
        <w:pStyle w:val="Listparagraf"/>
        <w:numPr>
          <w:ilvl w:val="0"/>
          <w:numId w:val="5"/>
        </w:numPr>
      </w:pPr>
      <w:r>
        <w:rPr>
          <w:rFonts w:ascii="Times New Roman" w:hAnsi="Times New Roman"/>
          <w:sz w:val="24"/>
          <w:szCs w:val="24"/>
        </w:rPr>
        <w:t xml:space="preserve">Hall, E.T. (1976). </w:t>
      </w:r>
      <w:r>
        <w:rPr>
          <w:rFonts w:ascii="Times New Roman" w:hAnsi="Times New Roman"/>
          <w:i/>
          <w:iCs/>
          <w:sz w:val="24"/>
          <w:szCs w:val="24"/>
        </w:rPr>
        <w:t>Beyond Culture</w:t>
      </w:r>
      <w:r>
        <w:rPr>
          <w:rFonts w:ascii="Times New Roman" w:hAnsi="Times New Roman"/>
          <w:sz w:val="24"/>
          <w:szCs w:val="24"/>
        </w:rPr>
        <w:t>. New York: Anchor Books.</w:t>
      </w:r>
    </w:p>
    <w:p w14:paraId="74361273" w14:textId="77777777" w:rsidR="00F53A76" w:rsidRDefault="005A383F">
      <w:pPr>
        <w:pStyle w:val="Listparagraf"/>
        <w:numPr>
          <w:ilvl w:val="0"/>
          <w:numId w:val="5"/>
        </w:numPr>
      </w:pPr>
      <w:r>
        <w:rPr>
          <w:rFonts w:ascii="Times New Roman" w:hAnsi="Times New Roman"/>
          <w:sz w:val="24"/>
          <w:szCs w:val="24"/>
        </w:rPr>
        <w:t xml:space="preserve">Hara, K. (2016). </w:t>
      </w:r>
      <w:r>
        <w:rPr>
          <w:rFonts w:ascii="Times New Roman" w:hAnsi="Times New Roman"/>
          <w:i/>
          <w:iCs/>
          <w:sz w:val="24"/>
          <w:szCs w:val="24"/>
        </w:rPr>
        <w:t>Japanese Business Communication: The Principles of Building Relationships in Japan</w:t>
      </w:r>
      <w:r>
        <w:rPr>
          <w:rFonts w:ascii="Times New Roman" w:hAnsi="Times New Roman"/>
          <w:sz w:val="24"/>
          <w:szCs w:val="24"/>
        </w:rPr>
        <w:t>. Tokyo: Tuttle Publishing.</w:t>
      </w:r>
    </w:p>
    <w:p w14:paraId="74361274" w14:textId="77777777" w:rsidR="00F53A76" w:rsidRDefault="005A383F">
      <w:pPr>
        <w:pStyle w:val="NormalWeb"/>
        <w:numPr>
          <w:ilvl w:val="0"/>
          <w:numId w:val="5"/>
        </w:numPr>
        <w:spacing w:before="0" w:after="0" w:line="480" w:lineRule="auto"/>
      </w:pPr>
      <w:r>
        <w:t xml:space="preserve">He, R., Liu, J., and Halmstad School of Business and Engineering (2010) </w:t>
      </w:r>
      <w:r>
        <w:rPr>
          <w:i/>
          <w:iCs/>
        </w:rPr>
        <w:t xml:space="preserve">Barriers of </w:t>
      </w:r>
      <w:proofErr w:type="gramStart"/>
      <w:r>
        <w:rPr>
          <w:i/>
          <w:iCs/>
        </w:rPr>
        <w:t>Cross Cultural</w:t>
      </w:r>
      <w:proofErr w:type="gramEnd"/>
      <w:r>
        <w:rPr>
          <w:i/>
          <w:iCs/>
        </w:rPr>
        <w:t xml:space="preserve"> Communication in Multinational Firms: Case Study of Swedish Company and its Subsidiary in China</w:t>
      </w:r>
      <w:r>
        <w:t xml:space="preserve">. </w:t>
      </w:r>
      <w:r>
        <w:t>journal-article. Available at:  </w:t>
      </w:r>
      <w:hyperlink r:id="rId16" w:history="1">
        <w:r>
          <w:rPr>
            <w:rStyle w:val="Hyperlink"/>
          </w:rPr>
          <w:t>https://www.diva-portal.org/smash/get/diva2%3A344618/FULLTEXT01.pdf</w:t>
        </w:r>
      </w:hyperlink>
      <w:r>
        <w:t>.</w:t>
      </w:r>
    </w:p>
    <w:p w14:paraId="74361275" w14:textId="77777777" w:rsidR="00F53A76" w:rsidRDefault="005A383F">
      <w:pPr>
        <w:pStyle w:val="Listparagraf"/>
        <w:numPr>
          <w:ilvl w:val="0"/>
          <w:numId w:val="5"/>
        </w:numPr>
      </w:pPr>
      <w:r>
        <w:rPr>
          <w:rFonts w:ascii="Times New Roman" w:hAnsi="Times New Roman"/>
          <w:sz w:val="24"/>
          <w:szCs w:val="24"/>
        </w:rPr>
        <w:t xml:space="preserve">Hofstede, G. (1980). </w:t>
      </w:r>
      <w:r>
        <w:rPr>
          <w:rFonts w:ascii="Times New Roman" w:hAnsi="Times New Roman"/>
          <w:i/>
          <w:iCs/>
          <w:sz w:val="24"/>
          <w:szCs w:val="24"/>
        </w:rPr>
        <w:t>Culture's Consequences: International Differences in Work-Related Values</w:t>
      </w:r>
      <w:r>
        <w:rPr>
          <w:rFonts w:ascii="Times New Roman" w:hAnsi="Times New Roman"/>
          <w:sz w:val="24"/>
          <w:szCs w:val="24"/>
        </w:rPr>
        <w:t>. Beverly Hills, CA: Sage Publications.</w:t>
      </w:r>
    </w:p>
    <w:p w14:paraId="74361276" w14:textId="77777777" w:rsidR="00F53A76" w:rsidRDefault="005A383F">
      <w:pPr>
        <w:pStyle w:val="NormalWeb"/>
        <w:numPr>
          <w:ilvl w:val="0"/>
          <w:numId w:val="5"/>
        </w:numPr>
        <w:spacing w:before="0" w:after="0" w:line="480" w:lineRule="auto"/>
      </w:pPr>
      <w:r>
        <w:t xml:space="preserve">Hofstede, G., Hofstede, G.J. and Minkov, M. (2010). </w:t>
      </w:r>
      <w:r>
        <w:rPr>
          <w:i/>
          <w:iCs/>
        </w:rPr>
        <w:t>Cultures and Organizations: Software of the Mind</w:t>
      </w:r>
      <w:r>
        <w:t xml:space="preserve"> (3rd ed.). New York: McGraw-Hill.</w:t>
      </w:r>
    </w:p>
    <w:p w14:paraId="74361277" w14:textId="77777777" w:rsidR="00F53A76" w:rsidRDefault="005A383F">
      <w:pPr>
        <w:pStyle w:val="NormalWeb"/>
        <w:numPr>
          <w:ilvl w:val="0"/>
          <w:numId w:val="5"/>
        </w:numPr>
        <w:spacing w:before="0" w:after="0" w:line="480" w:lineRule="auto"/>
      </w:pPr>
      <w:r>
        <w:t xml:space="preserve">Hofstede, G. and Minkov, M. (2010) 'Long- versus short-term orientation: new perspectives,' </w:t>
      </w:r>
      <w:r>
        <w:rPr>
          <w:i/>
          <w:iCs/>
        </w:rPr>
        <w:t>Asia Pacific Business Review</w:t>
      </w:r>
      <w:r>
        <w:t xml:space="preserve">, 16(4), pp. 493–504. </w:t>
      </w:r>
      <w:r>
        <w:rPr>
          <w:rStyle w:val="url"/>
        </w:rPr>
        <w:t>https://doi.org/10.1080/13602381003637609</w:t>
      </w:r>
      <w:r>
        <w:t>.</w:t>
      </w:r>
    </w:p>
    <w:p w14:paraId="74361278" w14:textId="77777777" w:rsidR="00F53A76" w:rsidRDefault="005A383F">
      <w:pPr>
        <w:pStyle w:val="Listparagraf"/>
        <w:numPr>
          <w:ilvl w:val="0"/>
          <w:numId w:val="5"/>
        </w:numPr>
      </w:pPr>
      <w:r>
        <w:rPr>
          <w:rFonts w:ascii="Times New Roman" w:hAnsi="Times New Roman"/>
          <w:sz w:val="24"/>
          <w:szCs w:val="24"/>
        </w:rPr>
        <w:t xml:space="preserve">Hofstede Insights. (2024). Country comparison: Japan and United Kingdom. Available at: </w:t>
      </w:r>
      <w:hyperlink r:id="rId17" w:history="1">
        <w:r>
          <w:rPr>
            <w:rStyle w:val="Hyperlink"/>
            <w:rFonts w:ascii="Times New Roman" w:hAnsi="Times New Roman"/>
            <w:sz w:val="24"/>
            <w:szCs w:val="24"/>
          </w:rPr>
          <w:t>https://www.hofstede-insights.com</w:t>
        </w:r>
      </w:hyperlink>
      <w:r>
        <w:rPr>
          <w:rFonts w:ascii="Times New Roman" w:hAnsi="Times New Roman"/>
          <w:sz w:val="24"/>
          <w:szCs w:val="24"/>
        </w:rPr>
        <w:t xml:space="preserve"> (Accessed 8 November 2024).</w:t>
      </w:r>
    </w:p>
    <w:p w14:paraId="74361279" w14:textId="77777777" w:rsidR="00F53A76" w:rsidRDefault="005A383F">
      <w:pPr>
        <w:pStyle w:val="Listparagraf"/>
        <w:numPr>
          <w:ilvl w:val="0"/>
          <w:numId w:val="5"/>
        </w:numPr>
      </w:pPr>
      <w:r>
        <w:rPr>
          <w:rFonts w:ascii="Times New Roman" w:hAnsi="Times New Roman"/>
          <w:sz w:val="24"/>
          <w:szCs w:val="24"/>
        </w:rPr>
        <w:t xml:space="preserve">Huntington, S.P. (2004). </w:t>
      </w:r>
      <w:r>
        <w:rPr>
          <w:rFonts w:ascii="Times New Roman" w:hAnsi="Times New Roman"/>
          <w:i/>
          <w:iCs/>
          <w:sz w:val="24"/>
          <w:szCs w:val="24"/>
        </w:rPr>
        <w:t xml:space="preserve">Who Are </w:t>
      </w:r>
      <w:proofErr w:type="gramStart"/>
      <w:r>
        <w:rPr>
          <w:rFonts w:ascii="Times New Roman" w:hAnsi="Times New Roman"/>
          <w:i/>
          <w:iCs/>
          <w:sz w:val="24"/>
          <w:szCs w:val="24"/>
        </w:rPr>
        <w:t>We?:</w:t>
      </w:r>
      <w:proofErr w:type="gramEnd"/>
      <w:r>
        <w:rPr>
          <w:rFonts w:ascii="Times New Roman" w:hAnsi="Times New Roman"/>
          <w:i/>
          <w:iCs/>
          <w:sz w:val="24"/>
          <w:szCs w:val="24"/>
        </w:rPr>
        <w:t xml:space="preserve"> The Challenges to America's National Identity</w:t>
      </w:r>
      <w:r>
        <w:rPr>
          <w:rFonts w:ascii="Times New Roman" w:hAnsi="Times New Roman"/>
          <w:sz w:val="24"/>
          <w:szCs w:val="24"/>
        </w:rPr>
        <w:t>. New York: Simon &amp; Schuster.</w:t>
      </w:r>
    </w:p>
    <w:p w14:paraId="7436127A" w14:textId="77777777" w:rsidR="00F53A76" w:rsidRDefault="005A383F">
      <w:pPr>
        <w:pStyle w:val="NormalWeb"/>
        <w:numPr>
          <w:ilvl w:val="0"/>
          <w:numId w:val="5"/>
        </w:numPr>
        <w:spacing w:before="0" w:after="0" w:line="480" w:lineRule="auto"/>
      </w:pPr>
      <w:proofErr w:type="spellStart"/>
      <w:r>
        <w:lastRenderedPageBreak/>
        <w:t>Jlidi</w:t>
      </w:r>
      <w:proofErr w:type="spellEnd"/>
      <w:r>
        <w:t xml:space="preserve">, K. (2023) </w:t>
      </w:r>
      <w:r>
        <w:rPr>
          <w:i/>
          <w:iCs/>
        </w:rPr>
        <w:t>The value of business and personal relationships in Japan | Export to Japan</w:t>
      </w:r>
      <w:r>
        <w:t xml:space="preserve">. Available at: </w:t>
      </w:r>
      <w:hyperlink r:id="rId18" w:history="1">
        <w:r>
          <w:rPr>
            <w:rStyle w:val="Hyperlink"/>
          </w:rPr>
          <w:t>https://exporttojapan.co.uk/guide/getting-started/relationships/</w:t>
        </w:r>
      </w:hyperlink>
      <w:r>
        <w:t>. (Accessed: 2</w:t>
      </w:r>
      <w:r>
        <w:rPr>
          <w:vertAlign w:val="superscript"/>
        </w:rPr>
        <w:t>nd</w:t>
      </w:r>
      <w:r>
        <w:t xml:space="preserve"> November 2024).</w:t>
      </w:r>
    </w:p>
    <w:p w14:paraId="7436127B" w14:textId="77777777" w:rsidR="00F53A76" w:rsidRDefault="005A383F">
      <w:pPr>
        <w:pStyle w:val="Listparagraf"/>
        <w:numPr>
          <w:ilvl w:val="0"/>
          <w:numId w:val="5"/>
        </w:numPr>
      </w:pPr>
      <w:r>
        <w:rPr>
          <w:rFonts w:ascii="Times New Roman" w:hAnsi="Times New Roman"/>
          <w:sz w:val="24"/>
          <w:szCs w:val="24"/>
        </w:rPr>
        <w:t xml:space="preserve">Johnson, A. (2022) ‘Diageo’s Strategic Market Expansion in Asia: Opportunities and Challenges’, </w:t>
      </w:r>
      <w:r>
        <w:rPr>
          <w:rFonts w:ascii="Times New Roman" w:hAnsi="Times New Roman"/>
          <w:i/>
          <w:iCs/>
          <w:sz w:val="24"/>
          <w:szCs w:val="24"/>
        </w:rPr>
        <w:t>International Business Review</w:t>
      </w:r>
      <w:r>
        <w:rPr>
          <w:rFonts w:ascii="Times New Roman" w:hAnsi="Times New Roman"/>
          <w:sz w:val="24"/>
          <w:szCs w:val="24"/>
        </w:rPr>
        <w:t>, 29(3), pp. 567-579.</w:t>
      </w:r>
    </w:p>
    <w:p w14:paraId="7436127C" w14:textId="77777777" w:rsidR="00F53A76" w:rsidRDefault="005A383F">
      <w:pPr>
        <w:pStyle w:val="NormalWeb"/>
        <w:numPr>
          <w:ilvl w:val="0"/>
          <w:numId w:val="5"/>
        </w:numPr>
        <w:spacing w:before="0" w:after="0" w:line="480" w:lineRule="auto"/>
      </w:pPr>
      <w:r>
        <w:t xml:space="preserve">Lebra, T.S. (1976). </w:t>
      </w:r>
      <w:r>
        <w:rPr>
          <w:i/>
          <w:iCs/>
        </w:rPr>
        <w:t xml:space="preserve">Japanese </w:t>
      </w:r>
      <w:r>
        <w:rPr>
          <w:i/>
          <w:iCs/>
        </w:rPr>
        <w:t>Patterns of Behaviour</w:t>
      </w:r>
      <w:r>
        <w:t>. Honolulu: University Press of Hawaii.</w:t>
      </w:r>
    </w:p>
    <w:p w14:paraId="7436127D" w14:textId="77777777" w:rsidR="00F53A76" w:rsidRDefault="005A383F">
      <w:pPr>
        <w:pStyle w:val="Listparagraf"/>
        <w:numPr>
          <w:ilvl w:val="0"/>
          <w:numId w:val="5"/>
        </w:numPr>
      </w:pPr>
      <w:r>
        <w:rPr>
          <w:rFonts w:ascii="Times New Roman" w:hAnsi="Times New Roman"/>
          <w:sz w:val="24"/>
          <w:szCs w:val="24"/>
        </w:rPr>
        <w:t xml:space="preserve">Lewis, R.D. (2006). </w:t>
      </w:r>
      <w:r>
        <w:rPr>
          <w:rFonts w:ascii="Times New Roman" w:hAnsi="Times New Roman"/>
          <w:i/>
          <w:iCs/>
          <w:sz w:val="24"/>
          <w:szCs w:val="24"/>
        </w:rPr>
        <w:t>When Cultures Collide: Leading Across Cultures</w:t>
      </w:r>
      <w:r>
        <w:rPr>
          <w:rFonts w:ascii="Times New Roman" w:hAnsi="Times New Roman"/>
          <w:sz w:val="24"/>
          <w:szCs w:val="24"/>
        </w:rPr>
        <w:t>. Nicholas Brealey International.</w:t>
      </w:r>
    </w:p>
    <w:p w14:paraId="7436127E" w14:textId="77777777" w:rsidR="00F53A76" w:rsidRDefault="00F53A76">
      <w:pPr>
        <w:pStyle w:val="Listparagraf"/>
        <w:rPr>
          <w:rFonts w:ascii="Times New Roman" w:hAnsi="Times New Roman"/>
          <w:sz w:val="24"/>
          <w:szCs w:val="24"/>
        </w:rPr>
      </w:pPr>
    </w:p>
    <w:p w14:paraId="7436127F" w14:textId="77777777" w:rsidR="00F53A76" w:rsidRDefault="005A383F">
      <w:pPr>
        <w:pStyle w:val="Listparagraf"/>
        <w:numPr>
          <w:ilvl w:val="0"/>
          <w:numId w:val="5"/>
        </w:numPr>
      </w:pPr>
      <w:r>
        <w:rPr>
          <w:rFonts w:ascii="Times New Roman" w:hAnsi="Times New Roman"/>
          <w:sz w:val="24"/>
          <w:szCs w:val="24"/>
        </w:rPr>
        <w:t xml:space="preserve">Li, J. (2006). </w:t>
      </w:r>
      <w:r>
        <w:rPr>
          <w:rFonts w:ascii="Times New Roman" w:hAnsi="Times New Roman"/>
          <w:i/>
          <w:iCs/>
          <w:sz w:val="24"/>
          <w:szCs w:val="24"/>
        </w:rPr>
        <w:t>Cultural Foundations of Learning: East and West</w:t>
      </w:r>
      <w:r>
        <w:rPr>
          <w:rFonts w:ascii="Times New Roman" w:hAnsi="Times New Roman"/>
          <w:sz w:val="24"/>
          <w:szCs w:val="24"/>
        </w:rPr>
        <w:t xml:space="preserve">. Cambridge: Cambridge </w:t>
      </w:r>
      <w:r>
        <w:rPr>
          <w:rFonts w:ascii="Times New Roman" w:hAnsi="Times New Roman"/>
          <w:sz w:val="24"/>
          <w:szCs w:val="24"/>
        </w:rPr>
        <w:t>University Press.</w:t>
      </w:r>
    </w:p>
    <w:p w14:paraId="74361280" w14:textId="77777777" w:rsidR="00F53A76" w:rsidRDefault="005A383F">
      <w:pPr>
        <w:pStyle w:val="Listparagraf"/>
        <w:numPr>
          <w:ilvl w:val="0"/>
          <w:numId w:val="5"/>
        </w:numPr>
      </w:pPr>
      <w:r>
        <w:rPr>
          <w:rFonts w:ascii="Times New Roman" w:hAnsi="Times New Roman"/>
          <w:sz w:val="24"/>
          <w:szCs w:val="24"/>
        </w:rPr>
        <w:t xml:space="preserve">Luo, Y. (2021) </w:t>
      </w:r>
      <w:r>
        <w:rPr>
          <w:rFonts w:ascii="Times New Roman" w:hAnsi="Times New Roman"/>
          <w:i/>
          <w:iCs/>
          <w:sz w:val="24"/>
          <w:szCs w:val="24"/>
        </w:rPr>
        <w:t>International Business and Trade in Asia: Market Analysis and Entry Strategy</w:t>
      </w:r>
      <w:r>
        <w:rPr>
          <w:rFonts w:ascii="Times New Roman" w:hAnsi="Times New Roman"/>
          <w:sz w:val="24"/>
          <w:szCs w:val="24"/>
        </w:rPr>
        <w:t>. New York: Routledge.</w:t>
      </w:r>
    </w:p>
    <w:p w14:paraId="74361281" w14:textId="77777777" w:rsidR="00F53A76" w:rsidRDefault="005A383F">
      <w:pPr>
        <w:pStyle w:val="Listparagraf"/>
        <w:numPr>
          <w:ilvl w:val="0"/>
          <w:numId w:val="5"/>
        </w:numPr>
      </w:pPr>
      <w:r>
        <w:rPr>
          <w:rFonts w:ascii="Times New Roman" w:hAnsi="Times New Roman"/>
          <w:sz w:val="24"/>
          <w:szCs w:val="24"/>
        </w:rPr>
        <w:t xml:space="preserve">Nakane, C. (1970). </w:t>
      </w:r>
      <w:r>
        <w:rPr>
          <w:rFonts w:ascii="Times New Roman" w:hAnsi="Times New Roman"/>
          <w:i/>
          <w:iCs/>
          <w:sz w:val="24"/>
          <w:szCs w:val="24"/>
        </w:rPr>
        <w:t>Japanese Society</w:t>
      </w:r>
      <w:r>
        <w:rPr>
          <w:rFonts w:ascii="Times New Roman" w:hAnsi="Times New Roman"/>
          <w:sz w:val="24"/>
          <w:szCs w:val="24"/>
        </w:rPr>
        <w:t>. Berkeley: University of California Press.</w:t>
      </w:r>
    </w:p>
    <w:p w14:paraId="74361282" w14:textId="77777777" w:rsidR="00F53A76" w:rsidRDefault="005A383F">
      <w:pPr>
        <w:pStyle w:val="Listparagraf"/>
        <w:numPr>
          <w:ilvl w:val="0"/>
          <w:numId w:val="5"/>
        </w:numPr>
      </w:pPr>
      <w:r>
        <w:rPr>
          <w:rFonts w:ascii="Times New Roman" w:hAnsi="Times New Roman"/>
          <w:sz w:val="24"/>
          <w:szCs w:val="24"/>
        </w:rPr>
        <w:t xml:space="preserve">Nguyen, P. and Chen, L. (2020) ‘Consumer Preferences for Alcoholic Beverages in Asia: An Emerging Trend’, </w:t>
      </w:r>
      <w:r>
        <w:rPr>
          <w:rFonts w:ascii="Times New Roman" w:hAnsi="Times New Roman"/>
          <w:i/>
          <w:iCs/>
          <w:sz w:val="24"/>
          <w:szCs w:val="24"/>
        </w:rPr>
        <w:t>Journal of Asian Business Studies</w:t>
      </w:r>
      <w:r>
        <w:rPr>
          <w:rFonts w:ascii="Times New Roman" w:hAnsi="Times New Roman"/>
          <w:sz w:val="24"/>
          <w:szCs w:val="24"/>
        </w:rPr>
        <w:t>, 14(1), pp. 88-105.</w:t>
      </w:r>
    </w:p>
    <w:p w14:paraId="74361283" w14:textId="77777777" w:rsidR="00F53A76" w:rsidRDefault="005A383F">
      <w:pPr>
        <w:pStyle w:val="NormalWeb"/>
        <w:numPr>
          <w:ilvl w:val="0"/>
          <w:numId w:val="5"/>
        </w:numPr>
        <w:spacing w:before="0" w:after="0" w:line="480" w:lineRule="auto"/>
      </w:pPr>
      <w:r>
        <w:t xml:space="preserve">Nickerson, C. (2023) </w:t>
      </w:r>
      <w:r>
        <w:rPr>
          <w:i/>
          <w:iCs/>
        </w:rPr>
        <w:t>Hofstede’s Cultural Dimensions Theory &amp; Examples</w:t>
      </w:r>
      <w:r>
        <w:t xml:space="preserve">. Available at: </w:t>
      </w:r>
      <w:hyperlink r:id="rId19" w:history="1">
        <w:r>
          <w:rPr>
            <w:rStyle w:val="Hyperlink"/>
          </w:rPr>
          <w:t>https://www.simplypsychology.org/hofstedes-cultural-dimensions-theory.html</w:t>
        </w:r>
      </w:hyperlink>
      <w:r>
        <w:t>. (Accessed: 5</w:t>
      </w:r>
      <w:r>
        <w:rPr>
          <w:vertAlign w:val="superscript"/>
        </w:rPr>
        <w:t>th</w:t>
      </w:r>
      <w:r>
        <w:t xml:space="preserve"> November 2024).</w:t>
      </w:r>
    </w:p>
    <w:p w14:paraId="74361284" w14:textId="77777777" w:rsidR="00F53A76" w:rsidRDefault="005A383F">
      <w:pPr>
        <w:pStyle w:val="NormalWeb"/>
        <w:numPr>
          <w:ilvl w:val="0"/>
          <w:numId w:val="5"/>
        </w:numPr>
        <w:spacing w:before="0" w:after="0" w:line="480" w:lineRule="auto"/>
      </w:pPr>
      <w:proofErr w:type="spellStart"/>
      <w:r>
        <w:t>Prooijen</w:t>
      </w:r>
      <w:proofErr w:type="spellEnd"/>
      <w:r>
        <w:t>, J. and Song, M. (2021) ‘The cultural dimension of intergroup conspiracy theories’, </w:t>
      </w:r>
      <w:r>
        <w:rPr>
          <w:i/>
          <w:iCs/>
        </w:rPr>
        <w:t>The British journal of psychology</w:t>
      </w:r>
      <w:r>
        <w:t xml:space="preserve">, 112(2), pp. 455–473. Available at: </w:t>
      </w:r>
      <w:hyperlink r:id="rId20" w:history="1">
        <w:r>
          <w:rPr>
            <w:rStyle w:val="Hyperlink"/>
          </w:rPr>
          <w:t>https://doi.org/10.1111/bjop.12471</w:t>
        </w:r>
      </w:hyperlink>
      <w:r>
        <w:t>.</w:t>
      </w:r>
    </w:p>
    <w:p w14:paraId="74361285" w14:textId="77777777" w:rsidR="00F53A76" w:rsidRDefault="005A383F">
      <w:pPr>
        <w:pStyle w:val="NormalWeb"/>
        <w:numPr>
          <w:ilvl w:val="0"/>
          <w:numId w:val="5"/>
        </w:numPr>
        <w:spacing w:before="0" w:after="0" w:line="480" w:lineRule="auto"/>
      </w:pPr>
      <w:r>
        <w:t xml:space="preserve">Suntory (2024) </w:t>
      </w:r>
      <w:r>
        <w:rPr>
          <w:i/>
          <w:iCs/>
        </w:rPr>
        <w:t xml:space="preserve">About Us. </w:t>
      </w:r>
      <w:r>
        <w:t xml:space="preserve">Available at: </w:t>
      </w:r>
      <w:hyperlink r:id="rId21" w:history="1">
        <w:r>
          <w:rPr>
            <w:rStyle w:val="Hyperlink"/>
          </w:rPr>
          <w:t>Suntory | About Us</w:t>
        </w:r>
      </w:hyperlink>
      <w:r>
        <w:t>. (Accessed: 2</w:t>
      </w:r>
      <w:r>
        <w:rPr>
          <w:vertAlign w:val="superscript"/>
        </w:rPr>
        <w:t>nd</w:t>
      </w:r>
      <w:r>
        <w:t xml:space="preserve"> November 2024).</w:t>
      </w:r>
    </w:p>
    <w:p w14:paraId="74361286" w14:textId="77777777" w:rsidR="00F53A76" w:rsidRDefault="005A383F">
      <w:pPr>
        <w:pStyle w:val="NormalWeb"/>
        <w:numPr>
          <w:ilvl w:val="0"/>
          <w:numId w:val="5"/>
        </w:numPr>
        <w:spacing w:before="0" w:after="0" w:line="480" w:lineRule="auto"/>
      </w:pPr>
      <w:r>
        <w:t xml:space="preserve">Taras, V. </w:t>
      </w:r>
      <w:r>
        <w:rPr>
          <w:i/>
          <w:iCs/>
        </w:rPr>
        <w:t>et al</w:t>
      </w:r>
      <w:r>
        <w:t xml:space="preserve">. (2021) </w:t>
      </w:r>
      <w:r>
        <w:rPr>
          <w:i/>
          <w:iCs/>
        </w:rPr>
        <w:t>Research: How cultural differences can Impact    Global Teams</w:t>
      </w:r>
      <w:r>
        <w:t xml:space="preserve">. Harvard Business Review. Available at: </w:t>
      </w:r>
      <w:hyperlink r:id="rId22" w:history="1">
        <w:r>
          <w:rPr>
            <w:rStyle w:val="Hyperlink"/>
          </w:rPr>
          <w:t>https://hbr.org/2021/06/research-how-cultural-differences-can-impact-global-teams</w:t>
        </w:r>
      </w:hyperlink>
      <w:r>
        <w:t>. (Accessed: 2</w:t>
      </w:r>
      <w:r>
        <w:rPr>
          <w:vertAlign w:val="superscript"/>
        </w:rPr>
        <w:t>nd</w:t>
      </w:r>
      <w:r>
        <w:t xml:space="preserve"> November 2024).</w:t>
      </w:r>
    </w:p>
    <w:p w14:paraId="74361287" w14:textId="77777777" w:rsidR="00F53A76" w:rsidRDefault="005A383F">
      <w:pPr>
        <w:pStyle w:val="Listparagraf"/>
        <w:numPr>
          <w:ilvl w:val="0"/>
          <w:numId w:val="5"/>
        </w:numPr>
      </w:pPr>
      <w:r>
        <w:rPr>
          <w:rFonts w:ascii="Times New Roman" w:hAnsi="Times New Roman"/>
          <w:sz w:val="24"/>
          <w:szCs w:val="24"/>
        </w:rPr>
        <w:t xml:space="preserve">Ting-Toomey, S., &amp; Chung, L.C. (2012). </w:t>
      </w:r>
      <w:r>
        <w:rPr>
          <w:rFonts w:ascii="Times New Roman" w:hAnsi="Times New Roman"/>
          <w:i/>
          <w:iCs/>
          <w:sz w:val="24"/>
          <w:szCs w:val="24"/>
        </w:rPr>
        <w:t>Understanding Intercultural Communication</w:t>
      </w:r>
      <w:r>
        <w:rPr>
          <w:rFonts w:ascii="Times New Roman" w:hAnsi="Times New Roman"/>
          <w:sz w:val="24"/>
          <w:szCs w:val="24"/>
        </w:rPr>
        <w:t>. 2nd ed. Oxford: Oxford University Press.</w:t>
      </w:r>
    </w:p>
    <w:p w14:paraId="74361288" w14:textId="77777777" w:rsidR="00F53A76" w:rsidRDefault="005A383F">
      <w:pPr>
        <w:pStyle w:val="Listparagraf"/>
        <w:numPr>
          <w:ilvl w:val="0"/>
          <w:numId w:val="5"/>
        </w:numPr>
      </w:pPr>
      <w:r>
        <w:rPr>
          <w:rFonts w:ascii="Times New Roman" w:hAnsi="Times New Roman"/>
          <w:sz w:val="24"/>
          <w:szCs w:val="24"/>
        </w:rPr>
        <w:t>Wurtz, E. (2005). ‘Intercultural Communication on Web sites: a Cross-Cultural Analysis of Web sites from High-Context Cultures and Low-Context Cultures’,</w:t>
      </w:r>
      <w:r>
        <w:rPr>
          <w:rFonts w:ascii="Times New Roman" w:hAnsi="Times New Roman"/>
          <w:i/>
          <w:iCs/>
          <w:color w:val="2A2A2A"/>
          <w:sz w:val="24"/>
          <w:szCs w:val="24"/>
          <w:shd w:val="clear" w:color="auto" w:fill="FFFFFF"/>
        </w:rPr>
        <w:t xml:space="preserve"> </w:t>
      </w:r>
      <w:r>
        <w:rPr>
          <w:rFonts w:ascii="Times New Roman" w:hAnsi="Times New Roman"/>
          <w:i/>
          <w:iCs/>
          <w:sz w:val="24"/>
          <w:szCs w:val="24"/>
        </w:rPr>
        <w:lastRenderedPageBreak/>
        <w:t xml:space="preserve">Journal of Computer-Mediated Communication, </w:t>
      </w:r>
      <w:r>
        <w:rPr>
          <w:rFonts w:ascii="Times New Roman" w:hAnsi="Times New Roman"/>
          <w:sz w:val="24"/>
          <w:szCs w:val="24"/>
        </w:rPr>
        <w:t xml:space="preserve">11(1), pp. 274-299. Available at: </w:t>
      </w:r>
      <w:hyperlink r:id="rId23" w:history="1">
        <w:r>
          <w:rPr>
            <w:rStyle w:val="Hyperlink"/>
            <w:rFonts w:ascii="Times New Roman" w:hAnsi="Times New Roman"/>
            <w:sz w:val="24"/>
            <w:szCs w:val="24"/>
          </w:rPr>
          <w:t>https://doi.org/10.1111/j.1083-6101.2006.tb00313.x</w:t>
        </w:r>
      </w:hyperlink>
      <w:r>
        <w:rPr>
          <w:rFonts w:ascii="Times New Roman" w:hAnsi="Times New Roman"/>
          <w:sz w:val="24"/>
          <w:szCs w:val="24"/>
        </w:rPr>
        <w:t>. (Accessed: 8 November 2024).</w:t>
      </w:r>
    </w:p>
    <w:p w14:paraId="74361289" w14:textId="77777777" w:rsidR="00F53A76" w:rsidRDefault="00F53A76">
      <w:pPr>
        <w:rPr>
          <w:rFonts w:ascii="Times New Roman" w:hAnsi="Times New Roman"/>
          <w:sz w:val="24"/>
          <w:szCs w:val="24"/>
        </w:rPr>
      </w:pPr>
    </w:p>
    <w:p w14:paraId="7436128A" w14:textId="77777777" w:rsidR="00F53A76" w:rsidRDefault="00F53A76">
      <w:pPr>
        <w:rPr>
          <w:rFonts w:ascii="Times New Roman" w:hAnsi="Times New Roman"/>
          <w:sz w:val="24"/>
          <w:szCs w:val="24"/>
        </w:rPr>
      </w:pPr>
    </w:p>
    <w:sectPr w:rsidR="00F53A7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3611EB" w14:textId="77777777" w:rsidR="005A383F" w:rsidRDefault="005A383F">
      <w:pPr>
        <w:spacing w:after="0" w:line="240" w:lineRule="auto"/>
      </w:pPr>
      <w:r>
        <w:separator/>
      </w:r>
    </w:p>
  </w:endnote>
  <w:endnote w:type="continuationSeparator" w:id="0">
    <w:p w14:paraId="743611ED" w14:textId="77777777" w:rsidR="005A383F" w:rsidRDefault="005A3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3611E7" w14:textId="77777777" w:rsidR="005A383F" w:rsidRDefault="005A383F">
      <w:pPr>
        <w:spacing w:after="0" w:line="240" w:lineRule="auto"/>
      </w:pPr>
      <w:r>
        <w:rPr>
          <w:color w:val="000000"/>
        </w:rPr>
        <w:separator/>
      </w:r>
    </w:p>
  </w:footnote>
  <w:footnote w:type="continuationSeparator" w:id="0">
    <w:p w14:paraId="743611E9" w14:textId="77777777" w:rsidR="005A383F" w:rsidRDefault="005A3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D85822"/>
    <w:multiLevelType w:val="multilevel"/>
    <w:tmpl w:val="C11260D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CD326A1"/>
    <w:multiLevelType w:val="multilevel"/>
    <w:tmpl w:val="740697EC"/>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52BD6502"/>
    <w:multiLevelType w:val="multilevel"/>
    <w:tmpl w:val="7828F39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 w15:restartNumberingAfterBreak="0">
    <w:nsid w:val="59887749"/>
    <w:multiLevelType w:val="multilevel"/>
    <w:tmpl w:val="F0EE59C6"/>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4" w15:restartNumberingAfterBreak="0">
    <w:nsid w:val="77C51F0F"/>
    <w:multiLevelType w:val="multilevel"/>
    <w:tmpl w:val="5DCCB930"/>
    <w:lvl w:ilvl="0">
      <w:numFmt w:val="bullet"/>
      <w:lvlText w:val=""/>
      <w:lvlJc w:val="left"/>
      <w:pPr>
        <w:ind w:left="1524" w:hanging="360"/>
      </w:pPr>
      <w:rPr>
        <w:rFonts w:ascii="Symbol" w:hAnsi="Symbol"/>
      </w:rPr>
    </w:lvl>
    <w:lvl w:ilvl="1">
      <w:numFmt w:val="bullet"/>
      <w:lvlText w:val="o"/>
      <w:lvlJc w:val="left"/>
      <w:pPr>
        <w:ind w:left="2244" w:hanging="360"/>
      </w:pPr>
      <w:rPr>
        <w:rFonts w:ascii="Courier New" w:hAnsi="Courier New" w:cs="Courier New"/>
      </w:rPr>
    </w:lvl>
    <w:lvl w:ilvl="2">
      <w:numFmt w:val="bullet"/>
      <w:lvlText w:val=""/>
      <w:lvlJc w:val="left"/>
      <w:pPr>
        <w:ind w:left="2964" w:hanging="360"/>
      </w:pPr>
      <w:rPr>
        <w:rFonts w:ascii="Wingdings" w:hAnsi="Wingdings"/>
      </w:rPr>
    </w:lvl>
    <w:lvl w:ilvl="3">
      <w:numFmt w:val="bullet"/>
      <w:lvlText w:val=""/>
      <w:lvlJc w:val="left"/>
      <w:pPr>
        <w:ind w:left="3684" w:hanging="360"/>
      </w:pPr>
      <w:rPr>
        <w:rFonts w:ascii="Symbol" w:hAnsi="Symbol"/>
      </w:rPr>
    </w:lvl>
    <w:lvl w:ilvl="4">
      <w:numFmt w:val="bullet"/>
      <w:lvlText w:val="o"/>
      <w:lvlJc w:val="left"/>
      <w:pPr>
        <w:ind w:left="4404" w:hanging="360"/>
      </w:pPr>
      <w:rPr>
        <w:rFonts w:ascii="Courier New" w:hAnsi="Courier New" w:cs="Courier New"/>
      </w:rPr>
    </w:lvl>
    <w:lvl w:ilvl="5">
      <w:numFmt w:val="bullet"/>
      <w:lvlText w:val=""/>
      <w:lvlJc w:val="left"/>
      <w:pPr>
        <w:ind w:left="5124" w:hanging="360"/>
      </w:pPr>
      <w:rPr>
        <w:rFonts w:ascii="Wingdings" w:hAnsi="Wingdings"/>
      </w:rPr>
    </w:lvl>
    <w:lvl w:ilvl="6">
      <w:numFmt w:val="bullet"/>
      <w:lvlText w:val=""/>
      <w:lvlJc w:val="left"/>
      <w:pPr>
        <w:ind w:left="5844" w:hanging="360"/>
      </w:pPr>
      <w:rPr>
        <w:rFonts w:ascii="Symbol" w:hAnsi="Symbol"/>
      </w:rPr>
    </w:lvl>
    <w:lvl w:ilvl="7">
      <w:numFmt w:val="bullet"/>
      <w:lvlText w:val="o"/>
      <w:lvlJc w:val="left"/>
      <w:pPr>
        <w:ind w:left="6564" w:hanging="360"/>
      </w:pPr>
      <w:rPr>
        <w:rFonts w:ascii="Courier New" w:hAnsi="Courier New" w:cs="Courier New"/>
      </w:rPr>
    </w:lvl>
    <w:lvl w:ilvl="8">
      <w:numFmt w:val="bullet"/>
      <w:lvlText w:val=""/>
      <w:lvlJc w:val="left"/>
      <w:pPr>
        <w:ind w:left="7284" w:hanging="360"/>
      </w:pPr>
      <w:rPr>
        <w:rFonts w:ascii="Wingdings" w:hAnsi="Wingdings"/>
      </w:rPr>
    </w:lvl>
  </w:abstractNum>
  <w:num w:numId="1" w16cid:durableId="1323925398">
    <w:abstractNumId w:val="2"/>
  </w:num>
  <w:num w:numId="2" w16cid:durableId="214858875">
    <w:abstractNumId w:val="4"/>
  </w:num>
  <w:num w:numId="3" w16cid:durableId="1583180580">
    <w:abstractNumId w:val="1"/>
  </w:num>
  <w:num w:numId="4" w16cid:durableId="1155341156">
    <w:abstractNumId w:val="3"/>
  </w:num>
  <w:num w:numId="5" w16cid:durableId="1612203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53A76"/>
    <w:rsid w:val="00090237"/>
    <w:rsid w:val="0016665D"/>
    <w:rsid w:val="0028176B"/>
    <w:rsid w:val="00285B4D"/>
    <w:rsid w:val="002C2E90"/>
    <w:rsid w:val="00313A85"/>
    <w:rsid w:val="003A4CEA"/>
    <w:rsid w:val="004449CA"/>
    <w:rsid w:val="005863B5"/>
    <w:rsid w:val="00590710"/>
    <w:rsid w:val="005A383F"/>
    <w:rsid w:val="007276A2"/>
    <w:rsid w:val="00735249"/>
    <w:rsid w:val="007B38C3"/>
    <w:rsid w:val="00A87A0E"/>
    <w:rsid w:val="00BD4216"/>
    <w:rsid w:val="00E04AE4"/>
    <w:rsid w:val="00F53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611E3"/>
  <w15:docId w15:val="{D072CA2A-EEF6-484E-8706-D7F28EB72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9" w:lineRule="auto"/>
    </w:pPr>
  </w:style>
  <w:style w:type="paragraph" w:styleId="Titlu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Titlu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Titlu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Titlu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Titlu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Titlu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Titlu7">
    <w:name w:val="heading 7"/>
    <w:basedOn w:val="Normal"/>
    <w:next w:val="Normal"/>
    <w:pPr>
      <w:keepNext/>
      <w:keepLines/>
      <w:spacing w:before="40" w:after="0"/>
      <w:outlineLvl w:val="6"/>
    </w:pPr>
    <w:rPr>
      <w:rFonts w:eastAsia="Times New Roman"/>
      <w:color w:val="595959"/>
    </w:rPr>
  </w:style>
  <w:style w:type="paragraph" w:styleId="Titlu8">
    <w:name w:val="heading 8"/>
    <w:basedOn w:val="Normal"/>
    <w:next w:val="Normal"/>
    <w:pPr>
      <w:keepNext/>
      <w:keepLines/>
      <w:spacing w:after="0"/>
      <w:outlineLvl w:val="7"/>
    </w:pPr>
    <w:rPr>
      <w:rFonts w:eastAsia="Times New Roman"/>
      <w:i/>
      <w:iCs/>
      <w:color w:val="272727"/>
    </w:rPr>
  </w:style>
  <w:style w:type="paragraph" w:styleId="Titlu9">
    <w:name w:val="heading 9"/>
    <w:basedOn w:val="Normal"/>
    <w:next w:val="Normal"/>
    <w:pPr>
      <w:keepNext/>
      <w:keepLines/>
      <w:spacing w:after="0"/>
      <w:outlineLvl w:val="8"/>
    </w:pPr>
    <w:rPr>
      <w:rFonts w:eastAsia="Times New Roman"/>
      <w:color w:val="272727"/>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rPr>
      <w:rFonts w:ascii="Aptos Display" w:eastAsia="Times New Roman" w:hAnsi="Aptos Display" w:cs="Times New Roman"/>
      <w:color w:val="0F4761"/>
      <w:sz w:val="40"/>
      <w:szCs w:val="40"/>
    </w:rPr>
  </w:style>
  <w:style w:type="character" w:customStyle="1" w:styleId="Titlu2Caracter">
    <w:name w:val="Titlu 2 Caracter"/>
    <w:basedOn w:val="Fontdeparagrafimplicit"/>
    <w:rPr>
      <w:rFonts w:ascii="Aptos Display" w:eastAsia="Times New Roman" w:hAnsi="Aptos Display" w:cs="Times New Roman"/>
      <w:color w:val="0F4761"/>
      <w:sz w:val="32"/>
      <w:szCs w:val="32"/>
    </w:rPr>
  </w:style>
  <w:style w:type="character" w:customStyle="1" w:styleId="Titlu3Caracter">
    <w:name w:val="Titlu 3 Caracter"/>
    <w:basedOn w:val="Fontdeparagrafimplicit"/>
    <w:rPr>
      <w:rFonts w:eastAsia="Times New Roman" w:cs="Times New Roman"/>
      <w:color w:val="0F4761"/>
      <w:sz w:val="28"/>
      <w:szCs w:val="28"/>
    </w:rPr>
  </w:style>
  <w:style w:type="character" w:customStyle="1" w:styleId="Titlu4Caracter">
    <w:name w:val="Titlu 4 Caracter"/>
    <w:basedOn w:val="Fontdeparagrafimplicit"/>
    <w:rPr>
      <w:rFonts w:eastAsia="Times New Roman" w:cs="Times New Roman"/>
      <w:i/>
      <w:iCs/>
      <w:color w:val="0F4761"/>
    </w:rPr>
  </w:style>
  <w:style w:type="character" w:customStyle="1" w:styleId="Titlu5Caracter">
    <w:name w:val="Titlu 5 Caracter"/>
    <w:basedOn w:val="Fontdeparagrafimplicit"/>
    <w:rPr>
      <w:rFonts w:eastAsia="Times New Roman" w:cs="Times New Roman"/>
      <w:color w:val="0F4761"/>
    </w:rPr>
  </w:style>
  <w:style w:type="character" w:customStyle="1" w:styleId="Titlu6Caracter">
    <w:name w:val="Titlu 6 Caracter"/>
    <w:basedOn w:val="Fontdeparagrafimplicit"/>
    <w:rPr>
      <w:rFonts w:eastAsia="Times New Roman" w:cs="Times New Roman"/>
      <w:i/>
      <w:iCs/>
      <w:color w:val="595959"/>
    </w:rPr>
  </w:style>
  <w:style w:type="character" w:customStyle="1" w:styleId="Titlu7Caracter">
    <w:name w:val="Titlu 7 Caracter"/>
    <w:basedOn w:val="Fontdeparagrafimplicit"/>
    <w:rPr>
      <w:rFonts w:eastAsia="Times New Roman" w:cs="Times New Roman"/>
      <w:color w:val="595959"/>
    </w:rPr>
  </w:style>
  <w:style w:type="character" w:customStyle="1" w:styleId="Titlu8Caracter">
    <w:name w:val="Titlu 8 Caracter"/>
    <w:basedOn w:val="Fontdeparagrafimplicit"/>
    <w:rPr>
      <w:rFonts w:eastAsia="Times New Roman" w:cs="Times New Roman"/>
      <w:i/>
      <w:iCs/>
      <w:color w:val="272727"/>
    </w:rPr>
  </w:style>
  <w:style w:type="character" w:customStyle="1" w:styleId="Titlu9Caracter">
    <w:name w:val="Titlu 9 Caracter"/>
    <w:basedOn w:val="Fontdeparagrafimplicit"/>
    <w:rPr>
      <w:rFonts w:eastAsia="Times New Roman" w:cs="Times New Roman"/>
      <w:color w:val="272727"/>
    </w:rPr>
  </w:style>
  <w:style w:type="paragraph" w:styleId="Titlu">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uCaracter">
    <w:name w:val="Titlu Caracter"/>
    <w:basedOn w:val="Fontdeparagrafimplicit"/>
    <w:rPr>
      <w:rFonts w:ascii="Aptos Display" w:eastAsia="Times New Roman" w:hAnsi="Aptos Display" w:cs="Times New Roman"/>
      <w:spacing w:val="-10"/>
      <w:kern w:val="3"/>
      <w:sz w:val="56"/>
      <w:szCs w:val="56"/>
    </w:rPr>
  </w:style>
  <w:style w:type="paragraph" w:styleId="Subtitlu">
    <w:name w:val="Subtitle"/>
    <w:basedOn w:val="Normal"/>
    <w:next w:val="Normal"/>
    <w:uiPriority w:val="11"/>
    <w:qFormat/>
    <w:rPr>
      <w:rFonts w:eastAsia="Times New Roman"/>
      <w:color w:val="595959"/>
      <w:spacing w:val="15"/>
      <w:sz w:val="28"/>
      <w:szCs w:val="28"/>
    </w:rPr>
  </w:style>
  <w:style w:type="character" w:customStyle="1" w:styleId="SubtitluCaracter">
    <w:name w:val="Subtitlu Caracter"/>
    <w:basedOn w:val="Fontdeparagrafimplicit"/>
    <w:rPr>
      <w:rFonts w:eastAsia="Times New Roman" w:cs="Times New Roman"/>
      <w:color w:val="595959"/>
      <w:spacing w:val="15"/>
      <w:sz w:val="28"/>
      <w:szCs w:val="28"/>
    </w:rPr>
  </w:style>
  <w:style w:type="paragraph" w:styleId="Citat">
    <w:name w:val="Quote"/>
    <w:basedOn w:val="Normal"/>
    <w:next w:val="Normal"/>
    <w:pPr>
      <w:spacing w:before="160"/>
      <w:jc w:val="center"/>
    </w:pPr>
    <w:rPr>
      <w:i/>
      <w:iCs/>
      <w:color w:val="404040"/>
    </w:rPr>
  </w:style>
  <w:style w:type="character" w:customStyle="1" w:styleId="CitatCaracter">
    <w:name w:val="Citat Caracter"/>
    <w:basedOn w:val="Fontdeparagrafimplicit"/>
    <w:rPr>
      <w:i/>
      <w:iCs/>
      <w:color w:val="404040"/>
    </w:rPr>
  </w:style>
  <w:style w:type="paragraph" w:styleId="Listparagraf">
    <w:name w:val="List Paragraph"/>
    <w:basedOn w:val="Normal"/>
    <w:pPr>
      <w:ind w:left="720"/>
      <w:contextualSpacing/>
    </w:p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CitatintensCaracter">
    <w:name w:val="Citat intens Caracter"/>
    <w:basedOn w:val="Fontdeparagrafimplicit"/>
    <w:rPr>
      <w:i/>
      <w:iCs/>
      <w:color w:val="0F4761"/>
    </w:rPr>
  </w:style>
  <w:style w:type="character" w:styleId="Referireintens">
    <w:name w:val="Intense Reference"/>
    <w:basedOn w:val="Fontdeparagrafimplicit"/>
    <w:rPr>
      <w:b/>
      <w:bCs/>
      <w:smallCaps/>
      <w:color w:val="0F4761"/>
      <w:spacing w:val="5"/>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Fontdeparagrafimplicit"/>
    <w:rPr>
      <w:color w:val="467886"/>
      <w:u w:val="single"/>
    </w:rPr>
  </w:style>
  <w:style w:type="character" w:styleId="MeniuneNerezolvat">
    <w:name w:val="Unresolved Mention"/>
    <w:basedOn w:val="Fontdeparagrafimplicit"/>
    <w:rPr>
      <w:color w:val="605E5C"/>
      <w:shd w:val="clear" w:color="auto" w:fill="E1DFDD"/>
    </w:rPr>
  </w:style>
  <w:style w:type="character" w:customStyle="1" w:styleId="url">
    <w:name w:val="url"/>
    <w:basedOn w:val="Fontdeparagrafimplici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630759">
      <w:bodyDiv w:val="1"/>
      <w:marLeft w:val="0"/>
      <w:marRight w:val="0"/>
      <w:marTop w:val="0"/>
      <w:marBottom w:val="0"/>
      <w:divBdr>
        <w:top w:val="none" w:sz="0" w:space="0" w:color="auto"/>
        <w:left w:val="none" w:sz="0" w:space="0" w:color="auto"/>
        <w:bottom w:val="none" w:sz="0" w:space="0" w:color="auto"/>
        <w:right w:val="none" w:sz="0" w:space="0" w:color="auto"/>
      </w:divBdr>
    </w:div>
    <w:div w:id="91435627">
      <w:bodyDiv w:val="1"/>
      <w:marLeft w:val="0"/>
      <w:marRight w:val="0"/>
      <w:marTop w:val="0"/>
      <w:marBottom w:val="0"/>
      <w:divBdr>
        <w:top w:val="none" w:sz="0" w:space="0" w:color="auto"/>
        <w:left w:val="none" w:sz="0" w:space="0" w:color="auto"/>
        <w:bottom w:val="none" w:sz="0" w:space="0" w:color="auto"/>
        <w:right w:val="none" w:sz="0" w:space="0" w:color="auto"/>
      </w:divBdr>
    </w:div>
    <w:div w:id="105001247">
      <w:bodyDiv w:val="1"/>
      <w:marLeft w:val="0"/>
      <w:marRight w:val="0"/>
      <w:marTop w:val="0"/>
      <w:marBottom w:val="0"/>
      <w:divBdr>
        <w:top w:val="none" w:sz="0" w:space="0" w:color="auto"/>
        <w:left w:val="none" w:sz="0" w:space="0" w:color="auto"/>
        <w:bottom w:val="none" w:sz="0" w:space="0" w:color="auto"/>
        <w:right w:val="none" w:sz="0" w:space="0" w:color="auto"/>
      </w:divBdr>
    </w:div>
    <w:div w:id="149448060">
      <w:bodyDiv w:val="1"/>
      <w:marLeft w:val="0"/>
      <w:marRight w:val="0"/>
      <w:marTop w:val="0"/>
      <w:marBottom w:val="0"/>
      <w:divBdr>
        <w:top w:val="none" w:sz="0" w:space="0" w:color="auto"/>
        <w:left w:val="none" w:sz="0" w:space="0" w:color="auto"/>
        <w:bottom w:val="none" w:sz="0" w:space="0" w:color="auto"/>
        <w:right w:val="none" w:sz="0" w:space="0" w:color="auto"/>
      </w:divBdr>
    </w:div>
    <w:div w:id="177889242">
      <w:bodyDiv w:val="1"/>
      <w:marLeft w:val="0"/>
      <w:marRight w:val="0"/>
      <w:marTop w:val="0"/>
      <w:marBottom w:val="0"/>
      <w:divBdr>
        <w:top w:val="none" w:sz="0" w:space="0" w:color="auto"/>
        <w:left w:val="none" w:sz="0" w:space="0" w:color="auto"/>
        <w:bottom w:val="none" w:sz="0" w:space="0" w:color="auto"/>
        <w:right w:val="none" w:sz="0" w:space="0" w:color="auto"/>
      </w:divBdr>
    </w:div>
    <w:div w:id="186798767">
      <w:bodyDiv w:val="1"/>
      <w:marLeft w:val="0"/>
      <w:marRight w:val="0"/>
      <w:marTop w:val="0"/>
      <w:marBottom w:val="0"/>
      <w:divBdr>
        <w:top w:val="none" w:sz="0" w:space="0" w:color="auto"/>
        <w:left w:val="none" w:sz="0" w:space="0" w:color="auto"/>
        <w:bottom w:val="none" w:sz="0" w:space="0" w:color="auto"/>
        <w:right w:val="none" w:sz="0" w:space="0" w:color="auto"/>
      </w:divBdr>
    </w:div>
    <w:div w:id="191576123">
      <w:bodyDiv w:val="1"/>
      <w:marLeft w:val="0"/>
      <w:marRight w:val="0"/>
      <w:marTop w:val="0"/>
      <w:marBottom w:val="0"/>
      <w:divBdr>
        <w:top w:val="none" w:sz="0" w:space="0" w:color="auto"/>
        <w:left w:val="none" w:sz="0" w:space="0" w:color="auto"/>
        <w:bottom w:val="none" w:sz="0" w:space="0" w:color="auto"/>
        <w:right w:val="none" w:sz="0" w:space="0" w:color="auto"/>
      </w:divBdr>
    </w:div>
    <w:div w:id="195167036">
      <w:bodyDiv w:val="1"/>
      <w:marLeft w:val="0"/>
      <w:marRight w:val="0"/>
      <w:marTop w:val="0"/>
      <w:marBottom w:val="0"/>
      <w:divBdr>
        <w:top w:val="none" w:sz="0" w:space="0" w:color="auto"/>
        <w:left w:val="none" w:sz="0" w:space="0" w:color="auto"/>
        <w:bottom w:val="none" w:sz="0" w:space="0" w:color="auto"/>
        <w:right w:val="none" w:sz="0" w:space="0" w:color="auto"/>
      </w:divBdr>
    </w:div>
    <w:div w:id="206065444">
      <w:bodyDiv w:val="1"/>
      <w:marLeft w:val="0"/>
      <w:marRight w:val="0"/>
      <w:marTop w:val="0"/>
      <w:marBottom w:val="0"/>
      <w:divBdr>
        <w:top w:val="none" w:sz="0" w:space="0" w:color="auto"/>
        <w:left w:val="none" w:sz="0" w:space="0" w:color="auto"/>
        <w:bottom w:val="none" w:sz="0" w:space="0" w:color="auto"/>
        <w:right w:val="none" w:sz="0" w:space="0" w:color="auto"/>
      </w:divBdr>
    </w:div>
    <w:div w:id="291636651">
      <w:bodyDiv w:val="1"/>
      <w:marLeft w:val="0"/>
      <w:marRight w:val="0"/>
      <w:marTop w:val="0"/>
      <w:marBottom w:val="0"/>
      <w:divBdr>
        <w:top w:val="none" w:sz="0" w:space="0" w:color="auto"/>
        <w:left w:val="none" w:sz="0" w:space="0" w:color="auto"/>
        <w:bottom w:val="none" w:sz="0" w:space="0" w:color="auto"/>
        <w:right w:val="none" w:sz="0" w:space="0" w:color="auto"/>
      </w:divBdr>
    </w:div>
    <w:div w:id="358898541">
      <w:bodyDiv w:val="1"/>
      <w:marLeft w:val="0"/>
      <w:marRight w:val="0"/>
      <w:marTop w:val="0"/>
      <w:marBottom w:val="0"/>
      <w:divBdr>
        <w:top w:val="none" w:sz="0" w:space="0" w:color="auto"/>
        <w:left w:val="none" w:sz="0" w:space="0" w:color="auto"/>
        <w:bottom w:val="none" w:sz="0" w:space="0" w:color="auto"/>
        <w:right w:val="none" w:sz="0" w:space="0" w:color="auto"/>
      </w:divBdr>
    </w:div>
    <w:div w:id="371617248">
      <w:bodyDiv w:val="1"/>
      <w:marLeft w:val="0"/>
      <w:marRight w:val="0"/>
      <w:marTop w:val="0"/>
      <w:marBottom w:val="0"/>
      <w:divBdr>
        <w:top w:val="none" w:sz="0" w:space="0" w:color="auto"/>
        <w:left w:val="none" w:sz="0" w:space="0" w:color="auto"/>
        <w:bottom w:val="none" w:sz="0" w:space="0" w:color="auto"/>
        <w:right w:val="none" w:sz="0" w:space="0" w:color="auto"/>
      </w:divBdr>
    </w:div>
    <w:div w:id="374737270">
      <w:bodyDiv w:val="1"/>
      <w:marLeft w:val="0"/>
      <w:marRight w:val="0"/>
      <w:marTop w:val="0"/>
      <w:marBottom w:val="0"/>
      <w:divBdr>
        <w:top w:val="none" w:sz="0" w:space="0" w:color="auto"/>
        <w:left w:val="none" w:sz="0" w:space="0" w:color="auto"/>
        <w:bottom w:val="none" w:sz="0" w:space="0" w:color="auto"/>
        <w:right w:val="none" w:sz="0" w:space="0" w:color="auto"/>
      </w:divBdr>
    </w:div>
    <w:div w:id="382752764">
      <w:bodyDiv w:val="1"/>
      <w:marLeft w:val="0"/>
      <w:marRight w:val="0"/>
      <w:marTop w:val="0"/>
      <w:marBottom w:val="0"/>
      <w:divBdr>
        <w:top w:val="none" w:sz="0" w:space="0" w:color="auto"/>
        <w:left w:val="none" w:sz="0" w:space="0" w:color="auto"/>
        <w:bottom w:val="none" w:sz="0" w:space="0" w:color="auto"/>
        <w:right w:val="none" w:sz="0" w:space="0" w:color="auto"/>
      </w:divBdr>
    </w:div>
    <w:div w:id="383022294">
      <w:bodyDiv w:val="1"/>
      <w:marLeft w:val="0"/>
      <w:marRight w:val="0"/>
      <w:marTop w:val="0"/>
      <w:marBottom w:val="0"/>
      <w:divBdr>
        <w:top w:val="none" w:sz="0" w:space="0" w:color="auto"/>
        <w:left w:val="none" w:sz="0" w:space="0" w:color="auto"/>
        <w:bottom w:val="none" w:sz="0" w:space="0" w:color="auto"/>
        <w:right w:val="none" w:sz="0" w:space="0" w:color="auto"/>
      </w:divBdr>
    </w:div>
    <w:div w:id="429200145">
      <w:bodyDiv w:val="1"/>
      <w:marLeft w:val="0"/>
      <w:marRight w:val="0"/>
      <w:marTop w:val="0"/>
      <w:marBottom w:val="0"/>
      <w:divBdr>
        <w:top w:val="none" w:sz="0" w:space="0" w:color="auto"/>
        <w:left w:val="none" w:sz="0" w:space="0" w:color="auto"/>
        <w:bottom w:val="none" w:sz="0" w:space="0" w:color="auto"/>
        <w:right w:val="none" w:sz="0" w:space="0" w:color="auto"/>
      </w:divBdr>
    </w:div>
    <w:div w:id="451285870">
      <w:bodyDiv w:val="1"/>
      <w:marLeft w:val="0"/>
      <w:marRight w:val="0"/>
      <w:marTop w:val="0"/>
      <w:marBottom w:val="0"/>
      <w:divBdr>
        <w:top w:val="none" w:sz="0" w:space="0" w:color="auto"/>
        <w:left w:val="none" w:sz="0" w:space="0" w:color="auto"/>
        <w:bottom w:val="none" w:sz="0" w:space="0" w:color="auto"/>
        <w:right w:val="none" w:sz="0" w:space="0" w:color="auto"/>
      </w:divBdr>
    </w:div>
    <w:div w:id="461845183">
      <w:bodyDiv w:val="1"/>
      <w:marLeft w:val="0"/>
      <w:marRight w:val="0"/>
      <w:marTop w:val="0"/>
      <w:marBottom w:val="0"/>
      <w:divBdr>
        <w:top w:val="none" w:sz="0" w:space="0" w:color="auto"/>
        <w:left w:val="none" w:sz="0" w:space="0" w:color="auto"/>
        <w:bottom w:val="none" w:sz="0" w:space="0" w:color="auto"/>
        <w:right w:val="none" w:sz="0" w:space="0" w:color="auto"/>
      </w:divBdr>
    </w:div>
    <w:div w:id="470755147">
      <w:bodyDiv w:val="1"/>
      <w:marLeft w:val="0"/>
      <w:marRight w:val="0"/>
      <w:marTop w:val="0"/>
      <w:marBottom w:val="0"/>
      <w:divBdr>
        <w:top w:val="none" w:sz="0" w:space="0" w:color="auto"/>
        <w:left w:val="none" w:sz="0" w:space="0" w:color="auto"/>
        <w:bottom w:val="none" w:sz="0" w:space="0" w:color="auto"/>
        <w:right w:val="none" w:sz="0" w:space="0" w:color="auto"/>
      </w:divBdr>
    </w:div>
    <w:div w:id="480080422">
      <w:bodyDiv w:val="1"/>
      <w:marLeft w:val="0"/>
      <w:marRight w:val="0"/>
      <w:marTop w:val="0"/>
      <w:marBottom w:val="0"/>
      <w:divBdr>
        <w:top w:val="none" w:sz="0" w:space="0" w:color="auto"/>
        <w:left w:val="none" w:sz="0" w:space="0" w:color="auto"/>
        <w:bottom w:val="none" w:sz="0" w:space="0" w:color="auto"/>
        <w:right w:val="none" w:sz="0" w:space="0" w:color="auto"/>
      </w:divBdr>
    </w:div>
    <w:div w:id="484664062">
      <w:bodyDiv w:val="1"/>
      <w:marLeft w:val="0"/>
      <w:marRight w:val="0"/>
      <w:marTop w:val="0"/>
      <w:marBottom w:val="0"/>
      <w:divBdr>
        <w:top w:val="none" w:sz="0" w:space="0" w:color="auto"/>
        <w:left w:val="none" w:sz="0" w:space="0" w:color="auto"/>
        <w:bottom w:val="none" w:sz="0" w:space="0" w:color="auto"/>
        <w:right w:val="none" w:sz="0" w:space="0" w:color="auto"/>
      </w:divBdr>
    </w:div>
    <w:div w:id="507797582">
      <w:bodyDiv w:val="1"/>
      <w:marLeft w:val="0"/>
      <w:marRight w:val="0"/>
      <w:marTop w:val="0"/>
      <w:marBottom w:val="0"/>
      <w:divBdr>
        <w:top w:val="none" w:sz="0" w:space="0" w:color="auto"/>
        <w:left w:val="none" w:sz="0" w:space="0" w:color="auto"/>
        <w:bottom w:val="none" w:sz="0" w:space="0" w:color="auto"/>
        <w:right w:val="none" w:sz="0" w:space="0" w:color="auto"/>
      </w:divBdr>
    </w:div>
    <w:div w:id="509490238">
      <w:bodyDiv w:val="1"/>
      <w:marLeft w:val="0"/>
      <w:marRight w:val="0"/>
      <w:marTop w:val="0"/>
      <w:marBottom w:val="0"/>
      <w:divBdr>
        <w:top w:val="none" w:sz="0" w:space="0" w:color="auto"/>
        <w:left w:val="none" w:sz="0" w:space="0" w:color="auto"/>
        <w:bottom w:val="none" w:sz="0" w:space="0" w:color="auto"/>
        <w:right w:val="none" w:sz="0" w:space="0" w:color="auto"/>
      </w:divBdr>
    </w:div>
    <w:div w:id="564878862">
      <w:bodyDiv w:val="1"/>
      <w:marLeft w:val="0"/>
      <w:marRight w:val="0"/>
      <w:marTop w:val="0"/>
      <w:marBottom w:val="0"/>
      <w:divBdr>
        <w:top w:val="none" w:sz="0" w:space="0" w:color="auto"/>
        <w:left w:val="none" w:sz="0" w:space="0" w:color="auto"/>
        <w:bottom w:val="none" w:sz="0" w:space="0" w:color="auto"/>
        <w:right w:val="none" w:sz="0" w:space="0" w:color="auto"/>
      </w:divBdr>
    </w:div>
    <w:div w:id="596402697">
      <w:bodyDiv w:val="1"/>
      <w:marLeft w:val="0"/>
      <w:marRight w:val="0"/>
      <w:marTop w:val="0"/>
      <w:marBottom w:val="0"/>
      <w:divBdr>
        <w:top w:val="none" w:sz="0" w:space="0" w:color="auto"/>
        <w:left w:val="none" w:sz="0" w:space="0" w:color="auto"/>
        <w:bottom w:val="none" w:sz="0" w:space="0" w:color="auto"/>
        <w:right w:val="none" w:sz="0" w:space="0" w:color="auto"/>
      </w:divBdr>
    </w:div>
    <w:div w:id="602029373">
      <w:bodyDiv w:val="1"/>
      <w:marLeft w:val="0"/>
      <w:marRight w:val="0"/>
      <w:marTop w:val="0"/>
      <w:marBottom w:val="0"/>
      <w:divBdr>
        <w:top w:val="none" w:sz="0" w:space="0" w:color="auto"/>
        <w:left w:val="none" w:sz="0" w:space="0" w:color="auto"/>
        <w:bottom w:val="none" w:sz="0" w:space="0" w:color="auto"/>
        <w:right w:val="none" w:sz="0" w:space="0" w:color="auto"/>
      </w:divBdr>
    </w:div>
    <w:div w:id="698895395">
      <w:bodyDiv w:val="1"/>
      <w:marLeft w:val="0"/>
      <w:marRight w:val="0"/>
      <w:marTop w:val="0"/>
      <w:marBottom w:val="0"/>
      <w:divBdr>
        <w:top w:val="none" w:sz="0" w:space="0" w:color="auto"/>
        <w:left w:val="none" w:sz="0" w:space="0" w:color="auto"/>
        <w:bottom w:val="none" w:sz="0" w:space="0" w:color="auto"/>
        <w:right w:val="none" w:sz="0" w:space="0" w:color="auto"/>
      </w:divBdr>
    </w:div>
    <w:div w:id="759639055">
      <w:bodyDiv w:val="1"/>
      <w:marLeft w:val="0"/>
      <w:marRight w:val="0"/>
      <w:marTop w:val="0"/>
      <w:marBottom w:val="0"/>
      <w:divBdr>
        <w:top w:val="none" w:sz="0" w:space="0" w:color="auto"/>
        <w:left w:val="none" w:sz="0" w:space="0" w:color="auto"/>
        <w:bottom w:val="none" w:sz="0" w:space="0" w:color="auto"/>
        <w:right w:val="none" w:sz="0" w:space="0" w:color="auto"/>
      </w:divBdr>
    </w:div>
    <w:div w:id="783814748">
      <w:bodyDiv w:val="1"/>
      <w:marLeft w:val="0"/>
      <w:marRight w:val="0"/>
      <w:marTop w:val="0"/>
      <w:marBottom w:val="0"/>
      <w:divBdr>
        <w:top w:val="none" w:sz="0" w:space="0" w:color="auto"/>
        <w:left w:val="none" w:sz="0" w:space="0" w:color="auto"/>
        <w:bottom w:val="none" w:sz="0" w:space="0" w:color="auto"/>
        <w:right w:val="none" w:sz="0" w:space="0" w:color="auto"/>
      </w:divBdr>
    </w:div>
    <w:div w:id="833641370">
      <w:bodyDiv w:val="1"/>
      <w:marLeft w:val="0"/>
      <w:marRight w:val="0"/>
      <w:marTop w:val="0"/>
      <w:marBottom w:val="0"/>
      <w:divBdr>
        <w:top w:val="none" w:sz="0" w:space="0" w:color="auto"/>
        <w:left w:val="none" w:sz="0" w:space="0" w:color="auto"/>
        <w:bottom w:val="none" w:sz="0" w:space="0" w:color="auto"/>
        <w:right w:val="none" w:sz="0" w:space="0" w:color="auto"/>
      </w:divBdr>
    </w:div>
    <w:div w:id="843514570">
      <w:bodyDiv w:val="1"/>
      <w:marLeft w:val="0"/>
      <w:marRight w:val="0"/>
      <w:marTop w:val="0"/>
      <w:marBottom w:val="0"/>
      <w:divBdr>
        <w:top w:val="none" w:sz="0" w:space="0" w:color="auto"/>
        <w:left w:val="none" w:sz="0" w:space="0" w:color="auto"/>
        <w:bottom w:val="none" w:sz="0" w:space="0" w:color="auto"/>
        <w:right w:val="none" w:sz="0" w:space="0" w:color="auto"/>
      </w:divBdr>
    </w:div>
    <w:div w:id="863250626">
      <w:bodyDiv w:val="1"/>
      <w:marLeft w:val="0"/>
      <w:marRight w:val="0"/>
      <w:marTop w:val="0"/>
      <w:marBottom w:val="0"/>
      <w:divBdr>
        <w:top w:val="none" w:sz="0" w:space="0" w:color="auto"/>
        <w:left w:val="none" w:sz="0" w:space="0" w:color="auto"/>
        <w:bottom w:val="none" w:sz="0" w:space="0" w:color="auto"/>
        <w:right w:val="none" w:sz="0" w:space="0" w:color="auto"/>
      </w:divBdr>
    </w:div>
    <w:div w:id="868253671">
      <w:bodyDiv w:val="1"/>
      <w:marLeft w:val="0"/>
      <w:marRight w:val="0"/>
      <w:marTop w:val="0"/>
      <w:marBottom w:val="0"/>
      <w:divBdr>
        <w:top w:val="none" w:sz="0" w:space="0" w:color="auto"/>
        <w:left w:val="none" w:sz="0" w:space="0" w:color="auto"/>
        <w:bottom w:val="none" w:sz="0" w:space="0" w:color="auto"/>
        <w:right w:val="none" w:sz="0" w:space="0" w:color="auto"/>
      </w:divBdr>
    </w:div>
    <w:div w:id="879979960">
      <w:bodyDiv w:val="1"/>
      <w:marLeft w:val="0"/>
      <w:marRight w:val="0"/>
      <w:marTop w:val="0"/>
      <w:marBottom w:val="0"/>
      <w:divBdr>
        <w:top w:val="none" w:sz="0" w:space="0" w:color="auto"/>
        <w:left w:val="none" w:sz="0" w:space="0" w:color="auto"/>
        <w:bottom w:val="none" w:sz="0" w:space="0" w:color="auto"/>
        <w:right w:val="none" w:sz="0" w:space="0" w:color="auto"/>
      </w:divBdr>
    </w:div>
    <w:div w:id="895044386">
      <w:bodyDiv w:val="1"/>
      <w:marLeft w:val="0"/>
      <w:marRight w:val="0"/>
      <w:marTop w:val="0"/>
      <w:marBottom w:val="0"/>
      <w:divBdr>
        <w:top w:val="none" w:sz="0" w:space="0" w:color="auto"/>
        <w:left w:val="none" w:sz="0" w:space="0" w:color="auto"/>
        <w:bottom w:val="none" w:sz="0" w:space="0" w:color="auto"/>
        <w:right w:val="none" w:sz="0" w:space="0" w:color="auto"/>
      </w:divBdr>
    </w:div>
    <w:div w:id="943654641">
      <w:bodyDiv w:val="1"/>
      <w:marLeft w:val="0"/>
      <w:marRight w:val="0"/>
      <w:marTop w:val="0"/>
      <w:marBottom w:val="0"/>
      <w:divBdr>
        <w:top w:val="none" w:sz="0" w:space="0" w:color="auto"/>
        <w:left w:val="none" w:sz="0" w:space="0" w:color="auto"/>
        <w:bottom w:val="none" w:sz="0" w:space="0" w:color="auto"/>
        <w:right w:val="none" w:sz="0" w:space="0" w:color="auto"/>
      </w:divBdr>
    </w:div>
    <w:div w:id="958031814">
      <w:bodyDiv w:val="1"/>
      <w:marLeft w:val="0"/>
      <w:marRight w:val="0"/>
      <w:marTop w:val="0"/>
      <w:marBottom w:val="0"/>
      <w:divBdr>
        <w:top w:val="none" w:sz="0" w:space="0" w:color="auto"/>
        <w:left w:val="none" w:sz="0" w:space="0" w:color="auto"/>
        <w:bottom w:val="none" w:sz="0" w:space="0" w:color="auto"/>
        <w:right w:val="none" w:sz="0" w:space="0" w:color="auto"/>
      </w:divBdr>
    </w:div>
    <w:div w:id="1200706262">
      <w:bodyDiv w:val="1"/>
      <w:marLeft w:val="0"/>
      <w:marRight w:val="0"/>
      <w:marTop w:val="0"/>
      <w:marBottom w:val="0"/>
      <w:divBdr>
        <w:top w:val="none" w:sz="0" w:space="0" w:color="auto"/>
        <w:left w:val="none" w:sz="0" w:space="0" w:color="auto"/>
        <w:bottom w:val="none" w:sz="0" w:space="0" w:color="auto"/>
        <w:right w:val="none" w:sz="0" w:space="0" w:color="auto"/>
      </w:divBdr>
    </w:div>
    <w:div w:id="1231773227">
      <w:bodyDiv w:val="1"/>
      <w:marLeft w:val="0"/>
      <w:marRight w:val="0"/>
      <w:marTop w:val="0"/>
      <w:marBottom w:val="0"/>
      <w:divBdr>
        <w:top w:val="none" w:sz="0" w:space="0" w:color="auto"/>
        <w:left w:val="none" w:sz="0" w:space="0" w:color="auto"/>
        <w:bottom w:val="none" w:sz="0" w:space="0" w:color="auto"/>
        <w:right w:val="none" w:sz="0" w:space="0" w:color="auto"/>
      </w:divBdr>
    </w:div>
    <w:div w:id="1233737755">
      <w:bodyDiv w:val="1"/>
      <w:marLeft w:val="0"/>
      <w:marRight w:val="0"/>
      <w:marTop w:val="0"/>
      <w:marBottom w:val="0"/>
      <w:divBdr>
        <w:top w:val="none" w:sz="0" w:space="0" w:color="auto"/>
        <w:left w:val="none" w:sz="0" w:space="0" w:color="auto"/>
        <w:bottom w:val="none" w:sz="0" w:space="0" w:color="auto"/>
        <w:right w:val="none" w:sz="0" w:space="0" w:color="auto"/>
      </w:divBdr>
    </w:div>
    <w:div w:id="1287588900">
      <w:bodyDiv w:val="1"/>
      <w:marLeft w:val="0"/>
      <w:marRight w:val="0"/>
      <w:marTop w:val="0"/>
      <w:marBottom w:val="0"/>
      <w:divBdr>
        <w:top w:val="none" w:sz="0" w:space="0" w:color="auto"/>
        <w:left w:val="none" w:sz="0" w:space="0" w:color="auto"/>
        <w:bottom w:val="none" w:sz="0" w:space="0" w:color="auto"/>
        <w:right w:val="none" w:sz="0" w:space="0" w:color="auto"/>
      </w:divBdr>
    </w:div>
    <w:div w:id="1307321874">
      <w:bodyDiv w:val="1"/>
      <w:marLeft w:val="0"/>
      <w:marRight w:val="0"/>
      <w:marTop w:val="0"/>
      <w:marBottom w:val="0"/>
      <w:divBdr>
        <w:top w:val="none" w:sz="0" w:space="0" w:color="auto"/>
        <w:left w:val="none" w:sz="0" w:space="0" w:color="auto"/>
        <w:bottom w:val="none" w:sz="0" w:space="0" w:color="auto"/>
        <w:right w:val="none" w:sz="0" w:space="0" w:color="auto"/>
      </w:divBdr>
    </w:div>
    <w:div w:id="1333604962">
      <w:bodyDiv w:val="1"/>
      <w:marLeft w:val="0"/>
      <w:marRight w:val="0"/>
      <w:marTop w:val="0"/>
      <w:marBottom w:val="0"/>
      <w:divBdr>
        <w:top w:val="none" w:sz="0" w:space="0" w:color="auto"/>
        <w:left w:val="none" w:sz="0" w:space="0" w:color="auto"/>
        <w:bottom w:val="none" w:sz="0" w:space="0" w:color="auto"/>
        <w:right w:val="none" w:sz="0" w:space="0" w:color="auto"/>
      </w:divBdr>
    </w:div>
    <w:div w:id="1391464489">
      <w:bodyDiv w:val="1"/>
      <w:marLeft w:val="0"/>
      <w:marRight w:val="0"/>
      <w:marTop w:val="0"/>
      <w:marBottom w:val="0"/>
      <w:divBdr>
        <w:top w:val="none" w:sz="0" w:space="0" w:color="auto"/>
        <w:left w:val="none" w:sz="0" w:space="0" w:color="auto"/>
        <w:bottom w:val="none" w:sz="0" w:space="0" w:color="auto"/>
        <w:right w:val="none" w:sz="0" w:space="0" w:color="auto"/>
      </w:divBdr>
    </w:div>
    <w:div w:id="1398551206">
      <w:bodyDiv w:val="1"/>
      <w:marLeft w:val="0"/>
      <w:marRight w:val="0"/>
      <w:marTop w:val="0"/>
      <w:marBottom w:val="0"/>
      <w:divBdr>
        <w:top w:val="none" w:sz="0" w:space="0" w:color="auto"/>
        <w:left w:val="none" w:sz="0" w:space="0" w:color="auto"/>
        <w:bottom w:val="none" w:sz="0" w:space="0" w:color="auto"/>
        <w:right w:val="none" w:sz="0" w:space="0" w:color="auto"/>
      </w:divBdr>
    </w:div>
    <w:div w:id="1424105649">
      <w:bodyDiv w:val="1"/>
      <w:marLeft w:val="0"/>
      <w:marRight w:val="0"/>
      <w:marTop w:val="0"/>
      <w:marBottom w:val="0"/>
      <w:divBdr>
        <w:top w:val="none" w:sz="0" w:space="0" w:color="auto"/>
        <w:left w:val="none" w:sz="0" w:space="0" w:color="auto"/>
        <w:bottom w:val="none" w:sz="0" w:space="0" w:color="auto"/>
        <w:right w:val="none" w:sz="0" w:space="0" w:color="auto"/>
      </w:divBdr>
    </w:div>
    <w:div w:id="1565946419">
      <w:bodyDiv w:val="1"/>
      <w:marLeft w:val="0"/>
      <w:marRight w:val="0"/>
      <w:marTop w:val="0"/>
      <w:marBottom w:val="0"/>
      <w:divBdr>
        <w:top w:val="none" w:sz="0" w:space="0" w:color="auto"/>
        <w:left w:val="none" w:sz="0" w:space="0" w:color="auto"/>
        <w:bottom w:val="none" w:sz="0" w:space="0" w:color="auto"/>
        <w:right w:val="none" w:sz="0" w:space="0" w:color="auto"/>
      </w:divBdr>
    </w:div>
    <w:div w:id="1596211734">
      <w:bodyDiv w:val="1"/>
      <w:marLeft w:val="0"/>
      <w:marRight w:val="0"/>
      <w:marTop w:val="0"/>
      <w:marBottom w:val="0"/>
      <w:divBdr>
        <w:top w:val="none" w:sz="0" w:space="0" w:color="auto"/>
        <w:left w:val="none" w:sz="0" w:space="0" w:color="auto"/>
        <w:bottom w:val="none" w:sz="0" w:space="0" w:color="auto"/>
        <w:right w:val="none" w:sz="0" w:space="0" w:color="auto"/>
      </w:divBdr>
    </w:div>
    <w:div w:id="1621691900">
      <w:bodyDiv w:val="1"/>
      <w:marLeft w:val="0"/>
      <w:marRight w:val="0"/>
      <w:marTop w:val="0"/>
      <w:marBottom w:val="0"/>
      <w:divBdr>
        <w:top w:val="none" w:sz="0" w:space="0" w:color="auto"/>
        <w:left w:val="none" w:sz="0" w:space="0" w:color="auto"/>
        <w:bottom w:val="none" w:sz="0" w:space="0" w:color="auto"/>
        <w:right w:val="none" w:sz="0" w:space="0" w:color="auto"/>
      </w:divBdr>
    </w:div>
    <w:div w:id="1646742131">
      <w:bodyDiv w:val="1"/>
      <w:marLeft w:val="0"/>
      <w:marRight w:val="0"/>
      <w:marTop w:val="0"/>
      <w:marBottom w:val="0"/>
      <w:divBdr>
        <w:top w:val="none" w:sz="0" w:space="0" w:color="auto"/>
        <w:left w:val="none" w:sz="0" w:space="0" w:color="auto"/>
        <w:bottom w:val="none" w:sz="0" w:space="0" w:color="auto"/>
        <w:right w:val="none" w:sz="0" w:space="0" w:color="auto"/>
      </w:divBdr>
    </w:div>
    <w:div w:id="1652520287">
      <w:bodyDiv w:val="1"/>
      <w:marLeft w:val="0"/>
      <w:marRight w:val="0"/>
      <w:marTop w:val="0"/>
      <w:marBottom w:val="0"/>
      <w:divBdr>
        <w:top w:val="none" w:sz="0" w:space="0" w:color="auto"/>
        <w:left w:val="none" w:sz="0" w:space="0" w:color="auto"/>
        <w:bottom w:val="none" w:sz="0" w:space="0" w:color="auto"/>
        <w:right w:val="none" w:sz="0" w:space="0" w:color="auto"/>
      </w:divBdr>
    </w:div>
    <w:div w:id="1710914270">
      <w:bodyDiv w:val="1"/>
      <w:marLeft w:val="0"/>
      <w:marRight w:val="0"/>
      <w:marTop w:val="0"/>
      <w:marBottom w:val="0"/>
      <w:divBdr>
        <w:top w:val="none" w:sz="0" w:space="0" w:color="auto"/>
        <w:left w:val="none" w:sz="0" w:space="0" w:color="auto"/>
        <w:bottom w:val="none" w:sz="0" w:space="0" w:color="auto"/>
        <w:right w:val="none" w:sz="0" w:space="0" w:color="auto"/>
      </w:divBdr>
    </w:div>
    <w:div w:id="1725326011">
      <w:bodyDiv w:val="1"/>
      <w:marLeft w:val="0"/>
      <w:marRight w:val="0"/>
      <w:marTop w:val="0"/>
      <w:marBottom w:val="0"/>
      <w:divBdr>
        <w:top w:val="none" w:sz="0" w:space="0" w:color="auto"/>
        <w:left w:val="none" w:sz="0" w:space="0" w:color="auto"/>
        <w:bottom w:val="none" w:sz="0" w:space="0" w:color="auto"/>
        <w:right w:val="none" w:sz="0" w:space="0" w:color="auto"/>
      </w:divBdr>
    </w:div>
    <w:div w:id="1747679911">
      <w:bodyDiv w:val="1"/>
      <w:marLeft w:val="0"/>
      <w:marRight w:val="0"/>
      <w:marTop w:val="0"/>
      <w:marBottom w:val="0"/>
      <w:divBdr>
        <w:top w:val="none" w:sz="0" w:space="0" w:color="auto"/>
        <w:left w:val="none" w:sz="0" w:space="0" w:color="auto"/>
        <w:bottom w:val="none" w:sz="0" w:space="0" w:color="auto"/>
        <w:right w:val="none" w:sz="0" w:space="0" w:color="auto"/>
      </w:divBdr>
    </w:div>
    <w:div w:id="1787120785">
      <w:bodyDiv w:val="1"/>
      <w:marLeft w:val="0"/>
      <w:marRight w:val="0"/>
      <w:marTop w:val="0"/>
      <w:marBottom w:val="0"/>
      <w:divBdr>
        <w:top w:val="none" w:sz="0" w:space="0" w:color="auto"/>
        <w:left w:val="none" w:sz="0" w:space="0" w:color="auto"/>
        <w:bottom w:val="none" w:sz="0" w:space="0" w:color="auto"/>
        <w:right w:val="none" w:sz="0" w:space="0" w:color="auto"/>
      </w:divBdr>
    </w:div>
    <w:div w:id="1865828014">
      <w:bodyDiv w:val="1"/>
      <w:marLeft w:val="0"/>
      <w:marRight w:val="0"/>
      <w:marTop w:val="0"/>
      <w:marBottom w:val="0"/>
      <w:divBdr>
        <w:top w:val="none" w:sz="0" w:space="0" w:color="auto"/>
        <w:left w:val="none" w:sz="0" w:space="0" w:color="auto"/>
        <w:bottom w:val="none" w:sz="0" w:space="0" w:color="auto"/>
        <w:right w:val="none" w:sz="0" w:space="0" w:color="auto"/>
      </w:divBdr>
    </w:div>
    <w:div w:id="1866405190">
      <w:bodyDiv w:val="1"/>
      <w:marLeft w:val="0"/>
      <w:marRight w:val="0"/>
      <w:marTop w:val="0"/>
      <w:marBottom w:val="0"/>
      <w:divBdr>
        <w:top w:val="none" w:sz="0" w:space="0" w:color="auto"/>
        <w:left w:val="none" w:sz="0" w:space="0" w:color="auto"/>
        <w:bottom w:val="none" w:sz="0" w:space="0" w:color="auto"/>
        <w:right w:val="none" w:sz="0" w:space="0" w:color="auto"/>
      </w:divBdr>
    </w:div>
    <w:div w:id="1884443821">
      <w:bodyDiv w:val="1"/>
      <w:marLeft w:val="0"/>
      <w:marRight w:val="0"/>
      <w:marTop w:val="0"/>
      <w:marBottom w:val="0"/>
      <w:divBdr>
        <w:top w:val="none" w:sz="0" w:space="0" w:color="auto"/>
        <w:left w:val="none" w:sz="0" w:space="0" w:color="auto"/>
        <w:bottom w:val="none" w:sz="0" w:space="0" w:color="auto"/>
        <w:right w:val="none" w:sz="0" w:space="0" w:color="auto"/>
      </w:divBdr>
    </w:div>
    <w:div w:id="1916813130">
      <w:bodyDiv w:val="1"/>
      <w:marLeft w:val="0"/>
      <w:marRight w:val="0"/>
      <w:marTop w:val="0"/>
      <w:marBottom w:val="0"/>
      <w:divBdr>
        <w:top w:val="none" w:sz="0" w:space="0" w:color="auto"/>
        <w:left w:val="none" w:sz="0" w:space="0" w:color="auto"/>
        <w:bottom w:val="none" w:sz="0" w:space="0" w:color="auto"/>
        <w:right w:val="none" w:sz="0" w:space="0" w:color="auto"/>
      </w:divBdr>
    </w:div>
    <w:div w:id="1964799170">
      <w:bodyDiv w:val="1"/>
      <w:marLeft w:val="0"/>
      <w:marRight w:val="0"/>
      <w:marTop w:val="0"/>
      <w:marBottom w:val="0"/>
      <w:divBdr>
        <w:top w:val="none" w:sz="0" w:space="0" w:color="auto"/>
        <w:left w:val="none" w:sz="0" w:space="0" w:color="auto"/>
        <w:bottom w:val="none" w:sz="0" w:space="0" w:color="auto"/>
        <w:right w:val="none" w:sz="0" w:space="0" w:color="auto"/>
      </w:divBdr>
    </w:div>
    <w:div w:id="2002925823">
      <w:bodyDiv w:val="1"/>
      <w:marLeft w:val="0"/>
      <w:marRight w:val="0"/>
      <w:marTop w:val="0"/>
      <w:marBottom w:val="0"/>
      <w:divBdr>
        <w:top w:val="none" w:sz="0" w:space="0" w:color="auto"/>
        <w:left w:val="none" w:sz="0" w:space="0" w:color="auto"/>
        <w:bottom w:val="none" w:sz="0" w:space="0" w:color="auto"/>
        <w:right w:val="none" w:sz="0" w:space="0" w:color="auto"/>
      </w:divBdr>
    </w:div>
    <w:div w:id="2004048463">
      <w:bodyDiv w:val="1"/>
      <w:marLeft w:val="0"/>
      <w:marRight w:val="0"/>
      <w:marTop w:val="0"/>
      <w:marBottom w:val="0"/>
      <w:divBdr>
        <w:top w:val="none" w:sz="0" w:space="0" w:color="auto"/>
        <w:left w:val="none" w:sz="0" w:space="0" w:color="auto"/>
        <w:bottom w:val="none" w:sz="0" w:space="0" w:color="auto"/>
        <w:right w:val="none" w:sz="0" w:space="0" w:color="auto"/>
      </w:divBdr>
    </w:div>
    <w:div w:id="2014186773">
      <w:bodyDiv w:val="1"/>
      <w:marLeft w:val="0"/>
      <w:marRight w:val="0"/>
      <w:marTop w:val="0"/>
      <w:marBottom w:val="0"/>
      <w:divBdr>
        <w:top w:val="none" w:sz="0" w:space="0" w:color="auto"/>
        <w:left w:val="none" w:sz="0" w:space="0" w:color="auto"/>
        <w:bottom w:val="none" w:sz="0" w:space="0" w:color="auto"/>
        <w:right w:val="none" w:sz="0" w:space="0" w:color="auto"/>
      </w:divBdr>
    </w:div>
    <w:div w:id="2030134640">
      <w:bodyDiv w:val="1"/>
      <w:marLeft w:val="0"/>
      <w:marRight w:val="0"/>
      <w:marTop w:val="0"/>
      <w:marBottom w:val="0"/>
      <w:divBdr>
        <w:top w:val="none" w:sz="0" w:space="0" w:color="auto"/>
        <w:left w:val="none" w:sz="0" w:space="0" w:color="auto"/>
        <w:bottom w:val="none" w:sz="0" w:space="0" w:color="auto"/>
        <w:right w:val="none" w:sz="0" w:space="0" w:color="auto"/>
      </w:divBdr>
    </w:div>
    <w:div w:id="20307130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culturefactor.com/country-comparison-tool?countries=japan%2Cunited+kingdom" TargetMode="External"/><Relationship Id="rId18" Type="http://schemas.openxmlformats.org/officeDocument/2006/relationships/hyperlink" Target="https://exporttojapan.co.uk/guide/getting-started/relationships/" TargetMode="External"/><Relationship Id="rId3" Type="http://schemas.openxmlformats.org/officeDocument/2006/relationships/settings" Target="settings.xml"/><Relationship Id="rId21" Type="http://schemas.openxmlformats.org/officeDocument/2006/relationships/hyperlink" Target="https://www.suntory.com/about/index.html" TargetMode="External"/><Relationship Id="rId7" Type="http://schemas.openxmlformats.org/officeDocument/2006/relationships/image" Target="media/image1.png"/><Relationship Id="rId12" Type="http://schemas.openxmlformats.org/officeDocument/2006/relationships/hyperlink" Target="https://www.theculturefactor.com/country-comparison-tool?countries=japan%2Cunited+kingdom" TargetMode="External"/><Relationship Id="rId17" Type="http://schemas.openxmlformats.org/officeDocument/2006/relationships/hyperlink" Target="https://www.hofstede-insights.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iva-portal.org/smash/get/diva2%3A344618/FULLTEXT01.pdf" TargetMode="External"/><Relationship Id="rId20" Type="http://schemas.openxmlformats.org/officeDocument/2006/relationships/hyperlink" Target="https://doi.org/10.1111/bjop.1247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ulturefactor.com/country-comparison-tool?countries=japan%2Cunited+kingd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inkedin.com/pulse/guide-uk-business-culture-what-you-need-know-yash-dubal/" TargetMode="External"/><Relationship Id="rId23" Type="http://schemas.openxmlformats.org/officeDocument/2006/relationships/hyperlink" Target="https://doi.org/10.1111/j.1083-6101.2006.tb00313.x" TargetMode="External"/><Relationship Id="rId10" Type="http://schemas.openxmlformats.org/officeDocument/2006/relationships/hyperlink" Target="https://www.theculturefactor.com/country-comparison-tool?countries=japan%2Cunited+kingdom" TargetMode="External"/><Relationship Id="rId19" Type="http://schemas.openxmlformats.org/officeDocument/2006/relationships/hyperlink" Target="https://www.simplypsychology.org/hofstedes-cultural-dimensions-theory.html" TargetMode="External"/><Relationship Id="rId4" Type="http://schemas.openxmlformats.org/officeDocument/2006/relationships/webSettings" Target="webSettings.xml"/><Relationship Id="rId9" Type="http://schemas.openxmlformats.org/officeDocument/2006/relationships/hyperlink" Target="https://www.theculturefactor.com/country-comparison-tool?countries=japan%2Cunited+kingdom" TargetMode="External"/><Relationship Id="rId14" Type="http://schemas.openxmlformats.org/officeDocument/2006/relationships/hyperlink" Target="https://www.diageo.com/en/our-%20business/our-history" TargetMode="External"/><Relationship Id="rId22" Type="http://schemas.openxmlformats.org/officeDocument/2006/relationships/hyperlink" Target="https://hbr.org/2021/06/research-how-cultural-differences-can-impact-global-team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2861</Words>
  <Characters>18266</Characters>
  <Application>Microsoft Office Word</Application>
  <DocSecurity>0</DocSecurity>
  <Lines>390</Lines>
  <Paragraphs>88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Cretu</dc:creator>
  <dc:description/>
  <cp:lastModifiedBy>Oana Cretu</cp:lastModifiedBy>
  <cp:revision>2</cp:revision>
  <dcterms:created xsi:type="dcterms:W3CDTF">2024-11-22T00:57:00Z</dcterms:created>
  <dcterms:modified xsi:type="dcterms:W3CDTF">2024-11-22T00:57:00Z</dcterms:modified>
</cp:coreProperties>
</file>