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styles.xml" ContentType="application/vnd.openxmlformats-officedocument.wordprocessingml.styles+xml"/>
  <Override PartName="/word/footer3.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Autospacing="0" w:before="240" w:afterAutospacing="0" w:after="159"/>
        <w:jc w:val="center"/>
        <w:rPr/>
      </w:pPr>
      <w:r>
        <w:rPr>
          <w:rFonts w:eastAsia="system-ui" w:cs="system-ui" w:ascii="system-ui" w:hAnsi="system-ui"/>
          <w:b/>
          <w:bCs/>
          <w:color w:val="24292E"/>
          <w:sz w:val="20"/>
          <w:szCs w:val="20"/>
          <w:lang w:val="en-GB"/>
        </w:rPr>
        <w:t>BMHP6026</w:t>
      </w:r>
    </w:p>
    <w:p>
      <w:pPr>
        <w:pStyle w:val="Normal"/>
        <w:spacing w:lineRule="auto" w:line="360" w:beforeAutospacing="0" w:before="240" w:afterAutospacing="0" w:after="159"/>
        <w:jc w:val="center"/>
        <w:rPr/>
      </w:pPr>
      <w:r>
        <w:rPr>
          <w:rFonts w:eastAsia="system-ui" w:cs="system-ui" w:ascii="system-ui" w:hAnsi="system-ui"/>
          <w:b/>
          <w:bCs/>
          <w:color w:val="24292E"/>
          <w:sz w:val="20"/>
          <w:szCs w:val="20"/>
          <w:lang w:val="en-GB"/>
        </w:rPr>
        <w:t>Digital Transformation in the Health and Care Professions</w:t>
      </w:r>
    </w:p>
    <w:p>
      <w:pPr>
        <w:pStyle w:val="Normal"/>
        <w:spacing w:lineRule="auto" w:line="278" w:beforeAutospacing="0" w:before="240" w:afterAutospacing="0" w:after="159"/>
        <w:jc w:val="center"/>
        <w:rPr/>
      </w:pPr>
      <w:r>
        <w:rPr>
          <w:rFonts w:eastAsia="system-ui" w:cs="system-ui" w:ascii="system-ui" w:hAnsi="system-ui"/>
          <w:b/>
          <w:bCs/>
          <w:color w:val="24292E"/>
          <w:sz w:val="20"/>
          <w:szCs w:val="20"/>
          <w:lang w:val="en-GB"/>
        </w:rPr>
        <w:t>Component 1: Written Report</w:t>
      </w:r>
    </w:p>
    <w:p>
      <w:pPr>
        <w:pStyle w:val="Normal"/>
        <w:spacing w:lineRule="auto" w:line="278" w:beforeAutospacing="0" w:before="240" w:afterAutospacing="0" w:after="159"/>
        <w:jc w:val="center"/>
        <w:rPr/>
      </w:pPr>
      <w:r>
        <w:rPr>
          <w:rFonts w:eastAsia="system-ui" w:cs="system-ui" w:ascii="system-ui" w:hAnsi="system-ui"/>
          <w:b/>
          <w:bCs/>
          <w:color w:val="24292E"/>
          <w:sz w:val="20"/>
          <w:szCs w:val="20"/>
          <w:lang w:val="en-GB"/>
        </w:rPr>
        <w:t>A Critical Evaluation of PARO, a Therapeutic Robotic Seal, in UK Dementia Care</w:t>
      </w:r>
    </w:p>
    <w:p>
      <w:pPr>
        <w:pStyle w:val="Normal"/>
        <w:spacing w:lineRule="auto" w:line="360" w:beforeAutospacing="0" w:before="240" w:afterAutospacing="0" w:after="159"/>
        <w:jc w:val="center"/>
        <w:rPr/>
      </w:pPr>
      <w:r>
        <w:rPr>
          <w:rFonts w:eastAsia="Aptos" w:cs="Aptos"/>
          <w:b/>
          <w:bCs/>
          <w:sz w:val="22"/>
          <w:szCs w:val="22"/>
          <w:lang w:val="en-GB"/>
        </w:rPr>
        <w:t>Student Name</w:t>
      </w:r>
      <w:r>
        <w:rPr>
          <w:rFonts w:eastAsia="Aptos" w:cs="Aptos"/>
          <w:sz w:val="22"/>
          <w:szCs w:val="22"/>
          <w:lang w:val="en-GB"/>
        </w:rPr>
        <w:t xml:space="preserve"> Nichola Timothy </w:t>
      </w:r>
    </w:p>
    <w:p>
      <w:pPr>
        <w:pStyle w:val="Normal"/>
        <w:spacing w:lineRule="auto" w:line="360" w:beforeAutospacing="0" w:before="240" w:afterAutospacing="0" w:after="159"/>
        <w:jc w:val="center"/>
        <w:rPr/>
      </w:pPr>
      <w:r>
        <w:rPr>
          <w:rFonts w:eastAsia="Aptos" w:cs="Aptos"/>
          <w:b/>
          <w:bCs/>
          <w:sz w:val="22"/>
          <w:szCs w:val="22"/>
          <w:lang w:val="en-GB"/>
        </w:rPr>
        <w:t>Student Number</w:t>
      </w:r>
      <w:r>
        <w:rPr>
          <w:rFonts w:eastAsia="Aptos" w:cs="Aptos"/>
          <w:sz w:val="22"/>
          <w:szCs w:val="22"/>
          <w:lang w:val="en-GB"/>
        </w:rPr>
        <w:t xml:space="preserve"> 2407528</w:t>
      </w:r>
    </w:p>
    <w:p>
      <w:pPr>
        <w:pStyle w:val="Normal"/>
        <w:spacing w:lineRule="auto" w:line="360" w:beforeAutospacing="0" w:before="240" w:afterAutospacing="0" w:after="159"/>
        <w:jc w:val="center"/>
        <w:rPr/>
      </w:pPr>
      <w:r>
        <w:rPr>
          <w:rFonts w:eastAsia="Aptos" w:cs="Aptos"/>
          <w:b/>
          <w:bCs/>
          <w:color w:val="24292E"/>
          <w:sz w:val="22"/>
          <w:szCs w:val="22"/>
          <w:lang w:val="en-GB"/>
        </w:rPr>
        <w:t>Lecturers:</w:t>
      </w:r>
      <w:r>
        <w:rPr>
          <w:rFonts w:eastAsia="system-ui" w:cs="system-ui" w:ascii="system-ui" w:hAnsi="system-ui"/>
          <w:color w:val="24292E"/>
          <w:sz w:val="20"/>
          <w:szCs w:val="20"/>
          <w:lang w:val="en-GB"/>
        </w:rPr>
        <w:t xml:space="preserve"> Martin Svejda, Tomy Adattu Chacko, and Zakiyyah Ahmed</w:t>
      </w:r>
    </w:p>
    <w:p>
      <w:pPr>
        <w:pStyle w:val="Normal"/>
        <w:spacing w:lineRule="auto" w:line="360" w:beforeAutospacing="0" w:before="240" w:afterAutospacing="0" w:after="159"/>
        <w:jc w:val="center"/>
        <w:rPr/>
      </w:pPr>
      <w:r>
        <w:rPr>
          <w:rFonts w:eastAsia="system-ui" w:cs="system-ui" w:ascii="system-ui" w:hAnsi="system-ui"/>
          <w:b/>
          <w:bCs/>
          <w:color w:val="24292E"/>
          <w:sz w:val="20"/>
          <w:szCs w:val="20"/>
          <w:lang w:val="en-GB"/>
        </w:rPr>
        <w:t>Submission Date:</w:t>
      </w:r>
      <w:r>
        <w:rPr>
          <w:rFonts w:eastAsia="system-ui" w:cs="system-ui" w:ascii="system-ui" w:hAnsi="system-ui"/>
          <w:color w:val="24292E"/>
          <w:sz w:val="20"/>
          <w:szCs w:val="20"/>
          <w:lang w:val="en-GB"/>
        </w:rPr>
        <w:t xml:space="preserve"> 19th October 2026</w:t>
      </w:r>
    </w:p>
    <w:p>
      <w:pPr>
        <w:pStyle w:val="Normal"/>
        <w:spacing w:lineRule="auto" w:line="360" w:beforeAutospacing="0" w:before="240" w:afterAutospacing="0" w:after="159"/>
        <w:jc w:val="center"/>
        <w:rPr/>
      </w:pPr>
      <w:r>
        <w:rPr>
          <w:rFonts w:eastAsia="system-ui" w:cs="system-ui" w:ascii="system-ui" w:hAnsi="system-ui"/>
          <w:b/>
          <w:bCs/>
          <w:color w:val="24292E"/>
          <w:sz w:val="20"/>
          <w:szCs w:val="20"/>
          <w:lang w:val="en-GB"/>
        </w:rPr>
        <w:t>Word Count:2146</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t xml:space="preserve">Introduction </w:t>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lang w:val="en-GB"/>
        </w:rPr>
      </w:pPr>
      <w:r>
        <w:rPr>
          <w:rFonts w:eastAsia="Arial" w:cs="Arial" w:ascii="Inter;system-ui;sans-serif" w:hAnsi="Inter;system-ui;sans-serif"/>
          <w:b w:val="false"/>
          <w:bCs w:val="false"/>
          <w:i w:val="false"/>
          <w:iCs w:val="false"/>
          <w:color w:val="24292E"/>
          <w:spacing w:val="0"/>
          <w:sz w:val="22"/>
          <w:szCs w:val="22"/>
          <w:lang w:val="en-GB"/>
        </w:rPr>
        <w:t>"PARO (derived from Japanese 'pa-sonal robotto') is an interactive robotic seal pup developed by Dr Takanori Shibata at Japan's National Institute of Advanced Industrial Science and Technology, commercialised in 2004</w:t>
      </w:r>
      <w:r>
        <w:rPr>
          <w:rFonts w:eastAsia="Arial" w:cs="Arial" w:ascii="Arial" w:hAnsi="Arial"/>
          <w:b w:val="false"/>
          <w:bCs w:val="false"/>
          <w:i w:val="false"/>
          <w:iCs w:val="false"/>
          <w:sz w:val="22"/>
          <w:szCs w:val="22"/>
          <w:lang w:val="en-GB"/>
        </w:rPr>
        <w:t xml:space="preserve"> and modelled on a baby harp seal. It responds to touch, sound, light, and temperature, and was designed specifically as a therapeutic tool for people with cognitive impairment. PARO has since been implemented in UK dementia care, including on an NHS inpatient dementia ward (Shoesmith et al., 2024) and in a joint project between Sheffield Health and Social Care NHS Foundation Trust and the University of Sheffield.</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 xml:space="preserve">Dementia affects approximately 982,000 people in the UK, with numbers projected to reach 1.4 million by 2040 (Alzheimer's Society, 2024). The UK policy landscape increasingly prioritises digital innovation to meet this growing demand. Government initiatives such as 'A Plan for Digital Health and Social Care' (Department of Health and Social Care, 2022) emphasise technology to sustain care provision while preserving quality. </w:t>
      </w:r>
    </w:p>
    <w:p>
      <w:pPr>
        <w:pStyle w:val="Normal"/>
        <w:spacing w:lineRule="auto" w:line="360"/>
        <w:jc w:val="both"/>
        <w:rPr>
          <w:rFonts w:ascii="Arial" w:hAnsi="Arial" w:eastAsia="Arial" w:cs="Arial"/>
          <w:b w:val="false"/>
          <w:bCs w:val="false"/>
          <w:i w:val="false"/>
          <w:iCs w:val="false"/>
          <w:sz w:val="22"/>
          <w:szCs w:val="22"/>
          <w:lang w:val="en-GB"/>
        </w:rPr>
      </w:pPr>
      <w:r>
        <w:rPr>
          <w:rFonts w:eastAsia="Arial" w:cs="Arial" w:ascii="Arial" w:hAnsi="Arial"/>
          <w:b w:val="false"/>
          <w:bCs w:val="false"/>
          <w:i/>
          <w:iCs/>
          <w:sz w:val="22"/>
          <w:szCs w:val="22"/>
          <w:lang w:val="en-GB"/>
        </w:rPr>
        <w:t xml:space="preserve">PARO, unlike newer, untested robots, carries two decades of published research, including UK-based implementation studies (Shoesmith et al., 2024). </w:t>
      </w:r>
      <w:r>
        <w:rPr>
          <w:rFonts w:eastAsia="Arial" w:cs="Arial" w:ascii="Arial" w:hAnsi="Arial"/>
          <w:sz w:val="22"/>
          <w:szCs w:val="22"/>
          <w:lang w:val="en-GB"/>
        </w:rPr>
        <w:t xml:space="preserve">This evidence maturity, combined with its alignment to person-centred care principles, positions it not as an experimental addition but as a tested option within the expanding toolkit of dementia interventions. One of the greatest challenges facing health and social care staff is supporting people experiencing distress and agitation, for whom medication has traditionally been the primary response (Griffiths, 2014). </w:t>
      </w:r>
      <w:r>
        <w:rPr>
          <w:rFonts w:eastAsia="Arial" w:cs="Arial" w:ascii="Arial" w:hAnsi="Arial"/>
          <w:b w:val="false"/>
          <w:bCs w:val="false"/>
          <w:i w:val="false"/>
          <w:iCs w:val="false"/>
          <w:sz w:val="22"/>
          <w:szCs w:val="22"/>
          <w:lang w:val="en-GB"/>
        </w:rPr>
        <w:t>Despite this, critics have questioned whether encouraging attachment to a robot risk deceiving vulnerable people and undermining dignified care</w:t>
      </w:r>
      <w:r>
        <w:rPr>
          <w:rFonts w:eastAsia="Arial" w:cs="Arial" w:ascii="Arial" w:hAnsi="Arial"/>
          <w:b w:val="false"/>
          <w:bCs w:val="false"/>
          <w:i/>
          <w:iCs/>
          <w:sz w:val="22"/>
          <w:szCs w:val="22"/>
          <w:lang w:val="en-GB"/>
        </w:rPr>
        <w:t xml:space="preserve"> (Sharkey and Wood, 2014). </w:t>
      </w:r>
      <w:r>
        <w:rPr>
          <w:rFonts w:eastAsia="Arial" w:cs="Arial" w:ascii="Arial" w:hAnsi="Arial"/>
          <w:b w:val="false"/>
          <w:bCs w:val="false"/>
          <w:i w:val="false"/>
          <w:iCs w:val="false"/>
          <w:sz w:val="22"/>
          <w:szCs w:val="22"/>
          <w:lang w:val="en-GB"/>
        </w:rPr>
        <w:t>Consequently, the aim of this analysis is to consider the different viewpoints surrounding this digital innovation, weighing its benefits and drawbacks in relation to its impact on the workforce and patient and service user experience, including families and the wider community."</w:t>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t>Strengths within the Workforce </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One significant benefit for the workforce is that PARO provides staff with a focused therapeutic tool to engage residents experiencing distress. Shoesmith et al. (2024) found that healthcare professionals on a UK NHS dementia ward used PARO as a communication tool, helping them connect with residents when traditional approaches had limited effect. Reducing residents' distress without medication may also help ease the emotional strain staff experience when managing challenging behaviours, potentially improving job satisfaction. The significance of this should not be understated. Workforce pressures in dementia care are considerable, with chronic staffing shortages and time pressures limiting opportunities for sustained social engagement with residents. A tool that enables meaningful connection in a shorter time limit therefore has practical value beyond its therapeutic effects, particularly in busy inpatient environments where one-to-one time is scarce</w:t>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r>
    </w:p>
    <w:p>
      <w:pPr>
        <w:pStyle w:val="Normal"/>
        <w:spacing w:lineRule="auto" w:line="360"/>
        <w:jc w:val="both"/>
        <w:rPr/>
      </w:pPr>
      <w:r>
        <w:rPr>
          <w:rFonts w:eastAsia="Arial" w:cs="Arial" w:ascii="Arial" w:hAnsi="Arial"/>
          <w:sz w:val="22"/>
          <w:szCs w:val="22"/>
          <w:lang w:val="en-GB"/>
        </w:rPr>
        <w:t>However, the implementation of PARO also presents workforce challenges.</w:t>
      </w:r>
      <w:r>
        <w:rPr>
          <w:rFonts w:eastAsia="Arial" w:cs="Arial" w:ascii="Arial" w:hAnsi="Arial"/>
          <w:i/>
          <w:iCs/>
          <w:sz w:val="22"/>
          <w:szCs w:val="22"/>
          <w:lang w:val="en-GB"/>
        </w:rPr>
        <w:t xml:space="preserve"> </w:t>
      </w:r>
      <w:r>
        <w:rPr>
          <w:rFonts w:eastAsia="Arial" w:cs="Arial" w:ascii="Arial" w:hAnsi="Arial"/>
          <w:sz w:val="22"/>
          <w:szCs w:val="22"/>
          <w:lang w:val="en-GB"/>
        </w:rPr>
        <w:t>International evidence adds a cautionary perspective. In Japan, where care robots have been promoted at national level to offset severe caregiver shortages, ethnographic reporting found that robots frequently generated more work for care staff rather than less, because the technology required supervision, charging, and troubleshooting alongside existing duties (Wright, 2023). This evidence matters because workforce benefit is often assumed rather than demonstrated in enthusiasm for care technology. If PARO simply relocates staff time from direct interaction to robot-mediated interaction, the net gain may be smaller than advocates suggest. Against this, it can be argued that PARO differs from many care robots in that it supports the relational work staff already value, rather than replacing physical tasks meaning its workload effects may be more favourable. The evidence base does not yet resolve this question conclusively, which is itself a finding: adoption decisions are being made ahead of definitive workforce evidence. Staff must receive training before using PARO safely, and sessions require dedicated time to deliver. Furthermore, some care staff have questioned whether PARO offers advantages over cheaper alternatives, with one study comparing staff perceptions of PARO and a plush look-alike toy (Moyle et al., 2018). There is also a risk of deskilling if staff defer to the robot for engagement rather than developing their own relational skills, a concern echoed in wider debates about automation in care work (Wright, 2023). In the UK NHS study by Shoesmith et al. (2024), PARO sessions on an inpatient dementia ward were delivered by Clinical Psychology staff,</w:t>
      </w:r>
      <w:r>
        <w:rPr>
          <w:rFonts w:eastAsia="Arial" w:cs="Arial" w:ascii="Arial" w:hAnsi="Arial"/>
          <w:i/>
          <w:iCs/>
          <w:sz w:val="22"/>
          <w:szCs w:val="22"/>
          <w:lang w:val="en-GB"/>
        </w:rPr>
        <w:t xml:space="preserve"> </w:t>
      </w:r>
      <w:r>
        <w:rPr>
          <w:rFonts w:eastAsia="Arial" w:cs="Arial" w:ascii="Arial" w:hAnsi="Arial"/>
          <w:sz w:val="22"/>
          <w:szCs w:val="22"/>
          <w:lang w:val="en-GB"/>
        </w:rPr>
        <w:t>following locally developed clinical guidance</w:t>
      </w:r>
      <w:r>
        <w:rPr>
          <w:rFonts w:eastAsia="Arial" w:cs="Arial" w:ascii="Arial" w:hAnsi="Arial"/>
          <w:b/>
          <w:bCs/>
          <w:i/>
          <w:iCs/>
          <w:sz w:val="22"/>
          <w:szCs w:val="22"/>
          <w:lang w:val="en-GB"/>
        </w:rPr>
        <w:t>.</w:t>
      </w:r>
      <w:r>
        <w:rPr>
          <w:rFonts w:eastAsia="Arial" w:cs="Arial" w:ascii="Arial" w:hAnsi="Arial"/>
          <w:sz w:val="22"/>
          <w:szCs w:val="22"/>
          <w:lang w:val="en-GB"/>
        </w:rPr>
        <w:t xml:space="preserve"> This means that implementing PARO requires specialist involvement beyond general nursing staff, which has implications for workforce planning and training. Successful implementation therefore depends on organisational commitment to training, protected session time, and clear role definition, so that PARO complements rather than dilutes the carer's role. The introduction of PARO also reshapes the skills expected of the dementia workforce. Delivering sessions safely requires staff to understand the robot's capabilities and limitations, to recognise when a resident is engaging with or rejecting the intervention, and to integrate sessions within care planning competencies that fall outside traditional dementia care training. Staff attitudes are themselves a decisive factor: the scoping review by Hung et al. (2019) identified staff scepticism and variable organisational support as key barriers to implementation, suggesting that training must address beliefs about the technology, not merely its operation. This has implications for role design. Where Clinical Psychology staff lead delivery, as in the Shoesmith et al. (2024) study, the intervention may create a new form of multidisciplinary working in which specialist practitioners and nursing staff must coordinate enriching practice where it functions well, but adding dependency and delay where specialist capacity is scarce.</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r>
    </w:p>
    <w:p>
      <w:pPr>
        <w:pStyle w:val="Normal"/>
        <w:spacing w:lineRule="auto" w:line="360" w:beforeAutospacing="0" w:before="240" w:afterAutospacing="0" w:after="159"/>
        <w:jc w:val="both"/>
        <w:rPr>
          <w:rFonts w:ascii="Arial" w:hAnsi="Arial" w:eastAsia="Arial" w:cs="Arial"/>
          <w:b/>
          <w:bCs/>
          <w:color w:val="24292E"/>
          <w:sz w:val="22"/>
          <w:szCs w:val="22"/>
          <w:lang w:val="en-GB"/>
        </w:rPr>
      </w:pPr>
      <w:r>
        <w:rPr>
          <w:rFonts w:eastAsia="Arial" w:cs="Arial" w:ascii="Arial" w:hAnsi="Arial"/>
          <w:b/>
          <w:bCs/>
          <w:color w:val="24292E"/>
          <w:sz w:val="22"/>
          <w:szCs w:val="22"/>
          <w:lang w:val="en-GB"/>
        </w:rPr>
        <w:t>Patient and Service User Experience</w:t>
      </w:r>
    </w:p>
    <w:p>
      <w:pPr>
        <w:pStyle w:val="Normal"/>
        <w:spacing w:lineRule="auto" w:line="360"/>
        <w:jc w:val="both"/>
        <w:rPr>
          <w:b/>
          <w:bCs/>
          <w:sz w:val="22"/>
          <w:szCs w:val="22"/>
        </w:rPr>
      </w:pPr>
      <w:r>
        <w:rPr>
          <w:b/>
          <w:bCs/>
          <w:sz w:val="22"/>
          <w:szCs w:val="22"/>
        </w:rPr>
        <w:t>Negative impacts and challenges</w:t>
      </w:r>
    </w:p>
    <w:p>
      <w:pPr>
        <w:pStyle w:val="Normal"/>
        <w:spacing w:lineRule="auto" w:line="360" w:beforeAutospacing="0" w:before="240" w:afterAutospacing="0" w:after="159"/>
        <w:jc w:val="both"/>
        <w:rPr>
          <w:rFonts w:ascii="Arial" w:hAnsi="Arial" w:eastAsia="Arial" w:cs="Arial"/>
          <w:sz w:val="22"/>
          <w:szCs w:val="22"/>
        </w:rPr>
      </w:pPr>
      <w:r>
        <w:rPr>
          <w:rFonts w:eastAsia="Arial" w:cs="Arial" w:ascii="Arial" w:hAnsi="Arial"/>
          <w:sz w:val="22"/>
          <w:szCs w:val="22"/>
        </w:rPr>
      </w:r>
    </w:p>
    <w:p>
      <w:pPr>
        <w:pStyle w:val="Normal"/>
        <w:spacing w:lineRule="auto" w:line="360" w:beforeAutospacing="0" w:before="240" w:afterAutospacing="0" w:after="159"/>
        <w:jc w:val="both"/>
        <w:rPr>
          <w:rFonts w:ascii="Arial" w:hAnsi="Arial" w:eastAsia="Arial" w:cs="Arial"/>
          <w:sz w:val="22"/>
          <w:szCs w:val="22"/>
        </w:rPr>
      </w:pPr>
      <w:r>
        <w:rPr>
          <w:rFonts w:eastAsia="Arial" w:cs="Arial" w:ascii="Arial" w:hAnsi="Arial"/>
          <w:sz w:val="22"/>
          <w:szCs w:val="22"/>
        </w:rPr>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Patients in the UK inpatient study reported feeling relaxed and safe during interactions with PARO, and some residents were observed to become settled, particularly those experiencing agitation and distress (Shoesmith et al., 2024). The robotic seal responds to touch and voice, creating a sense of belonging for people who may feel anxious or isolated</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Notably, some individuals whose language is severely affected by dementia have been observed to talk to PARO when they struggle to communicate with people. This suggests PARO acts as a bridge to communication, unlocking expressions that might otherwise remain hidden. Indeed, UK clinicians have reported that some people with severely altered language could talk to PARO when they found it difficult to talk to people (Griffiths, 2014).</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Kitwood's (1997) framework identifies comfort as a fundamental psychosocial need for people with dementia. PARO addresses this through sensory touch and gentle responsiveness, promoting feelings of security and decreased anxiety.</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The design of the robot itself supports this sensory engagement. PARO is modelled on a baby harp seal, weighs approximately three kilograms, and responds to touch, light, sound, and temperature, moving its head and flippers and making soft seal noises when stroked and spoken to (Shoesmith et al., 2024). Unlike a real animal, it is hypoallergenic and cannot bite or scratch, making animal-assisted-style therapy available in environments where live animals are impractical.</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However, while national guidance recommends that non-pharmacological approaches should be considered first when supporting distress in dementia (National Institute for Health and Care Excellence, 2018), positioning PARO within, rather than against, prevailing UK policy</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Critics raise questions about whether bonding with a robot constitutes deception, arguing that vulnerable people may believe PARO is alive. Scholars such as Sharkey and Wood (2014) question whether this is demeaning rather than enabling care. Additionally, the attachment is unidirectional, as PARO cannot reciprocate emotional bonds - a limitation that complicates its ethical standing. These concerns highlight the tension between therapeutic benefit and respect for autonomy and dignity.</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A scoping review of PARO studies in care settings identified a range of reported benefits, including reduced agitation and improved social interaction, but also highlighted barriers to implementation such as staff attitudes, hygiene concerns, and the need for organisational support (Hung et al., 2019).</w:t>
      </w:r>
      <w:r>
        <w:rPr>
          <w:rFonts w:eastAsia="Arial" w:cs="Arial" w:ascii="Arial" w:hAnsi="Arial"/>
          <w:i/>
          <w:iCs/>
          <w:color w:val="24292E"/>
          <w:sz w:val="22"/>
          <w:szCs w:val="22"/>
          <w:lang w:val="en-GB"/>
        </w:rPr>
        <w:t xml:space="preserve"> </w:t>
      </w:r>
      <w:r>
        <w:rPr>
          <w:rFonts w:eastAsia="Arial" w:cs="Arial" w:ascii="Arial" w:hAnsi="Arial"/>
          <w:color w:val="24292E"/>
          <w:sz w:val="22"/>
          <w:szCs w:val="22"/>
          <w:lang w:val="en-GB"/>
        </w:rPr>
        <w:t>A critical challenge to PARO's distinctiveness comes from Moyle et al.'s (2018) comparison of PARO and a look-alike plush seal. Care staff perceived both interventions similarly in terms of enjoyment and therapeutic value, raising questions about whether PARO's interactive features deliver added benefit beyond a simple comfort object. If true, this suggests that much of PARO's effectiveness may derive from tactile engagement and symbolic warmth</w:t>
      </w:r>
      <w:r>
        <w:rPr>
          <w:rFonts w:eastAsia="Arial" w:cs="Arial" w:ascii="Arial" w:hAnsi="Arial"/>
          <w:i w:val="false"/>
          <w:iCs w:val="false"/>
          <w:color w:val="24292E"/>
          <w:sz w:val="22"/>
          <w:szCs w:val="22"/>
          <w:lang w:val="en-GB"/>
        </w:rPr>
        <w:t xml:space="preserve"> </w:t>
      </w:r>
      <w:r>
        <w:rPr>
          <w:rFonts w:eastAsia="Arial" w:cs="Arial" w:ascii="Arial" w:hAnsi="Arial"/>
          <w:b w:val="false"/>
          <w:bCs w:val="false"/>
          <w:i w:val="false"/>
          <w:iCs w:val="false"/>
          <w:color w:val="24292E"/>
          <w:sz w:val="22"/>
          <w:szCs w:val="22"/>
          <w:lang w:val="en-GB"/>
        </w:rPr>
        <w:t>rather than technological sophistication, an implication that complicates</w:t>
      </w:r>
      <w:r>
        <w:rPr>
          <w:rFonts w:eastAsia="Arial" w:cs="Arial" w:ascii="Arial" w:hAnsi="Arial"/>
          <w:i w:val="false"/>
          <w:iCs w:val="false"/>
          <w:color w:val="24292E"/>
          <w:sz w:val="22"/>
          <w:szCs w:val="22"/>
          <w:lang w:val="en-GB"/>
        </w:rPr>
        <w:t xml:space="preserve"> </w:t>
      </w:r>
      <w:r>
        <w:rPr>
          <w:rFonts w:eastAsia="Arial" w:cs="Arial" w:ascii="Arial" w:hAnsi="Arial"/>
          <w:color w:val="24292E"/>
          <w:sz w:val="22"/>
          <w:szCs w:val="22"/>
          <w:lang w:val="en-GB"/>
        </w:rPr>
        <w:t xml:space="preserve">the value-for-money argument given the £4,000 price point. </w:t>
      </w:r>
      <w:r>
        <w:rPr>
          <w:rFonts w:eastAsia="Arial" w:cs="Arial" w:ascii="Arial" w:hAnsi="Arial"/>
          <w:b w:val="false"/>
          <w:bCs w:val="false"/>
          <w:i w:val="false"/>
          <w:iCs w:val="false"/>
          <w:color w:val="24292E"/>
          <w:sz w:val="22"/>
          <w:szCs w:val="22"/>
          <w:lang w:val="en-GB"/>
        </w:rPr>
        <w:t xml:space="preserve">However, the study measured staff perceptions rather than patient outcomes, leaving open the possibility that residents experienced benefits not captured by observers. </w:t>
      </w:r>
      <w:r>
        <w:rPr>
          <w:rFonts w:eastAsia="Arial" w:cs="Arial" w:ascii="Arial" w:hAnsi="Arial"/>
          <w:b w:val="false"/>
          <w:bCs w:val="false"/>
          <w:i/>
          <w:iCs/>
          <w:color w:val="24292E"/>
          <w:sz w:val="22"/>
          <w:szCs w:val="22"/>
          <w:lang w:val="en-GB"/>
        </w:rPr>
        <w:t>"</w:t>
      </w:r>
      <w:r>
        <w:rPr>
          <w:rFonts w:eastAsia="Arial" w:cs="Arial" w:ascii="Arial" w:hAnsi="Arial"/>
          <w:b w:val="false"/>
          <w:bCs w:val="false"/>
          <w:i w:val="false"/>
          <w:iCs w:val="false"/>
          <w:color w:val="24292E"/>
          <w:sz w:val="22"/>
          <w:szCs w:val="22"/>
          <w:lang w:val="en-GB"/>
        </w:rPr>
        <w:t>The Moyle findings therefore function as a reminder to remain sceptical of technological determinism: not every feature warrant premium cost."</w:t>
      </w:r>
      <w:r>
        <w:rPr>
          <w:rFonts w:eastAsia="Arial" w:cs="Arial" w:ascii="Arial" w:hAnsi="Arial"/>
          <w:color w:val="24292E"/>
          <w:sz w:val="22"/>
          <w:szCs w:val="22"/>
          <w:lang w:val="en-GB"/>
        </w:rPr>
        <w:t xml:space="preserve"> Against this, PARO's programmability allows it to respond differently to different users over time, which a static plush toy cannot “replicate a distinction that matters most for residents with severe language impairment who may require tailored stimulation to engage</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Beyond hospital and care home walls, PARO has begun to reach families and communities. Because it is portable, it is one of the few therapeutic robots suited to domestic settings, and studies have explored its use in the family home, where relatives can be trained to deliver sessions themselves (Inoue et al., 2021). Families have responded positively: the daughter of one care home resident argued that if tools like PARO can help people with dementia "find some peace", they should be used (Griffiths, 2014). However, other relatives have raised concerns that such robots replace rather than supplement human contact, highlighting the importance of families being involved in decisions about their relative's care</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This suggests that patient experience of PARO is highly dependent on how well services implement and sustain it, rather than on the technology alone.</w:t>
      </w:r>
    </w:p>
    <w:p>
      <w:pPr>
        <w:pStyle w:val="Normal"/>
        <w:spacing w:lineRule="auto" w:line="360" w:beforeAutospacing="0" w:before="240" w:afterAutospacing="0" w:after="0"/>
        <w:jc w:val="both"/>
        <w:rPr/>
      </w:pPr>
      <w:r>
        <w:rPr>
          <w:rFonts w:eastAsia="Arial" w:cs="Arial" w:ascii="Arial" w:hAnsi="Arial"/>
          <w:color w:val="24292E"/>
          <w:sz w:val="22"/>
          <w:szCs w:val="22"/>
          <w:lang w:val="en-GB"/>
        </w:rPr>
        <w:t>There are also wider questions of access and participation. At approximately £4,000 per unit, PARO sits awkwardly within stretched social care budgets, raising equity concerns that well-funded providers will benefit while care homes in deprived areas are left behind. This matters because the burden of dementia is heavily concentrated in residential care, with an estimated 70% of care home residents having dementia or severe memory problems (Alzheimer's Society, 2024). Encouragingly, the Shoesmith et al. (2024) study involved relatives as well as staff and patients in shaping how PARO should be delivered, reflecting genuine co-production. In practice, however, meaningful involvement of service users remains limited, particularly for people with advanced dementia.</w:t>
      </w:r>
    </w:p>
    <w:p>
      <w:pPr>
        <w:pStyle w:val="Normal"/>
        <w:spacing w:lineRule="auto" w:line="360" w:beforeAutospacing="0" w:before="240" w:afterAutospacing="0" w:after="0"/>
        <w:jc w:val="end"/>
        <w:rPr>
          <w:rFonts w:ascii="Arial" w:hAnsi="Arial" w:eastAsia="Arial" w:cs="Arial"/>
          <w:color w:val="24292E"/>
          <w:sz w:val="22"/>
          <w:szCs w:val="22"/>
          <w:lang w:val="en-GB"/>
        </w:rPr>
      </w:pPr>
      <w:r>
        <w:rPr>
          <w:rFonts w:eastAsia="Arial" w:cs="Arial" w:ascii="Arial" w:hAnsi="Arial"/>
          <w:color w:val="24292E"/>
          <w:sz w:val="22"/>
          <w:szCs w:val="22"/>
          <w:lang w:val="en-GB"/>
        </w:rPr>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t>Conclusion</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 xml:space="preserve">This report has critically evaluated PARO, a therapeutic robotic seal, as a digital transformation within UK dementia care. The evidence demonstrates that PARO can offer genuine benefits across the workforce and the patient experience, extending to families and the wider community. For staff, it provides a communication tool for connecting with distressed residents (Shoesmith et al., 2024); for patients, it can reduce agitation, provide comfort, and unlock communication for those whose language is severely impaired; and for families, it offers reassurance that their relative's distress can be eased with dignity. </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However, these benefits must be weighed against significant concerns.</w:t>
      </w:r>
      <w:r>
        <w:rPr>
          <w:rFonts w:eastAsia="Arial" w:cs="Arial" w:ascii="Arial" w:hAnsi="Arial"/>
          <w:i/>
          <w:iCs/>
          <w:sz w:val="22"/>
          <w:szCs w:val="22"/>
          <w:lang w:val="en-GB"/>
        </w:rPr>
        <w:t xml:space="preserve"> </w:t>
      </w:r>
      <w:r>
        <w:rPr>
          <w:rFonts w:eastAsia="Arial" w:cs="Arial" w:ascii="Arial" w:hAnsi="Arial"/>
          <w:sz w:val="22"/>
          <w:szCs w:val="22"/>
          <w:lang w:val="en-GB"/>
        </w:rPr>
        <w:t>It is also worth acknowledging the limitations of the evidence itself. Much of the research on PARO consists of small-scale studies, often without control groups, meaning reported benefits may partly reflect staff enthusiasm or novel stimulation rather than lasting therapeutic effect. The strongest evidence relates to short-term reductions in agitation; longer-term outcomes, including whether benefits persist as initial interest fades, remain under-researched. This evidence gap does not invalidate PARO's use, but it argues for humility in the claims made for it, and for local evaluation of its effects within any adopting service an approach consistent with the phased rollout recommended below</w:t>
      </w:r>
      <w:r>
        <w:rPr>
          <w:rFonts w:eastAsia="Arial" w:cs="Arial" w:ascii="Arial" w:hAnsi="Arial"/>
          <w:i/>
          <w:iCs/>
          <w:sz w:val="22"/>
          <w:szCs w:val="22"/>
          <w:lang w:val="en-GB"/>
        </w:rPr>
        <w:t>.</w:t>
      </w:r>
      <w:r>
        <w:rPr>
          <w:rFonts w:eastAsia="Arial" w:cs="Arial" w:ascii="Arial" w:hAnsi="Arial"/>
          <w:sz w:val="22"/>
          <w:szCs w:val="22"/>
          <w:lang w:val="en-GB"/>
        </w:rPr>
        <w:t xml:space="preserve"> The cost of approximately £4,000 per unit raises equity questions within stretched social care budgets, and the potential additional workload created for staff cannot be overlooked (Wright, 2023). Most fundamentally, critics argue that encouraging attachment to a robot raises ethical questions about deception and dignity in the care of vulnerable people (Sharkey and Wood, 2014).</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 xml:space="preserve">The most defensible conclusion is that PARO is best understood as a valuable enhancement tool rather than a replacement for, human-centred dementia care. Notably, its benefits appear conditional rather than automatic, contingent on the same fundamentals that underpin all good dementia care: trained staff, adequate time, and genuine relationships. Its long evidence history since 2004 distinguishes it from more experimental technologies, but successful implementation depends on the same fundamentals of good dementia care. Future adoption should therefore be guided by person-centred principles (Kitwood, 1997), ensuring that technology serves human connection rather than substituting for it. </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Building on these findings, three recommendations are proposed. First, organisations adopting PARO should invest in protected staff time and structured training to address the workload and deskilling risks identified (Wright, 2023). Second, commissioning decisions should consider equity, ensuring that cost does not restrict access to well-funded providers alone. Third, implementation should involve families and service users in co-production, in line with person-centred principles (Kitwood, 1997). Each recommendation faces barriers, however: constrained budgets, limited training capacity, and the practical difficulty of involving people with advanced dementia. Realistic adoption therefore requires phased, evaluated rollout rather than wholesale purchase, with PARO introduced as a complement to, not a substitute for human relationships in dementia care.</w:t>
      </w:r>
    </w:p>
    <w:p>
      <w:pPr>
        <w:pStyle w:val="Normal"/>
        <w:rPr/>
      </w:pPr>
      <w:r>
        <w:rPr/>
      </w:r>
    </w:p>
    <w:p>
      <w:pPr>
        <w:pStyle w:val="Normal"/>
        <w:rPr/>
      </w:pPr>
      <w:r>
        <w:rPr/>
      </w:r>
    </w:p>
    <w:p>
      <w:pPr>
        <w:pStyle w:val="Normal"/>
        <w:rPr>
          <w:rFonts w:ascii="Aptos" w:hAnsi="Aptos"/>
          <w:sz w:val="24"/>
          <w:szCs w:val="24"/>
          <w:lang w:val="en-GB"/>
        </w:rPr>
      </w:pPr>
      <w:r>
        <w:rPr>
          <w:sz w:val="24"/>
          <w:szCs w:val="24"/>
          <w:lang w:val="en-GB"/>
        </w:rPr>
        <w:t xml:space="preserve">Reference List </w:t>
      </w:r>
    </w:p>
    <w:p>
      <w:pPr>
        <w:pStyle w:val="Normal"/>
        <w:rPr>
          <w:rFonts w:ascii="Aptos" w:hAnsi="Aptos"/>
          <w:b/>
          <w:bCs/>
          <w:sz w:val="24"/>
          <w:szCs w:val="24"/>
          <w:lang w:val="en-GB"/>
        </w:rPr>
      </w:pPr>
      <w:r>
        <w:rPr>
          <w:i/>
          <w:iCs/>
          <w:sz w:val="24"/>
          <w:szCs w:val="24"/>
          <w:lang w:val="en-GB"/>
        </w:rPr>
        <w:t>Alzheimer's Society. (2024) How many people have dementia in the UK</w:t>
      </w:r>
      <w:r>
        <w:rPr>
          <w:sz w:val="24"/>
          <w:szCs w:val="24"/>
          <w:lang w:val="en-GB"/>
        </w:rPr>
        <w:t>? Available at:</w:t>
      </w:r>
      <w:hyperlink r:id="rId2">
        <w:r>
          <w:rPr>
            <w:rStyle w:val="Hyperlink"/>
            <w:strike w:val="false"/>
            <w:dstrike w:val="false"/>
            <w:sz w:val="24"/>
            <w:szCs w:val="24"/>
            <w:u w:val="single"/>
            <w:lang w:val="en-GB"/>
          </w:rPr>
          <w:t>https://www.alzheimers.org.uk/blog/how-many-people-have-dementia-uk</w:t>
        </w:r>
      </w:hyperlink>
      <w:r>
        <w:rPr>
          <w:sz w:val="24"/>
          <w:szCs w:val="24"/>
          <w:lang w:val="en-GB"/>
        </w:rPr>
        <w:t xml:space="preserve"> (Accessed: 14 September 2026</w:t>
      </w:r>
      <w:r>
        <w:rPr>
          <w:b/>
          <w:bCs/>
          <w:sz w:val="24"/>
          <w:szCs w:val="24"/>
          <w:lang w:val="en-GB"/>
        </w:rPr>
        <w:t>)</w:t>
      </w:r>
    </w:p>
    <w:p>
      <w:pPr>
        <w:pStyle w:val="Normal"/>
        <w:rPr>
          <w:rFonts w:ascii="Aptos" w:hAnsi="Aptos"/>
          <w:sz w:val="24"/>
          <w:szCs w:val="24"/>
          <w:lang w:val="en-GB"/>
        </w:rPr>
      </w:pPr>
      <w:bookmarkStart w:id="0" w:name="_Int_3fX8F1wL"/>
      <w:r>
        <w:rPr>
          <w:i/>
          <w:iCs/>
          <w:sz w:val="24"/>
          <w:szCs w:val="24"/>
          <w:lang w:val="en-GB"/>
        </w:rPr>
        <w:t>Department of Health and Social Care (2022) A Plan for Digital Health and Social Care</w:t>
      </w:r>
      <w:r>
        <w:rPr>
          <w:sz w:val="24"/>
          <w:szCs w:val="24"/>
          <w:lang w:val="en-GB"/>
        </w:rPr>
        <w:t>.</w:t>
      </w:r>
      <w:bookmarkEnd w:id="0"/>
      <w:r>
        <w:rPr>
          <w:sz w:val="24"/>
          <w:szCs w:val="24"/>
          <w:lang w:val="en-GB"/>
        </w:rPr>
        <w:t xml:space="preserve"> London: HMSO. Available at: </w:t>
      </w:r>
      <w:hyperlink r:id="rId3">
        <w:r>
          <w:rPr>
            <w:rStyle w:val="Hyperlink"/>
            <w:strike w:val="false"/>
            <w:dstrike w:val="false"/>
            <w:sz w:val="24"/>
            <w:szCs w:val="24"/>
            <w:u w:val="single"/>
            <w:lang w:val="en-GB"/>
          </w:rPr>
          <w:t>https://www.gov.uk/government/publications/a-plan-for-digital-health-and-social-care</w:t>
        </w:r>
      </w:hyperlink>
      <w:r>
        <w:rPr>
          <w:sz w:val="24"/>
          <w:szCs w:val="24"/>
          <w:lang w:val="en-GB"/>
        </w:rPr>
        <w:t xml:space="preserve"> (Accessed: 14 September 2026).</w:t>
      </w:r>
    </w:p>
    <w:p>
      <w:pPr>
        <w:pStyle w:val="Normal"/>
        <w:rPr>
          <w:rFonts w:ascii="Aptos" w:hAnsi="Aptos"/>
          <w:b w:val="false"/>
          <w:bCs w:val="false"/>
          <w:i/>
          <w:iCs/>
          <w:sz w:val="24"/>
          <w:szCs w:val="24"/>
          <w:lang w:val="en-GB"/>
        </w:rPr>
      </w:pPr>
      <w:r>
        <w:rPr>
          <w:b w:val="false"/>
          <w:bCs w:val="false"/>
          <w:i/>
          <w:iCs/>
          <w:sz w:val="24"/>
          <w:szCs w:val="24"/>
          <w:lang w:val="en-GB"/>
        </w:rPr>
        <w:t xml:space="preserve">Griffiths, A. (2014) How Paro the robot seal is being used to help UK dementia patients, 8 July. Available at: </w:t>
      </w:r>
      <w:hyperlink r:id="rId4">
        <w:r>
          <w:rPr>
            <w:rStyle w:val="Hyperlink"/>
            <w:b w:val="false"/>
            <w:bCs w:val="false"/>
            <w:i/>
            <w:iCs/>
            <w:strike w:val="false"/>
            <w:dstrike w:val="false"/>
            <w:sz w:val="24"/>
            <w:szCs w:val="24"/>
            <w:u w:val="single"/>
            <w:lang w:val="en-GB"/>
          </w:rPr>
          <w:t>https://www.theguardian.com/society/2014/jul/08/paro-robot-seal-dementia-patients-nhs-japan</w:t>
        </w:r>
      </w:hyperlink>
      <w:r>
        <w:rPr>
          <w:b w:val="false"/>
          <w:bCs w:val="false"/>
          <w:i/>
          <w:iCs/>
          <w:sz w:val="24"/>
          <w:szCs w:val="24"/>
          <w:lang w:val="en-GB"/>
        </w:rPr>
        <w:t xml:space="preserve"> (Accessed: 14 September 2026).</w:t>
      </w:r>
    </w:p>
    <w:p>
      <w:pPr>
        <w:pStyle w:val="Normal"/>
        <w:rPr>
          <w:rFonts w:ascii="Aptos" w:hAnsi="Aptos"/>
          <w:i/>
          <w:iCs/>
          <w:sz w:val="24"/>
          <w:szCs w:val="24"/>
          <w:lang w:val="en-GB"/>
        </w:rPr>
      </w:pPr>
      <w:r>
        <w:rPr>
          <w:i/>
          <w:iCs/>
          <w:sz w:val="24"/>
          <w:szCs w:val="24"/>
          <w:lang w:val="en-GB"/>
        </w:rPr>
        <w:t xml:space="preserve">Hung, L., Liu, C., Woldum, E., Au-Yeung, A., Berndt, A., Wallsworth, C., Horne, N., Gregorio, M., Mann, J. and Chaudhury, H. (2019) 'The benefits of and barriers to using a social robot PARO in care settings: a scoping review', BMC Geriatrics, 19(1), p. 232. Available at: </w:t>
      </w:r>
      <w:hyperlink r:id="rId5">
        <w:r>
          <w:rPr>
            <w:rStyle w:val="Hyperlink"/>
            <w:i/>
            <w:iCs/>
            <w:strike w:val="false"/>
            <w:dstrike w:val="false"/>
            <w:sz w:val="24"/>
            <w:szCs w:val="24"/>
            <w:u w:val="single"/>
            <w:lang w:val="en-GB"/>
          </w:rPr>
          <w:t>https://doi.org/10.1186/s12877-019-1244-6</w:t>
        </w:r>
      </w:hyperlink>
      <w:r>
        <w:rPr>
          <w:i/>
          <w:iCs/>
          <w:sz w:val="24"/>
          <w:szCs w:val="24"/>
          <w:lang w:val="en-GB"/>
        </w:rPr>
        <w:t>.</w:t>
      </w:r>
    </w:p>
    <w:p>
      <w:pPr>
        <w:pStyle w:val="Normal"/>
        <w:rPr>
          <w:rFonts w:ascii="Aptos" w:hAnsi="Aptos"/>
          <w:i/>
          <w:iCs/>
          <w:sz w:val="24"/>
          <w:szCs w:val="24"/>
          <w:lang w:val="en-GB"/>
        </w:rPr>
      </w:pPr>
      <w:r>
        <w:rPr>
          <w:i/>
          <w:iCs/>
          <w:sz w:val="24"/>
          <w:szCs w:val="24"/>
          <w:lang w:val="en-GB"/>
        </w:rPr>
        <w:t xml:space="preserve">Inoue, K., Wada, K., and Shibata, T. (2021) 'Exploring the applicability of the robotic seal PARO to support caring for older persons with dementia within the home context', Palliative Care and Social Practice, 15. Available at: </w:t>
      </w:r>
      <w:hyperlink r:id="rId6">
        <w:r>
          <w:rPr>
            <w:rStyle w:val="Hyperlink"/>
            <w:i/>
            <w:iCs/>
            <w:strike w:val="false"/>
            <w:dstrike w:val="false"/>
            <w:sz w:val="24"/>
            <w:szCs w:val="24"/>
            <w:u w:val="single"/>
            <w:lang w:val="en-GB"/>
          </w:rPr>
          <w:t>https://doi.org/10.1177/26323524211030285</w:t>
        </w:r>
      </w:hyperlink>
      <w:r>
        <w:rPr>
          <w:i/>
          <w:iCs/>
          <w:sz w:val="24"/>
          <w:szCs w:val="24"/>
          <w:lang w:val="en-GB"/>
        </w:rPr>
        <w:t>.</w:t>
      </w:r>
    </w:p>
    <w:p>
      <w:pPr>
        <w:pStyle w:val="Normal"/>
        <w:rPr>
          <w:rFonts w:ascii="Aptos" w:hAnsi="Aptos"/>
          <w:sz w:val="24"/>
          <w:szCs w:val="24"/>
          <w:lang w:val="en-GB"/>
        </w:rPr>
      </w:pPr>
      <w:r>
        <w:rPr>
          <w:sz w:val="24"/>
          <w:szCs w:val="24"/>
          <w:lang w:val="en-GB"/>
        </w:rPr>
        <w:t>Kitwood, T. (1997) Dementia Reconsidered: The Person Comes First. Buckingham: Open University Press.</w:t>
      </w:r>
    </w:p>
    <w:p>
      <w:pPr>
        <w:pStyle w:val="Normal"/>
        <w:rPr>
          <w:rFonts w:ascii="Aptos" w:hAnsi="Aptos"/>
          <w:b w:val="false"/>
          <w:bCs w:val="false"/>
          <w:i/>
          <w:iCs/>
          <w:sz w:val="24"/>
          <w:szCs w:val="24"/>
          <w:lang w:val="en-GB"/>
        </w:rPr>
      </w:pPr>
      <w:r>
        <w:rPr>
          <w:b w:val="false"/>
          <w:bCs w:val="false"/>
          <w:i/>
          <w:iCs/>
          <w:sz w:val="24"/>
          <w:szCs w:val="24"/>
          <w:lang w:val="en-GB"/>
        </w:rPr>
        <w:t xml:space="preserve">Moyle, W., Bramble, M., Jones, C., and Murfield, J. (2018) 'Care staff perceptions of a social robot called Paro and a look-alike plush toy: a descriptive qualitative approach', Aging &amp; Mental Health, 22(3), pp. 330–335. Available at: </w:t>
      </w:r>
      <w:hyperlink r:id="rId7">
        <w:r>
          <w:rPr>
            <w:rStyle w:val="Hyperlink"/>
            <w:b w:val="false"/>
            <w:bCs w:val="false"/>
            <w:i/>
            <w:iCs/>
            <w:strike w:val="false"/>
            <w:dstrike w:val="false"/>
            <w:sz w:val="24"/>
            <w:szCs w:val="24"/>
            <w:u w:val="single"/>
            <w:lang w:val="en-GB"/>
          </w:rPr>
          <w:t>https://doi.org/10.1080/13607863.2016.1262820</w:t>
        </w:r>
      </w:hyperlink>
      <w:r>
        <w:rPr>
          <w:b w:val="false"/>
          <w:bCs w:val="false"/>
          <w:i/>
          <w:iCs/>
          <w:sz w:val="24"/>
          <w:szCs w:val="24"/>
          <w:lang w:val="en-GB"/>
        </w:rPr>
        <w:t>.</w:t>
      </w:r>
    </w:p>
    <w:p>
      <w:pPr>
        <w:pStyle w:val="Normal"/>
        <w:rPr>
          <w:rFonts w:ascii="Aptos" w:hAnsi="Aptos"/>
          <w:sz w:val="24"/>
          <w:szCs w:val="24"/>
          <w:lang w:val="en-GB"/>
        </w:rPr>
      </w:pPr>
      <w:r>
        <w:rPr>
          <w:sz w:val="24"/>
          <w:szCs w:val="24"/>
          <w:lang w:val="en-GB"/>
        </w:rPr>
        <w:t xml:space="preserve">National Institute for Health and Care Excellence (2018) Dementia: assessment, management and support for people living with dementia and their carers (NG97). Available at: </w:t>
      </w:r>
      <w:hyperlink r:id="rId8">
        <w:r>
          <w:rPr>
            <w:rStyle w:val="Hyperlink"/>
            <w:strike w:val="false"/>
            <w:dstrike w:val="false"/>
            <w:sz w:val="24"/>
            <w:szCs w:val="24"/>
            <w:u w:val="single"/>
            <w:lang w:val="en-GB"/>
          </w:rPr>
          <w:t>https://www.nice.org.uk/guidance/ng97</w:t>
        </w:r>
      </w:hyperlink>
      <w:r>
        <w:rPr>
          <w:sz w:val="24"/>
          <w:szCs w:val="24"/>
          <w:lang w:val="en-GB"/>
        </w:rPr>
        <w:t xml:space="preserve"> (Accessed: 15 September 2026).</w:t>
      </w:r>
    </w:p>
    <w:p>
      <w:pPr>
        <w:pStyle w:val="Normal"/>
        <w:rPr>
          <w:rFonts w:ascii="Aptos" w:hAnsi="Aptos"/>
          <w:sz w:val="24"/>
          <w:szCs w:val="24"/>
          <w:lang w:val="en-GB"/>
        </w:rPr>
      </w:pPr>
      <w:r>
        <w:rPr>
          <w:sz w:val="24"/>
          <w:szCs w:val="24"/>
          <w:lang w:val="en-GB"/>
        </w:rPr>
        <w:t>Sharkey, A., and Wood, N. (2014) 'The Paro seal robot: demeaning or enabling?', AISB 2014 50th Annual Convention of the AISB. Goldsmiths, University of London. Available at:</w:t>
      </w:r>
      <w:hyperlink r:id="rId9">
        <w:r>
          <w:rPr>
            <w:rStyle w:val="Hyperlink"/>
            <w:strike w:val="false"/>
            <w:dstrike w:val="false"/>
            <w:sz w:val="24"/>
            <w:szCs w:val="24"/>
            <w:u w:val="single"/>
            <w:lang w:val="en-GB"/>
          </w:rPr>
          <w:t>https://www.doc.gold.ac.uk/aisb50/AISB50-S17/AISB50-S17-Sharkey-Paper.pdf</w:t>
        </w:r>
      </w:hyperlink>
      <w:r>
        <w:rPr>
          <w:sz w:val="24"/>
          <w:szCs w:val="24"/>
          <w:lang w:val="en-GB"/>
        </w:rPr>
        <w:t xml:space="preserve"> (Accessed: 14 September 2026).</w:t>
      </w:r>
    </w:p>
    <w:p>
      <w:pPr>
        <w:pStyle w:val="Normal"/>
        <w:rPr>
          <w:rFonts w:ascii="Aptos" w:hAnsi="Aptos"/>
          <w:sz w:val="24"/>
          <w:szCs w:val="24"/>
        </w:rPr>
      </w:pPr>
      <w:r>
        <w:rPr>
          <w:sz w:val="24"/>
          <w:szCs w:val="24"/>
        </w:rPr>
      </w:r>
    </w:p>
    <w:p>
      <w:pPr>
        <w:pStyle w:val="Normal"/>
        <w:rPr>
          <w:rFonts w:ascii="Aptos" w:hAnsi="Aptos"/>
          <w:sz w:val="24"/>
          <w:szCs w:val="24"/>
        </w:rPr>
      </w:pPr>
      <w:r>
        <w:rPr>
          <w:sz w:val="24"/>
          <w:szCs w:val="24"/>
        </w:rPr>
      </w:r>
    </w:p>
    <w:p>
      <w:pPr>
        <w:pStyle w:val="Normal"/>
        <w:rPr/>
      </w:pPr>
      <w:r>
        <w:rPr>
          <w:sz w:val="24"/>
          <w:szCs w:val="24"/>
          <w:lang w:val="en-GB"/>
        </w:rPr>
        <w:t xml:space="preserve">Shoesmith, E.K., Clarke, C., McPherson, G. and Ratschen, E. (2024) 'Using PARO, a robotic seal, to support people living with dementia: "what works" in inpatient dementia care settings?', Human-Animal Interactions, 12(1), p. 23. Available at: </w:t>
      </w:r>
      <w:hyperlink r:id="rId10">
        <w:r>
          <w:rPr>
            <w:rStyle w:val="Hyperlink"/>
            <w:strike w:val="false"/>
            <w:dstrike w:val="false"/>
            <w:sz w:val="24"/>
            <w:szCs w:val="24"/>
            <w:u w:val="single"/>
            <w:lang w:val="en-GB"/>
          </w:rPr>
          <w:t>https://doi.org/10.1079/hai.2024.0023</w:t>
        </w:r>
      </w:hyperlink>
      <w:r>
        <w:rPr>
          <w:sz w:val="24"/>
          <w:szCs w:val="24"/>
          <w:lang w:val="en-GB"/>
        </w:rPr>
        <w:t>.</w:t>
      </w:r>
    </w:p>
    <w:p>
      <w:pPr>
        <w:pStyle w:val="Normal"/>
        <w:rPr>
          <w:rFonts w:ascii="Aptos" w:hAnsi="Aptos"/>
          <w:sz w:val="24"/>
          <w:szCs w:val="24"/>
          <w:lang w:val="en-GB"/>
        </w:rPr>
      </w:pPr>
      <w:r>
        <w:rPr>
          <w:sz w:val="24"/>
          <w:szCs w:val="24"/>
          <w:lang w:val="en-GB"/>
        </w:rPr>
      </w:r>
    </w:p>
    <w:p>
      <w:pPr>
        <w:pStyle w:val="Normal"/>
        <w:rPr>
          <w:rFonts w:ascii="Aptos" w:hAnsi="Aptos"/>
          <w:b w:val="false"/>
          <w:bCs w:val="false"/>
          <w:i w:val="false"/>
          <w:iCs w:val="false"/>
          <w:sz w:val="24"/>
          <w:szCs w:val="24"/>
          <w:lang w:val="en-GB"/>
        </w:rPr>
      </w:pPr>
      <w:r>
        <w:rPr>
          <w:b w:val="false"/>
          <w:bCs w:val="false"/>
          <w:i w:val="false"/>
          <w:iCs w:val="false"/>
          <w:sz w:val="24"/>
          <w:szCs w:val="24"/>
          <w:lang w:val="en-GB"/>
        </w:rPr>
        <w:t xml:space="preserve">Wright, J. (2023) </w:t>
      </w:r>
      <w:r>
        <w:rPr>
          <w:b w:val="false"/>
          <w:bCs w:val="false"/>
          <w:i/>
          <w:iCs/>
          <w:sz w:val="24"/>
          <w:szCs w:val="24"/>
          <w:lang w:val="en-GB"/>
        </w:rPr>
        <w:t>'Inside Japan's long experiment in automating elder care</w:t>
      </w:r>
      <w:r>
        <w:rPr>
          <w:b w:val="false"/>
          <w:bCs w:val="false"/>
          <w:i w:val="false"/>
          <w:iCs w:val="false"/>
          <w:sz w:val="24"/>
          <w:szCs w:val="24"/>
          <w:lang w:val="en-GB"/>
        </w:rPr>
        <w:t xml:space="preserve">', MIT Technology Review, “9January.Available “at: </w:t>
      </w:r>
      <w:hyperlink r:id="rId11">
        <w:r>
          <w:rPr>
            <w:rStyle w:val="Hyperlink"/>
            <w:b w:val="false"/>
            <w:bCs w:val="false"/>
            <w:i w:val="false"/>
            <w:iCs w:val="false"/>
            <w:strike w:val="false"/>
            <w:dstrike w:val="false"/>
            <w:sz w:val="24"/>
            <w:szCs w:val="24"/>
            <w:u w:val="single"/>
            <w:lang w:val="en-GB"/>
          </w:rPr>
          <w:t>https://www.technologyreview.com/2023/01/09/1065135/japan-automating-eldercare-robots/</w:t>
        </w:r>
      </w:hyperlink>
      <w:r>
        <w:rPr>
          <w:i w:val="false"/>
          <w:iCs w:val="false"/>
          <w:sz w:val="24"/>
          <w:szCs w:val="24"/>
          <w:lang w:val="en-GB"/>
        </w:rPr>
        <w:t xml:space="preserve"> </w:t>
      </w:r>
      <w:r>
        <w:rPr>
          <w:b w:val="false"/>
          <w:bCs w:val="false"/>
          <w:i w:val="false"/>
          <w:iCs w:val="false"/>
          <w:sz w:val="24"/>
          <w:szCs w:val="24"/>
          <w:lang w:val="en-GB"/>
        </w:rPr>
        <w:t>(Accessed: 14 September 2026).</w:t>
      </w:r>
    </w:p>
    <w:p>
      <w:pPr>
        <w:pStyle w:val="Normal"/>
        <w:rPr/>
      </w:pPr>
      <w:r>
        <w:rPr/>
      </w:r>
    </w:p>
    <w:p>
      <w:pPr>
        <w:pStyle w:val="Normal"/>
        <w:rPr/>
      </w:pPr>
      <w:r>
        <w:rPr/>
      </w:r>
    </w:p>
    <w:p>
      <w:pPr>
        <w:pStyle w:val="Normal"/>
        <w:widowControl/>
        <w:bidi w:val="0"/>
        <w:spacing w:lineRule="auto" w:line="278" w:before="0" w:after="160"/>
        <w:jc w:val="start"/>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ptos">
    <w:charset w:val="01" w:characterSet="utf-8"/>
    <w:family w:val="roman"/>
    <w:pitch w:val="variable"/>
  </w:font>
  <w:font w:name="Liberation Sans">
    <w:altName w:val="Arial"/>
    <w:charset w:val="01" w:characterSet="utf-8"/>
    <w:family w:val="swiss"/>
    <w:pitch w:val="variable"/>
  </w:font>
  <w:font w:name="system-ui">
    <w:charset w:val="01" w:characterSet="utf-8"/>
    <w:family w:val="roman"/>
    <w:pitch w:val="variable"/>
  </w:font>
  <w:font w:name="Arial">
    <w:charset w:val="01" w:characterSet="utf-8"/>
    <w:family w:val="swiss"/>
    <w:pitch w:val="variable"/>
  </w:font>
  <w:font w:name="Inter">
    <w:altName w:val="system-ui"/>
    <w:charset w:val="01" w:characterSet="utf-8"/>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suppressAutoHyphens w:val="true"/>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suppressAutoHyphens w:val="true"/>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fldChar w:fldCharType="begin"/>
          </w:r>
          <w:r>
            <w:rPr>
              <w:rFonts w:eastAsia="" w:cs=""/>
              <w:kern w:val="0"/>
              <w:sz w:val="24"/>
              <w:szCs w:val="24"/>
              <w:lang w:val="en-GB" w:eastAsia="ja-JP" w:bidi="ar-SA"/>
            </w:rPr>
            <w:instrText xml:space="preserve"> PAGE </w:instrText>
          </w:r>
          <w:r>
            <w:rPr>
              <w:rFonts w:eastAsia="" w:cs=""/>
              <w:kern w:val="0"/>
              <w:sz w:val="24"/>
              <w:szCs w:val="24"/>
              <w:lang w:val="en-GB" w:eastAsia="ja-JP" w:bidi="ar-SA"/>
            </w:rPr>
            <w:fldChar w:fldCharType="separate"/>
          </w:r>
          <w:r>
            <w:rPr>
              <w:rFonts w:eastAsia="" w:cs=""/>
              <w:kern w:val="0"/>
              <w:sz w:val="24"/>
              <w:szCs w:val="24"/>
              <w:lang w:val="en-GB" w:eastAsia="ja-JP" w:bidi="ar-SA"/>
            </w:rPr>
            <w:t>9</w:t>
          </w:r>
          <w:r>
            <w:rPr>
              <w:rFonts w:eastAsia="" w:cs=""/>
              <w:kern w:val="0"/>
              <w:sz w:val="24"/>
              <w:szCs w:val="24"/>
              <w:lang w:val="en-GB" w:eastAsia="ja-JP" w:bidi="ar-SA"/>
            </w:rPr>
            <w:fldChar w:fldCharType="end"/>
          </w:r>
        </w:p>
      </w:tc>
      <w:tc>
        <w:tcPr>
          <w:tcW w:w="3005" w:type="dxa"/>
          <w:tcBorders/>
        </w:tcPr>
        <w:p>
          <w:pPr>
            <w:pStyle w:val="Header"/>
            <w:widowControl/>
            <w:suppressAutoHyphens w:val="true"/>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Footer"/>
      <w:bidi w:val="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suppressAutoHyphens w:val="true"/>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suppressAutoHyphens w:val="true"/>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fldChar w:fldCharType="begin"/>
          </w:r>
          <w:r>
            <w:rPr>
              <w:rFonts w:eastAsia="" w:cs=""/>
              <w:kern w:val="0"/>
              <w:sz w:val="24"/>
              <w:szCs w:val="24"/>
              <w:lang w:val="en-GB" w:eastAsia="ja-JP" w:bidi="ar-SA"/>
            </w:rPr>
            <w:instrText xml:space="preserve"> PAGE </w:instrText>
          </w:r>
          <w:r>
            <w:rPr>
              <w:rFonts w:eastAsia="" w:cs=""/>
              <w:kern w:val="0"/>
              <w:sz w:val="24"/>
              <w:szCs w:val="24"/>
              <w:lang w:val="en-GB" w:eastAsia="ja-JP" w:bidi="ar-SA"/>
            </w:rPr>
            <w:fldChar w:fldCharType="separate"/>
          </w:r>
          <w:r>
            <w:rPr>
              <w:rFonts w:eastAsia="" w:cs=""/>
              <w:kern w:val="0"/>
              <w:sz w:val="24"/>
              <w:szCs w:val="24"/>
              <w:lang w:val="en-GB" w:eastAsia="ja-JP" w:bidi="ar-SA"/>
            </w:rPr>
            <w:t>9</w:t>
          </w:r>
          <w:r>
            <w:rPr>
              <w:rFonts w:eastAsia="" w:cs=""/>
              <w:kern w:val="0"/>
              <w:sz w:val="24"/>
              <w:szCs w:val="24"/>
              <w:lang w:val="en-GB" w:eastAsia="ja-JP" w:bidi="ar-SA"/>
            </w:rPr>
            <w:fldChar w:fldCharType="end"/>
          </w:r>
        </w:p>
      </w:tc>
      <w:tc>
        <w:tcPr>
          <w:tcW w:w="3005" w:type="dxa"/>
          <w:tcBorders/>
        </w:tcPr>
        <w:p>
          <w:pPr>
            <w:pStyle w:val="Header"/>
            <w:widowControl/>
            <w:suppressAutoHyphens w:val="true"/>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Footer"/>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suppressAutoHyphens w:val="true"/>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suppressAutoHyphens w:val="true"/>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suppressAutoHyphens w:val="true"/>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Header"/>
      <w:bidi w:val="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suppressAutoHyphens w:val="true"/>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suppressAutoHyphens w:val="true"/>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suppressAutoHyphens w:val="true"/>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Header"/>
      <w:bidi w:val="0"/>
      <w:rPr/>
    </w:pPr>
    <w:r>
      <w:rPr/>
    </w:r>
  </w:p>
</w:hd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GB" w:eastAsia="ja-JP"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8" w:before="0" w:after="160"/>
      <w:jc w:val="start"/>
    </w:pPr>
    <w:rPr>
      <w:rFonts w:ascii="Aptos" w:hAnsi="Aptos" w:eastAsia="" w:cs="" w:asciiTheme="minorHAnsi" w:cstheme="minorBidi" w:eastAsiaTheme="minorEastAsia" w:hAnsiTheme="minorHAnsi"/>
      <w:color w:val="auto"/>
      <w:kern w:val="0"/>
      <w:sz w:val="24"/>
      <w:szCs w:val="24"/>
      <w:lang w:val="en-GB" w:eastAsia="ja-JP"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25c5eb35"/>
    <w:rPr>
      <w:color w:val="467886"/>
      <w:u w:val="single"/>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uiPriority w:val="99"/>
    <w:unhideWhenUsed/>
    <w:rsid w:val="25c5eb35"/>
    <w:pPr>
      <w:tabs>
        <w:tab w:val="clear" w:pos="720"/>
        <w:tab w:val="center" w:pos="4680" w:leader="none"/>
        <w:tab w:val="right" w:pos="9360" w:leader="none"/>
      </w:tabs>
      <w:spacing w:lineRule="auto" w:line="240" w:before="0" w:after="0"/>
    </w:pPr>
    <w:rPr/>
  </w:style>
  <w:style w:type="paragraph" w:styleId="Footer">
    <w:name w:val="footer"/>
    <w:basedOn w:val="Normal"/>
    <w:uiPriority w:val="99"/>
    <w:unhideWhenUsed/>
    <w:rsid w:val="25c5eb35"/>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lzheimers.org.uk/blog/how-many-people-have-dementia-uk" TargetMode="External"/><Relationship Id="rId3" Type="http://schemas.openxmlformats.org/officeDocument/2006/relationships/hyperlink" Target="https://www.gov.uk/government/publications/a-plan-for-digital-health-and-social-care" TargetMode="External"/><Relationship Id="rId4" Type="http://schemas.openxmlformats.org/officeDocument/2006/relationships/hyperlink" Target="https://www.theguardian.com/society/2014/jul/08/paro-robot-seal-dementia-patients-nhs-japan" TargetMode="External"/><Relationship Id="rId5" Type="http://schemas.openxmlformats.org/officeDocument/2006/relationships/hyperlink" Target="https://doi.org/10.1186/s12877-019-1244-6" TargetMode="External"/><Relationship Id="rId6" Type="http://schemas.openxmlformats.org/officeDocument/2006/relationships/hyperlink" Target="https://doi.org/10.1177/26323524211030285" TargetMode="External"/><Relationship Id="rId7" Type="http://schemas.openxmlformats.org/officeDocument/2006/relationships/hyperlink" Target="https://doi.org/10.1080/13607863.2016.1262820" TargetMode="External"/><Relationship Id="rId8" Type="http://schemas.openxmlformats.org/officeDocument/2006/relationships/hyperlink" Target="https://www.nice.org.uk/guidance/ng97" TargetMode="External"/><Relationship Id="rId9" Type="http://schemas.openxmlformats.org/officeDocument/2006/relationships/hyperlink" Target="https://www.doc.gold.ac.uk/aisb50/AISB50-S17/AISB50-S17-Sharkey-Paper.pdf" TargetMode="External"/><Relationship Id="rId10" Type="http://schemas.openxmlformats.org/officeDocument/2006/relationships/hyperlink" Target="https://doi.org/10.1079/hai.2024.0023" TargetMode="External"/><Relationship Id="rId11" Type="http://schemas.openxmlformats.org/officeDocument/2006/relationships/hyperlink" Target="https://www.technologyreview.com/2023/01/09/1065135/japan-automating-eldercare-robots/"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LibreOffice/26.2.1.2$Linux_X86_64 LibreOffice_project/620$Build-2</Application>
  <AppVersion>15.0000</AppVersion>
  <Pages>9</Pages>
  <Words>2519</Words>
  <Characters>15575</Characters>
  <CharactersWithSpaces>18057</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2026-10-08T18:20:03Z</dcterms:created>
  <dc:creator>Nichola Timothy (2407528)</dc:creator>
  <dc:description/>
  <dc:language>en-GB</dc:language>
  <cp:lastModifiedBy/>
  <dcterms:modified xsi:type="dcterms:W3CDTF">2026-10-16T13:19:46Z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