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F04688" w14:textId="77777777" w:rsidR="000B743B" w:rsidRDefault="000B743B" w:rsidP="00231A96">
      <w:pPr>
        <w:jc w:val="both"/>
        <w:rPr>
          <w:szCs w:val="22"/>
        </w:rPr>
      </w:pPr>
    </w:p>
    <w:p w14:paraId="5F35B5B9" w14:textId="77777777" w:rsidR="00231A96" w:rsidRDefault="00231A96" w:rsidP="00231A96">
      <w:pPr>
        <w:jc w:val="both"/>
        <w:rPr>
          <w:szCs w:val="22"/>
        </w:rPr>
      </w:pPr>
    </w:p>
    <w:p w14:paraId="30E63735" w14:textId="4C88306D" w:rsidR="00EF218A" w:rsidRPr="004943C4" w:rsidRDefault="00EF218A" w:rsidP="00005413">
      <w:pPr>
        <w:jc w:val="center"/>
        <w:rPr>
          <w:b/>
          <w:bCs/>
          <w:sz w:val="28"/>
          <w:szCs w:val="32"/>
          <w:lang w:val="en-US"/>
        </w:rPr>
      </w:pPr>
      <w:r w:rsidRPr="00005413">
        <w:rPr>
          <w:b/>
          <w:bCs/>
          <w:sz w:val="28"/>
          <w:szCs w:val="32"/>
        </w:rPr>
        <w:t>Name</w:t>
      </w:r>
      <w:r w:rsidR="004943C4">
        <w:rPr>
          <w:b/>
          <w:bCs/>
          <w:sz w:val="28"/>
          <w:szCs w:val="32"/>
          <w:lang w:val="en-US"/>
        </w:rPr>
        <w:t>: Noreen Akhtar</w:t>
      </w:r>
    </w:p>
    <w:p w14:paraId="2CA040D3" w14:textId="48551B0D" w:rsidR="00EF218A" w:rsidRPr="004943C4" w:rsidRDefault="00EF218A" w:rsidP="00997848">
      <w:pPr>
        <w:jc w:val="center"/>
        <w:rPr>
          <w:b/>
          <w:bCs/>
          <w:sz w:val="28"/>
          <w:szCs w:val="32"/>
          <w:lang w:val="en-US"/>
        </w:rPr>
      </w:pPr>
      <w:r w:rsidRPr="00005413">
        <w:rPr>
          <w:b/>
          <w:bCs/>
          <w:sz w:val="28"/>
          <w:szCs w:val="32"/>
        </w:rPr>
        <w:t>Student Number</w:t>
      </w:r>
      <w:r w:rsidR="004943C4">
        <w:rPr>
          <w:b/>
          <w:bCs/>
          <w:sz w:val="28"/>
          <w:szCs w:val="32"/>
          <w:lang w:val="en-US"/>
        </w:rPr>
        <w:t xml:space="preserve">: </w:t>
      </w:r>
      <w:r w:rsidR="00997848" w:rsidRPr="00997848">
        <w:rPr>
          <w:b/>
          <w:bCs/>
          <w:sz w:val="28"/>
          <w:szCs w:val="32"/>
          <w:lang w:val="en-US"/>
        </w:rPr>
        <w:t>2246135</w:t>
      </w:r>
    </w:p>
    <w:p w14:paraId="26F1BD1F" w14:textId="3A29D3F7" w:rsidR="00EF218A" w:rsidRPr="004943C4" w:rsidRDefault="00EF218A" w:rsidP="004943C4">
      <w:pPr>
        <w:jc w:val="center"/>
        <w:rPr>
          <w:b/>
          <w:bCs/>
          <w:sz w:val="28"/>
          <w:szCs w:val="32"/>
          <w:lang w:val="en-US"/>
        </w:rPr>
      </w:pPr>
      <w:r w:rsidRPr="00005413">
        <w:rPr>
          <w:b/>
          <w:bCs/>
          <w:sz w:val="28"/>
          <w:szCs w:val="32"/>
        </w:rPr>
        <w:t>Module</w:t>
      </w:r>
      <w:r w:rsidR="004943C4">
        <w:rPr>
          <w:b/>
          <w:bCs/>
          <w:sz w:val="28"/>
          <w:szCs w:val="32"/>
          <w:lang w:val="en-US"/>
        </w:rPr>
        <w:t xml:space="preserve">: </w:t>
      </w:r>
      <w:r w:rsidR="004943C4" w:rsidRPr="004943C4">
        <w:rPr>
          <w:b/>
          <w:bCs/>
          <w:sz w:val="28"/>
          <w:szCs w:val="32"/>
          <w:lang w:val="en-US"/>
        </w:rPr>
        <w:t>Health, Wellbeing and Sustainable Development</w:t>
      </w:r>
      <w:r w:rsidR="004943C4">
        <w:rPr>
          <w:b/>
          <w:bCs/>
          <w:sz w:val="28"/>
          <w:szCs w:val="32"/>
          <w:lang w:val="en-US"/>
        </w:rPr>
        <w:t xml:space="preserve"> - </w:t>
      </w:r>
      <w:r w:rsidR="004943C4" w:rsidRPr="004943C4">
        <w:rPr>
          <w:b/>
          <w:bCs/>
          <w:sz w:val="28"/>
          <w:szCs w:val="32"/>
        </w:rPr>
        <w:t>BMHP6030</w:t>
      </w:r>
    </w:p>
    <w:p w14:paraId="31051C34" w14:textId="373B0F3D" w:rsidR="00EF218A" w:rsidRPr="004943C4" w:rsidRDefault="00EF218A" w:rsidP="00005413">
      <w:pPr>
        <w:jc w:val="center"/>
        <w:rPr>
          <w:b/>
          <w:bCs/>
          <w:sz w:val="28"/>
          <w:szCs w:val="32"/>
          <w:lang w:val="en-US"/>
        </w:rPr>
      </w:pPr>
      <w:r w:rsidRPr="00005413">
        <w:rPr>
          <w:b/>
          <w:bCs/>
          <w:sz w:val="28"/>
          <w:szCs w:val="32"/>
        </w:rPr>
        <w:t>Assignment Title</w:t>
      </w:r>
      <w:r w:rsidR="004943C4">
        <w:rPr>
          <w:b/>
          <w:bCs/>
          <w:sz w:val="28"/>
          <w:szCs w:val="32"/>
          <w:lang w:val="en-US"/>
        </w:rPr>
        <w:t xml:space="preserve">: </w:t>
      </w:r>
      <w:r w:rsidR="004943C4" w:rsidRPr="004943C4">
        <w:rPr>
          <w:b/>
          <w:bCs/>
          <w:sz w:val="28"/>
          <w:szCs w:val="32"/>
          <w:lang w:val="en-US"/>
        </w:rPr>
        <w:t xml:space="preserve">Component 2: Written Assignment (Report) </w:t>
      </w:r>
    </w:p>
    <w:p w14:paraId="759A51CA" w14:textId="751AD441" w:rsidR="00231A96" w:rsidRPr="004943C4" w:rsidRDefault="00EF218A" w:rsidP="00005413">
      <w:pPr>
        <w:jc w:val="center"/>
        <w:rPr>
          <w:b/>
          <w:bCs/>
          <w:sz w:val="28"/>
          <w:szCs w:val="28"/>
          <w:lang w:val="en-US"/>
        </w:rPr>
      </w:pPr>
      <w:r w:rsidRPr="00005413">
        <w:rPr>
          <w:b/>
          <w:bCs/>
          <w:sz w:val="28"/>
          <w:szCs w:val="32"/>
        </w:rPr>
        <w:t>Lecturer Name</w:t>
      </w:r>
      <w:r w:rsidR="004943C4">
        <w:rPr>
          <w:b/>
          <w:bCs/>
          <w:sz w:val="28"/>
          <w:szCs w:val="32"/>
          <w:lang w:val="en-US"/>
        </w:rPr>
        <w:t xml:space="preserve">: </w:t>
      </w:r>
      <w:proofErr w:type="spellStart"/>
      <w:r w:rsidR="004943C4">
        <w:rPr>
          <w:b/>
          <w:bCs/>
          <w:sz w:val="28"/>
          <w:szCs w:val="32"/>
          <w:lang w:val="en-US"/>
        </w:rPr>
        <w:t>P</w:t>
      </w:r>
      <w:r w:rsidR="004943C4" w:rsidRPr="004943C4">
        <w:rPr>
          <w:b/>
          <w:bCs/>
          <w:sz w:val="28"/>
          <w:szCs w:val="32"/>
          <w:lang w:val="en-US"/>
        </w:rPr>
        <w:t>arese</w:t>
      </w:r>
      <w:proofErr w:type="spellEnd"/>
      <w:r w:rsidR="004943C4" w:rsidRPr="004943C4">
        <w:rPr>
          <w:b/>
          <w:bCs/>
          <w:sz w:val="28"/>
          <w:szCs w:val="32"/>
          <w:lang w:val="en-US"/>
        </w:rPr>
        <w:t xml:space="preserve"> Ahmed</w:t>
      </w:r>
    </w:p>
    <w:p w14:paraId="72261D27" w14:textId="12F0264D" w:rsidR="00017665" w:rsidRPr="00231A96" w:rsidRDefault="00017665" w:rsidP="00231A96">
      <w:pPr>
        <w:jc w:val="both"/>
        <w:rPr>
          <w:szCs w:val="22"/>
        </w:rPr>
      </w:pPr>
    </w:p>
    <w:p w14:paraId="13536CE6" w14:textId="77777777" w:rsidR="00212066" w:rsidRDefault="00212066" w:rsidP="00231A96">
      <w:pPr>
        <w:jc w:val="both"/>
        <w:rPr>
          <w:szCs w:val="22"/>
        </w:rPr>
      </w:pPr>
    </w:p>
    <w:p w14:paraId="66CACF5C" w14:textId="77777777" w:rsidR="00005413" w:rsidRDefault="00005413" w:rsidP="00231A96">
      <w:pPr>
        <w:jc w:val="both"/>
        <w:rPr>
          <w:szCs w:val="22"/>
        </w:rPr>
      </w:pPr>
    </w:p>
    <w:p w14:paraId="4D0AABB6" w14:textId="77777777" w:rsidR="00005413" w:rsidRDefault="00005413" w:rsidP="00231A96">
      <w:pPr>
        <w:jc w:val="both"/>
        <w:rPr>
          <w:szCs w:val="22"/>
        </w:rPr>
      </w:pPr>
    </w:p>
    <w:p w14:paraId="630BEB7F" w14:textId="77777777" w:rsidR="00005413" w:rsidRDefault="00005413" w:rsidP="00231A96">
      <w:pPr>
        <w:jc w:val="both"/>
        <w:rPr>
          <w:szCs w:val="22"/>
        </w:rPr>
      </w:pPr>
    </w:p>
    <w:p w14:paraId="1B74158A" w14:textId="77777777" w:rsidR="00005413" w:rsidRDefault="00005413" w:rsidP="00231A96">
      <w:pPr>
        <w:jc w:val="both"/>
        <w:rPr>
          <w:szCs w:val="22"/>
        </w:rPr>
      </w:pPr>
    </w:p>
    <w:p w14:paraId="5B21405F" w14:textId="77777777" w:rsidR="00005413" w:rsidRDefault="00005413" w:rsidP="00231A96">
      <w:pPr>
        <w:jc w:val="both"/>
        <w:rPr>
          <w:szCs w:val="22"/>
        </w:rPr>
      </w:pPr>
    </w:p>
    <w:p w14:paraId="553CAD96" w14:textId="77777777" w:rsidR="00005413" w:rsidRDefault="00005413" w:rsidP="00231A96">
      <w:pPr>
        <w:jc w:val="both"/>
        <w:rPr>
          <w:szCs w:val="22"/>
        </w:rPr>
      </w:pPr>
    </w:p>
    <w:p w14:paraId="0330CB9F" w14:textId="77777777" w:rsidR="00005413" w:rsidRDefault="00005413" w:rsidP="00231A96">
      <w:pPr>
        <w:jc w:val="both"/>
        <w:rPr>
          <w:szCs w:val="22"/>
        </w:rPr>
      </w:pPr>
    </w:p>
    <w:p w14:paraId="5E57320F" w14:textId="77777777" w:rsidR="00005413" w:rsidRDefault="00005413" w:rsidP="00231A96">
      <w:pPr>
        <w:jc w:val="both"/>
        <w:rPr>
          <w:szCs w:val="22"/>
        </w:rPr>
      </w:pPr>
    </w:p>
    <w:p w14:paraId="6FFD16C7" w14:textId="77777777" w:rsidR="00005413" w:rsidRDefault="00005413" w:rsidP="00231A96">
      <w:pPr>
        <w:jc w:val="both"/>
        <w:rPr>
          <w:szCs w:val="22"/>
        </w:rPr>
      </w:pPr>
    </w:p>
    <w:p w14:paraId="01593D28" w14:textId="77777777" w:rsidR="00005413" w:rsidRDefault="00005413" w:rsidP="00231A96">
      <w:pPr>
        <w:jc w:val="both"/>
        <w:rPr>
          <w:szCs w:val="22"/>
        </w:rPr>
      </w:pPr>
    </w:p>
    <w:p w14:paraId="29442596" w14:textId="77777777" w:rsidR="00005413" w:rsidRDefault="00005413" w:rsidP="00231A96">
      <w:pPr>
        <w:jc w:val="both"/>
        <w:rPr>
          <w:szCs w:val="22"/>
        </w:rPr>
      </w:pPr>
    </w:p>
    <w:p w14:paraId="02A148F0" w14:textId="77777777" w:rsidR="00005413" w:rsidRDefault="00005413" w:rsidP="00231A96">
      <w:pPr>
        <w:jc w:val="both"/>
        <w:rPr>
          <w:szCs w:val="22"/>
        </w:rPr>
      </w:pPr>
    </w:p>
    <w:p w14:paraId="11F03D61" w14:textId="77777777" w:rsidR="00005413" w:rsidRDefault="00005413" w:rsidP="00231A96">
      <w:pPr>
        <w:jc w:val="both"/>
        <w:rPr>
          <w:szCs w:val="22"/>
        </w:rPr>
      </w:pPr>
    </w:p>
    <w:p w14:paraId="781BAD71" w14:textId="77777777" w:rsidR="00005413" w:rsidRDefault="00005413" w:rsidP="00231A96">
      <w:pPr>
        <w:jc w:val="both"/>
        <w:rPr>
          <w:szCs w:val="22"/>
        </w:rPr>
      </w:pPr>
    </w:p>
    <w:p w14:paraId="4C126584" w14:textId="77777777" w:rsidR="00005413" w:rsidRDefault="00005413" w:rsidP="00231A96">
      <w:pPr>
        <w:jc w:val="both"/>
        <w:rPr>
          <w:szCs w:val="22"/>
        </w:rPr>
      </w:pPr>
    </w:p>
    <w:sdt>
      <w:sdtPr>
        <w:rPr>
          <w:rFonts w:ascii="Arial" w:eastAsiaTheme="minorHAnsi" w:hAnsi="Arial" w:cs="Arial"/>
          <w:b w:val="0"/>
          <w:bCs w:val="0"/>
          <w:color w:val="auto"/>
          <w:kern w:val="2"/>
          <w:sz w:val="22"/>
          <w:szCs w:val="22"/>
          <w:lang w:val="en-GB"/>
          <w14:ligatures w14:val="standardContextual"/>
        </w:rPr>
        <w:id w:val="840056863"/>
        <w:docPartObj>
          <w:docPartGallery w:val="Table of Contents"/>
          <w:docPartUnique/>
        </w:docPartObj>
      </w:sdtPr>
      <w:sdtEndPr>
        <w:rPr>
          <w:noProof/>
        </w:rPr>
      </w:sdtEndPr>
      <w:sdtContent>
        <w:p w14:paraId="1CEF8465" w14:textId="03FCEC80" w:rsidR="00005413" w:rsidRPr="000B4AFF" w:rsidRDefault="00005413">
          <w:pPr>
            <w:pStyle w:val="TOCHeading"/>
            <w:rPr>
              <w:rFonts w:ascii="Arial" w:hAnsi="Arial" w:cs="Arial"/>
            </w:rPr>
          </w:pPr>
          <w:r w:rsidRPr="000B4AFF">
            <w:rPr>
              <w:rFonts w:ascii="Arial" w:hAnsi="Arial" w:cs="Arial"/>
            </w:rPr>
            <w:t>Table of Contents</w:t>
          </w:r>
        </w:p>
        <w:p w14:paraId="530DF5BB" w14:textId="1C2074F8" w:rsidR="000B4AFF" w:rsidRPr="000B4AFF" w:rsidRDefault="00005413">
          <w:pPr>
            <w:pStyle w:val="TOC1"/>
            <w:tabs>
              <w:tab w:val="right" w:leader="dot" w:pos="9016"/>
            </w:tabs>
            <w:rPr>
              <w:rFonts w:ascii="Arial" w:eastAsiaTheme="minorEastAsia" w:hAnsi="Arial" w:cs="Arial"/>
              <w:b w:val="0"/>
              <w:bCs w:val="0"/>
              <w:noProof/>
              <w:sz w:val="22"/>
              <w:szCs w:val="22"/>
              <w:lang w:eastAsia="en-GB"/>
            </w:rPr>
          </w:pPr>
          <w:r w:rsidRPr="000B4AFF">
            <w:rPr>
              <w:rFonts w:ascii="Arial" w:hAnsi="Arial" w:cs="Arial"/>
              <w:b w:val="0"/>
              <w:bCs w:val="0"/>
              <w:sz w:val="22"/>
              <w:szCs w:val="22"/>
            </w:rPr>
            <w:fldChar w:fldCharType="begin"/>
          </w:r>
          <w:r w:rsidRPr="000B4AFF">
            <w:rPr>
              <w:rFonts w:ascii="Arial" w:hAnsi="Arial" w:cs="Arial"/>
              <w:sz w:val="22"/>
              <w:szCs w:val="22"/>
            </w:rPr>
            <w:instrText xml:space="preserve"> TOC \o "1-3" \h \z \u </w:instrText>
          </w:r>
          <w:r w:rsidRPr="000B4AFF">
            <w:rPr>
              <w:rFonts w:ascii="Arial" w:hAnsi="Arial" w:cs="Arial"/>
              <w:b w:val="0"/>
              <w:bCs w:val="0"/>
              <w:sz w:val="22"/>
              <w:szCs w:val="22"/>
            </w:rPr>
            <w:fldChar w:fldCharType="separate"/>
          </w:r>
          <w:hyperlink w:anchor="_Toc224414068" w:history="1">
            <w:r w:rsidR="000B4AFF" w:rsidRPr="000B4AFF">
              <w:rPr>
                <w:rStyle w:val="Hyperlink"/>
                <w:rFonts w:ascii="Arial" w:hAnsi="Arial" w:cs="Arial"/>
                <w:noProof/>
                <w:sz w:val="22"/>
                <w:szCs w:val="22"/>
              </w:rPr>
              <w:t>Introduction</w:t>
            </w:r>
            <w:r w:rsidR="000B4AFF" w:rsidRPr="000B4AFF">
              <w:rPr>
                <w:rFonts w:ascii="Arial" w:hAnsi="Arial" w:cs="Arial"/>
                <w:noProof/>
                <w:webHidden/>
                <w:sz w:val="22"/>
                <w:szCs w:val="22"/>
              </w:rPr>
              <w:tab/>
            </w:r>
            <w:r w:rsidR="000B4AFF" w:rsidRPr="000B4AFF">
              <w:rPr>
                <w:rFonts w:ascii="Arial" w:hAnsi="Arial" w:cs="Arial"/>
                <w:noProof/>
                <w:webHidden/>
                <w:sz w:val="22"/>
                <w:szCs w:val="22"/>
              </w:rPr>
              <w:fldChar w:fldCharType="begin"/>
            </w:r>
            <w:r w:rsidR="000B4AFF" w:rsidRPr="000B4AFF">
              <w:rPr>
                <w:rFonts w:ascii="Arial" w:hAnsi="Arial" w:cs="Arial"/>
                <w:noProof/>
                <w:webHidden/>
                <w:sz w:val="22"/>
                <w:szCs w:val="22"/>
              </w:rPr>
              <w:instrText xml:space="preserve"> PAGEREF _Toc224414068 \h </w:instrText>
            </w:r>
            <w:r w:rsidR="000B4AFF" w:rsidRPr="000B4AFF">
              <w:rPr>
                <w:rFonts w:ascii="Arial" w:hAnsi="Arial" w:cs="Arial"/>
                <w:noProof/>
                <w:webHidden/>
                <w:sz w:val="22"/>
                <w:szCs w:val="22"/>
              </w:rPr>
            </w:r>
            <w:r w:rsidR="000B4AFF" w:rsidRPr="000B4AFF">
              <w:rPr>
                <w:rFonts w:ascii="Arial" w:hAnsi="Arial" w:cs="Arial"/>
                <w:noProof/>
                <w:webHidden/>
                <w:sz w:val="22"/>
                <w:szCs w:val="22"/>
              </w:rPr>
              <w:fldChar w:fldCharType="separate"/>
            </w:r>
            <w:r w:rsidR="007B1346">
              <w:rPr>
                <w:rFonts w:ascii="Arial" w:hAnsi="Arial" w:cs="Arial"/>
                <w:noProof/>
                <w:webHidden/>
                <w:sz w:val="22"/>
                <w:szCs w:val="22"/>
              </w:rPr>
              <w:t>3</w:t>
            </w:r>
            <w:r w:rsidR="000B4AFF" w:rsidRPr="000B4AFF">
              <w:rPr>
                <w:rFonts w:ascii="Arial" w:hAnsi="Arial" w:cs="Arial"/>
                <w:noProof/>
                <w:webHidden/>
                <w:sz w:val="22"/>
                <w:szCs w:val="22"/>
              </w:rPr>
              <w:fldChar w:fldCharType="end"/>
            </w:r>
          </w:hyperlink>
        </w:p>
        <w:p w14:paraId="5998F77A" w14:textId="7ECA7A8E" w:rsidR="000B4AFF" w:rsidRPr="000B4AFF" w:rsidRDefault="000B4AFF">
          <w:pPr>
            <w:pStyle w:val="TOC2"/>
            <w:tabs>
              <w:tab w:val="right" w:leader="dot" w:pos="9016"/>
            </w:tabs>
            <w:rPr>
              <w:rFonts w:ascii="Arial" w:eastAsiaTheme="minorEastAsia" w:hAnsi="Arial" w:cs="Arial"/>
              <w:i w:val="0"/>
              <w:iCs w:val="0"/>
              <w:noProof/>
              <w:sz w:val="22"/>
              <w:szCs w:val="22"/>
              <w:lang w:eastAsia="en-GB"/>
            </w:rPr>
          </w:pPr>
          <w:hyperlink w:anchor="_Toc224414069" w:history="1">
            <w:r w:rsidRPr="000B4AFF">
              <w:rPr>
                <w:rStyle w:val="Hyperlink"/>
                <w:rFonts w:ascii="Arial" w:hAnsi="Arial" w:cs="Arial"/>
                <w:noProof/>
                <w:sz w:val="22"/>
                <w:szCs w:val="22"/>
              </w:rPr>
              <w:t>Section 1: SDG 3 – Good Health and Wellbeing</w:t>
            </w:r>
            <w:r w:rsidRPr="000B4AFF">
              <w:rPr>
                <w:rFonts w:ascii="Arial" w:hAnsi="Arial" w:cs="Arial"/>
                <w:noProof/>
                <w:webHidden/>
                <w:sz w:val="22"/>
                <w:szCs w:val="22"/>
              </w:rPr>
              <w:tab/>
            </w:r>
            <w:r w:rsidRPr="000B4AFF">
              <w:rPr>
                <w:rFonts w:ascii="Arial" w:hAnsi="Arial" w:cs="Arial"/>
                <w:noProof/>
                <w:webHidden/>
                <w:sz w:val="22"/>
                <w:szCs w:val="22"/>
              </w:rPr>
              <w:fldChar w:fldCharType="begin"/>
            </w:r>
            <w:r w:rsidRPr="000B4AFF">
              <w:rPr>
                <w:rFonts w:ascii="Arial" w:hAnsi="Arial" w:cs="Arial"/>
                <w:noProof/>
                <w:webHidden/>
                <w:sz w:val="22"/>
                <w:szCs w:val="22"/>
              </w:rPr>
              <w:instrText xml:space="preserve"> PAGEREF _Toc224414069 \h </w:instrText>
            </w:r>
            <w:r w:rsidRPr="000B4AFF">
              <w:rPr>
                <w:rFonts w:ascii="Arial" w:hAnsi="Arial" w:cs="Arial"/>
                <w:noProof/>
                <w:webHidden/>
                <w:sz w:val="22"/>
                <w:szCs w:val="22"/>
              </w:rPr>
            </w:r>
            <w:r w:rsidRPr="000B4AFF">
              <w:rPr>
                <w:rFonts w:ascii="Arial" w:hAnsi="Arial" w:cs="Arial"/>
                <w:noProof/>
                <w:webHidden/>
                <w:sz w:val="22"/>
                <w:szCs w:val="22"/>
              </w:rPr>
              <w:fldChar w:fldCharType="separate"/>
            </w:r>
            <w:r w:rsidR="007B1346">
              <w:rPr>
                <w:rFonts w:ascii="Arial" w:hAnsi="Arial" w:cs="Arial"/>
                <w:noProof/>
                <w:webHidden/>
                <w:sz w:val="22"/>
                <w:szCs w:val="22"/>
              </w:rPr>
              <w:t>3</w:t>
            </w:r>
            <w:r w:rsidRPr="000B4AFF">
              <w:rPr>
                <w:rFonts w:ascii="Arial" w:hAnsi="Arial" w:cs="Arial"/>
                <w:noProof/>
                <w:webHidden/>
                <w:sz w:val="22"/>
                <w:szCs w:val="22"/>
              </w:rPr>
              <w:fldChar w:fldCharType="end"/>
            </w:r>
          </w:hyperlink>
        </w:p>
        <w:p w14:paraId="5C5AD66A" w14:textId="1B4616CB" w:rsidR="000B4AFF" w:rsidRPr="000B4AFF" w:rsidRDefault="000B4AFF">
          <w:pPr>
            <w:pStyle w:val="TOC3"/>
            <w:tabs>
              <w:tab w:val="right" w:leader="dot" w:pos="9016"/>
            </w:tabs>
            <w:rPr>
              <w:rFonts w:ascii="Arial" w:eastAsiaTheme="minorEastAsia" w:hAnsi="Arial" w:cs="Arial"/>
              <w:noProof/>
              <w:sz w:val="22"/>
              <w:szCs w:val="22"/>
              <w:lang w:eastAsia="en-GB"/>
            </w:rPr>
          </w:pPr>
          <w:hyperlink w:anchor="_Toc224414070" w:history="1">
            <w:r w:rsidRPr="000B4AFF">
              <w:rPr>
                <w:rStyle w:val="Hyperlink"/>
                <w:rFonts w:ascii="Arial" w:hAnsi="Arial" w:cs="Arial"/>
                <w:noProof/>
                <w:sz w:val="22"/>
                <w:szCs w:val="22"/>
              </w:rPr>
              <w:t>Global policy/initiative: WHO Global Action Plan for NCDs</w:t>
            </w:r>
            <w:r w:rsidRPr="000B4AFF">
              <w:rPr>
                <w:rFonts w:ascii="Arial" w:hAnsi="Arial" w:cs="Arial"/>
                <w:noProof/>
                <w:webHidden/>
                <w:sz w:val="22"/>
                <w:szCs w:val="22"/>
              </w:rPr>
              <w:tab/>
            </w:r>
            <w:r w:rsidRPr="000B4AFF">
              <w:rPr>
                <w:rFonts w:ascii="Arial" w:hAnsi="Arial" w:cs="Arial"/>
                <w:noProof/>
                <w:webHidden/>
                <w:sz w:val="22"/>
                <w:szCs w:val="22"/>
              </w:rPr>
              <w:fldChar w:fldCharType="begin"/>
            </w:r>
            <w:r w:rsidRPr="000B4AFF">
              <w:rPr>
                <w:rFonts w:ascii="Arial" w:hAnsi="Arial" w:cs="Arial"/>
                <w:noProof/>
                <w:webHidden/>
                <w:sz w:val="22"/>
                <w:szCs w:val="22"/>
              </w:rPr>
              <w:instrText xml:space="preserve"> PAGEREF _Toc224414070 \h </w:instrText>
            </w:r>
            <w:r w:rsidRPr="000B4AFF">
              <w:rPr>
                <w:rFonts w:ascii="Arial" w:hAnsi="Arial" w:cs="Arial"/>
                <w:noProof/>
                <w:webHidden/>
                <w:sz w:val="22"/>
                <w:szCs w:val="22"/>
              </w:rPr>
            </w:r>
            <w:r w:rsidRPr="000B4AFF">
              <w:rPr>
                <w:rFonts w:ascii="Arial" w:hAnsi="Arial" w:cs="Arial"/>
                <w:noProof/>
                <w:webHidden/>
                <w:sz w:val="22"/>
                <w:szCs w:val="22"/>
              </w:rPr>
              <w:fldChar w:fldCharType="separate"/>
            </w:r>
            <w:r w:rsidR="007B1346">
              <w:rPr>
                <w:rFonts w:ascii="Arial" w:hAnsi="Arial" w:cs="Arial"/>
                <w:noProof/>
                <w:webHidden/>
                <w:sz w:val="22"/>
                <w:szCs w:val="22"/>
              </w:rPr>
              <w:t>4</w:t>
            </w:r>
            <w:r w:rsidRPr="000B4AFF">
              <w:rPr>
                <w:rFonts w:ascii="Arial" w:hAnsi="Arial" w:cs="Arial"/>
                <w:noProof/>
                <w:webHidden/>
                <w:sz w:val="22"/>
                <w:szCs w:val="22"/>
              </w:rPr>
              <w:fldChar w:fldCharType="end"/>
            </w:r>
          </w:hyperlink>
        </w:p>
        <w:p w14:paraId="23E08B35" w14:textId="72120BB7" w:rsidR="000B4AFF" w:rsidRPr="000B4AFF" w:rsidRDefault="000B4AFF">
          <w:pPr>
            <w:pStyle w:val="TOC3"/>
            <w:tabs>
              <w:tab w:val="right" w:leader="dot" w:pos="9016"/>
            </w:tabs>
            <w:rPr>
              <w:rFonts w:ascii="Arial" w:eastAsiaTheme="minorEastAsia" w:hAnsi="Arial" w:cs="Arial"/>
              <w:noProof/>
              <w:sz w:val="22"/>
              <w:szCs w:val="22"/>
              <w:lang w:eastAsia="en-GB"/>
            </w:rPr>
          </w:pPr>
          <w:hyperlink w:anchor="_Toc224414071" w:history="1">
            <w:r w:rsidRPr="000B4AFF">
              <w:rPr>
                <w:rStyle w:val="Hyperlink"/>
                <w:rFonts w:ascii="Arial" w:hAnsi="Arial" w:cs="Arial"/>
                <w:noProof/>
                <w:sz w:val="22"/>
                <w:szCs w:val="22"/>
              </w:rPr>
              <w:t>National example (UK): Soft Drinks Industry Levy (SDIL)</w:t>
            </w:r>
            <w:r w:rsidRPr="000B4AFF">
              <w:rPr>
                <w:rFonts w:ascii="Arial" w:hAnsi="Arial" w:cs="Arial"/>
                <w:noProof/>
                <w:webHidden/>
                <w:sz w:val="22"/>
                <w:szCs w:val="22"/>
              </w:rPr>
              <w:tab/>
            </w:r>
            <w:r w:rsidRPr="000B4AFF">
              <w:rPr>
                <w:rFonts w:ascii="Arial" w:hAnsi="Arial" w:cs="Arial"/>
                <w:noProof/>
                <w:webHidden/>
                <w:sz w:val="22"/>
                <w:szCs w:val="22"/>
              </w:rPr>
              <w:fldChar w:fldCharType="begin"/>
            </w:r>
            <w:r w:rsidRPr="000B4AFF">
              <w:rPr>
                <w:rFonts w:ascii="Arial" w:hAnsi="Arial" w:cs="Arial"/>
                <w:noProof/>
                <w:webHidden/>
                <w:sz w:val="22"/>
                <w:szCs w:val="22"/>
              </w:rPr>
              <w:instrText xml:space="preserve"> PAGEREF _Toc224414071 \h </w:instrText>
            </w:r>
            <w:r w:rsidRPr="000B4AFF">
              <w:rPr>
                <w:rFonts w:ascii="Arial" w:hAnsi="Arial" w:cs="Arial"/>
                <w:noProof/>
                <w:webHidden/>
                <w:sz w:val="22"/>
                <w:szCs w:val="22"/>
              </w:rPr>
            </w:r>
            <w:r w:rsidRPr="000B4AFF">
              <w:rPr>
                <w:rFonts w:ascii="Arial" w:hAnsi="Arial" w:cs="Arial"/>
                <w:noProof/>
                <w:webHidden/>
                <w:sz w:val="22"/>
                <w:szCs w:val="22"/>
              </w:rPr>
              <w:fldChar w:fldCharType="separate"/>
            </w:r>
            <w:r w:rsidR="007B1346">
              <w:rPr>
                <w:rFonts w:ascii="Arial" w:hAnsi="Arial" w:cs="Arial"/>
                <w:noProof/>
                <w:webHidden/>
                <w:sz w:val="22"/>
                <w:szCs w:val="22"/>
              </w:rPr>
              <w:t>5</w:t>
            </w:r>
            <w:r w:rsidRPr="000B4AFF">
              <w:rPr>
                <w:rFonts w:ascii="Arial" w:hAnsi="Arial" w:cs="Arial"/>
                <w:noProof/>
                <w:webHidden/>
                <w:sz w:val="22"/>
                <w:szCs w:val="22"/>
              </w:rPr>
              <w:fldChar w:fldCharType="end"/>
            </w:r>
          </w:hyperlink>
        </w:p>
        <w:p w14:paraId="78493CE7" w14:textId="0BDDDBBA" w:rsidR="000B4AFF" w:rsidRPr="000B4AFF" w:rsidRDefault="000B4AFF">
          <w:pPr>
            <w:pStyle w:val="TOC3"/>
            <w:tabs>
              <w:tab w:val="right" w:leader="dot" w:pos="9016"/>
            </w:tabs>
            <w:rPr>
              <w:rFonts w:ascii="Arial" w:eastAsiaTheme="minorEastAsia" w:hAnsi="Arial" w:cs="Arial"/>
              <w:noProof/>
              <w:sz w:val="22"/>
              <w:szCs w:val="22"/>
              <w:lang w:eastAsia="en-GB"/>
            </w:rPr>
          </w:pPr>
          <w:hyperlink w:anchor="_Toc224414072" w:history="1">
            <w:r w:rsidRPr="000B4AFF">
              <w:rPr>
                <w:rStyle w:val="Hyperlink"/>
                <w:rFonts w:ascii="Arial" w:hAnsi="Arial" w:cs="Arial"/>
                <w:noProof/>
                <w:sz w:val="22"/>
                <w:szCs w:val="22"/>
              </w:rPr>
              <w:t>Bradford Council – Encouraging Healthier Takeaways</w:t>
            </w:r>
            <w:r w:rsidRPr="000B4AFF">
              <w:rPr>
                <w:rFonts w:ascii="Arial" w:hAnsi="Arial" w:cs="Arial"/>
                <w:noProof/>
                <w:webHidden/>
                <w:sz w:val="22"/>
                <w:szCs w:val="22"/>
              </w:rPr>
              <w:tab/>
            </w:r>
            <w:r w:rsidRPr="000B4AFF">
              <w:rPr>
                <w:rFonts w:ascii="Arial" w:hAnsi="Arial" w:cs="Arial"/>
                <w:noProof/>
                <w:webHidden/>
                <w:sz w:val="22"/>
                <w:szCs w:val="22"/>
              </w:rPr>
              <w:fldChar w:fldCharType="begin"/>
            </w:r>
            <w:r w:rsidRPr="000B4AFF">
              <w:rPr>
                <w:rFonts w:ascii="Arial" w:hAnsi="Arial" w:cs="Arial"/>
                <w:noProof/>
                <w:webHidden/>
                <w:sz w:val="22"/>
                <w:szCs w:val="22"/>
              </w:rPr>
              <w:instrText xml:space="preserve"> PAGEREF _Toc224414072 \h </w:instrText>
            </w:r>
            <w:r w:rsidRPr="000B4AFF">
              <w:rPr>
                <w:rFonts w:ascii="Arial" w:hAnsi="Arial" w:cs="Arial"/>
                <w:noProof/>
                <w:webHidden/>
                <w:sz w:val="22"/>
                <w:szCs w:val="22"/>
              </w:rPr>
            </w:r>
            <w:r w:rsidRPr="000B4AFF">
              <w:rPr>
                <w:rFonts w:ascii="Arial" w:hAnsi="Arial" w:cs="Arial"/>
                <w:noProof/>
                <w:webHidden/>
                <w:sz w:val="22"/>
                <w:szCs w:val="22"/>
              </w:rPr>
              <w:fldChar w:fldCharType="separate"/>
            </w:r>
            <w:r w:rsidR="007B1346">
              <w:rPr>
                <w:rFonts w:ascii="Arial" w:hAnsi="Arial" w:cs="Arial"/>
                <w:noProof/>
                <w:webHidden/>
                <w:sz w:val="22"/>
                <w:szCs w:val="22"/>
              </w:rPr>
              <w:t>5</w:t>
            </w:r>
            <w:r w:rsidRPr="000B4AFF">
              <w:rPr>
                <w:rFonts w:ascii="Arial" w:hAnsi="Arial" w:cs="Arial"/>
                <w:noProof/>
                <w:webHidden/>
                <w:sz w:val="22"/>
                <w:szCs w:val="22"/>
              </w:rPr>
              <w:fldChar w:fldCharType="end"/>
            </w:r>
          </w:hyperlink>
        </w:p>
        <w:p w14:paraId="2CB26327" w14:textId="00ABCA75" w:rsidR="000B4AFF" w:rsidRPr="000B4AFF" w:rsidRDefault="000B4AFF">
          <w:pPr>
            <w:pStyle w:val="TOC3"/>
            <w:tabs>
              <w:tab w:val="right" w:leader="dot" w:pos="9016"/>
            </w:tabs>
            <w:rPr>
              <w:rFonts w:ascii="Arial" w:eastAsiaTheme="minorEastAsia" w:hAnsi="Arial" w:cs="Arial"/>
              <w:noProof/>
              <w:sz w:val="22"/>
              <w:szCs w:val="22"/>
              <w:lang w:eastAsia="en-GB"/>
            </w:rPr>
          </w:pPr>
          <w:hyperlink w:anchor="_Toc224414073" w:history="1">
            <w:r w:rsidRPr="000B4AFF">
              <w:rPr>
                <w:rStyle w:val="Hyperlink"/>
                <w:rFonts w:ascii="Arial" w:hAnsi="Arial" w:cs="Arial"/>
                <w:noProof/>
                <w:sz w:val="22"/>
                <w:szCs w:val="22"/>
              </w:rPr>
              <w:t>Barrier to SDG Progress</w:t>
            </w:r>
            <w:r w:rsidRPr="000B4AFF">
              <w:rPr>
                <w:rFonts w:ascii="Arial" w:hAnsi="Arial" w:cs="Arial"/>
                <w:noProof/>
                <w:webHidden/>
                <w:sz w:val="22"/>
                <w:szCs w:val="22"/>
              </w:rPr>
              <w:tab/>
            </w:r>
            <w:r w:rsidRPr="000B4AFF">
              <w:rPr>
                <w:rFonts w:ascii="Arial" w:hAnsi="Arial" w:cs="Arial"/>
                <w:noProof/>
                <w:webHidden/>
                <w:sz w:val="22"/>
                <w:szCs w:val="22"/>
              </w:rPr>
              <w:fldChar w:fldCharType="begin"/>
            </w:r>
            <w:r w:rsidRPr="000B4AFF">
              <w:rPr>
                <w:rFonts w:ascii="Arial" w:hAnsi="Arial" w:cs="Arial"/>
                <w:noProof/>
                <w:webHidden/>
                <w:sz w:val="22"/>
                <w:szCs w:val="22"/>
              </w:rPr>
              <w:instrText xml:space="preserve"> PAGEREF _Toc224414073 \h </w:instrText>
            </w:r>
            <w:r w:rsidRPr="000B4AFF">
              <w:rPr>
                <w:rFonts w:ascii="Arial" w:hAnsi="Arial" w:cs="Arial"/>
                <w:noProof/>
                <w:webHidden/>
                <w:sz w:val="22"/>
                <w:szCs w:val="22"/>
              </w:rPr>
            </w:r>
            <w:r w:rsidRPr="000B4AFF">
              <w:rPr>
                <w:rFonts w:ascii="Arial" w:hAnsi="Arial" w:cs="Arial"/>
                <w:noProof/>
                <w:webHidden/>
                <w:sz w:val="22"/>
                <w:szCs w:val="22"/>
              </w:rPr>
              <w:fldChar w:fldCharType="separate"/>
            </w:r>
            <w:r w:rsidR="007B1346">
              <w:rPr>
                <w:rFonts w:ascii="Arial" w:hAnsi="Arial" w:cs="Arial"/>
                <w:noProof/>
                <w:webHidden/>
                <w:sz w:val="22"/>
                <w:szCs w:val="22"/>
              </w:rPr>
              <w:t>6</w:t>
            </w:r>
            <w:r w:rsidRPr="000B4AFF">
              <w:rPr>
                <w:rFonts w:ascii="Arial" w:hAnsi="Arial" w:cs="Arial"/>
                <w:noProof/>
                <w:webHidden/>
                <w:sz w:val="22"/>
                <w:szCs w:val="22"/>
              </w:rPr>
              <w:fldChar w:fldCharType="end"/>
            </w:r>
          </w:hyperlink>
        </w:p>
        <w:p w14:paraId="5292A4F6" w14:textId="01472B21" w:rsidR="000B4AFF" w:rsidRPr="000B4AFF" w:rsidRDefault="000B4AFF">
          <w:pPr>
            <w:pStyle w:val="TOC3"/>
            <w:tabs>
              <w:tab w:val="right" w:leader="dot" w:pos="9016"/>
            </w:tabs>
            <w:rPr>
              <w:rFonts w:ascii="Arial" w:eastAsiaTheme="minorEastAsia" w:hAnsi="Arial" w:cs="Arial"/>
              <w:noProof/>
              <w:sz w:val="22"/>
              <w:szCs w:val="22"/>
              <w:lang w:eastAsia="en-GB"/>
            </w:rPr>
          </w:pPr>
          <w:hyperlink w:anchor="_Toc224414074" w:history="1">
            <w:r w:rsidRPr="000B4AFF">
              <w:rPr>
                <w:rStyle w:val="Hyperlink"/>
                <w:rFonts w:ascii="Arial" w:hAnsi="Arial" w:cs="Arial"/>
                <w:noProof/>
                <w:sz w:val="22"/>
                <w:szCs w:val="22"/>
              </w:rPr>
              <w:t>Recommendations</w:t>
            </w:r>
            <w:r w:rsidRPr="000B4AFF">
              <w:rPr>
                <w:rFonts w:ascii="Arial" w:hAnsi="Arial" w:cs="Arial"/>
                <w:noProof/>
                <w:webHidden/>
                <w:sz w:val="22"/>
                <w:szCs w:val="22"/>
              </w:rPr>
              <w:tab/>
            </w:r>
            <w:r w:rsidRPr="000B4AFF">
              <w:rPr>
                <w:rFonts w:ascii="Arial" w:hAnsi="Arial" w:cs="Arial"/>
                <w:noProof/>
                <w:webHidden/>
                <w:sz w:val="22"/>
                <w:szCs w:val="22"/>
              </w:rPr>
              <w:fldChar w:fldCharType="begin"/>
            </w:r>
            <w:r w:rsidRPr="000B4AFF">
              <w:rPr>
                <w:rFonts w:ascii="Arial" w:hAnsi="Arial" w:cs="Arial"/>
                <w:noProof/>
                <w:webHidden/>
                <w:sz w:val="22"/>
                <w:szCs w:val="22"/>
              </w:rPr>
              <w:instrText xml:space="preserve"> PAGEREF _Toc224414074 \h </w:instrText>
            </w:r>
            <w:r w:rsidRPr="000B4AFF">
              <w:rPr>
                <w:rFonts w:ascii="Arial" w:hAnsi="Arial" w:cs="Arial"/>
                <w:noProof/>
                <w:webHidden/>
                <w:sz w:val="22"/>
                <w:szCs w:val="22"/>
              </w:rPr>
            </w:r>
            <w:r w:rsidRPr="000B4AFF">
              <w:rPr>
                <w:rFonts w:ascii="Arial" w:hAnsi="Arial" w:cs="Arial"/>
                <w:noProof/>
                <w:webHidden/>
                <w:sz w:val="22"/>
                <w:szCs w:val="22"/>
              </w:rPr>
              <w:fldChar w:fldCharType="separate"/>
            </w:r>
            <w:r w:rsidR="007B1346">
              <w:rPr>
                <w:rFonts w:ascii="Arial" w:hAnsi="Arial" w:cs="Arial"/>
                <w:noProof/>
                <w:webHidden/>
                <w:sz w:val="22"/>
                <w:szCs w:val="22"/>
              </w:rPr>
              <w:t>6</w:t>
            </w:r>
            <w:r w:rsidRPr="000B4AFF">
              <w:rPr>
                <w:rFonts w:ascii="Arial" w:hAnsi="Arial" w:cs="Arial"/>
                <w:noProof/>
                <w:webHidden/>
                <w:sz w:val="22"/>
                <w:szCs w:val="22"/>
              </w:rPr>
              <w:fldChar w:fldCharType="end"/>
            </w:r>
          </w:hyperlink>
        </w:p>
        <w:p w14:paraId="5ECF4A61" w14:textId="31548781" w:rsidR="000B4AFF" w:rsidRPr="000B4AFF" w:rsidRDefault="000B4AFF">
          <w:pPr>
            <w:pStyle w:val="TOC2"/>
            <w:tabs>
              <w:tab w:val="right" w:leader="dot" w:pos="9016"/>
            </w:tabs>
            <w:rPr>
              <w:rFonts w:ascii="Arial" w:eastAsiaTheme="minorEastAsia" w:hAnsi="Arial" w:cs="Arial"/>
              <w:i w:val="0"/>
              <w:iCs w:val="0"/>
              <w:noProof/>
              <w:sz w:val="22"/>
              <w:szCs w:val="22"/>
              <w:lang w:eastAsia="en-GB"/>
            </w:rPr>
          </w:pPr>
          <w:hyperlink w:anchor="_Toc224414075" w:history="1">
            <w:r w:rsidRPr="000B4AFF">
              <w:rPr>
                <w:rStyle w:val="Hyperlink"/>
                <w:rFonts w:ascii="Arial" w:hAnsi="Arial" w:cs="Arial"/>
                <w:noProof/>
                <w:sz w:val="22"/>
                <w:szCs w:val="22"/>
              </w:rPr>
              <w:t>Section 2: SDG 12 – Responsible Consumption and Production</w:t>
            </w:r>
            <w:r w:rsidRPr="000B4AFF">
              <w:rPr>
                <w:rFonts w:ascii="Arial" w:hAnsi="Arial" w:cs="Arial"/>
                <w:noProof/>
                <w:webHidden/>
                <w:sz w:val="22"/>
                <w:szCs w:val="22"/>
              </w:rPr>
              <w:tab/>
            </w:r>
            <w:r w:rsidRPr="000B4AFF">
              <w:rPr>
                <w:rFonts w:ascii="Arial" w:hAnsi="Arial" w:cs="Arial"/>
                <w:noProof/>
                <w:webHidden/>
                <w:sz w:val="22"/>
                <w:szCs w:val="22"/>
              </w:rPr>
              <w:fldChar w:fldCharType="begin"/>
            </w:r>
            <w:r w:rsidRPr="000B4AFF">
              <w:rPr>
                <w:rFonts w:ascii="Arial" w:hAnsi="Arial" w:cs="Arial"/>
                <w:noProof/>
                <w:webHidden/>
                <w:sz w:val="22"/>
                <w:szCs w:val="22"/>
              </w:rPr>
              <w:instrText xml:space="preserve"> PAGEREF _Toc224414075 \h </w:instrText>
            </w:r>
            <w:r w:rsidRPr="000B4AFF">
              <w:rPr>
                <w:rFonts w:ascii="Arial" w:hAnsi="Arial" w:cs="Arial"/>
                <w:noProof/>
                <w:webHidden/>
                <w:sz w:val="22"/>
                <w:szCs w:val="22"/>
              </w:rPr>
            </w:r>
            <w:r w:rsidRPr="000B4AFF">
              <w:rPr>
                <w:rFonts w:ascii="Arial" w:hAnsi="Arial" w:cs="Arial"/>
                <w:noProof/>
                <w:webHidden/>
                <w:sz w:val="22"/>
                <w:szCs w:val="22"/>
              </w:rPr>
              <w:fldChar w:fldCharType="separate"/>
            </w:r>
            <w:r w:rsidR="007B1346">
              <w:rPr>
                <w:rFonts w:ascii="Arial" w:hAnsi="Arial" w:cs="Arial"/>
                <w:noProof/>
                <w:webHidden/>
                <w:sz w:val="22"/>
                <w:szCs w:val="22"/>
              </w:rPr>
              <w:t>6</w:t>
            </w:r>
            <w:r w:rsidRPr="000B4AFF">
              <w:rPr>
                <w:rFonts w:ascii="Arial" w:hAnsi="Arial" w:cs="Arial"/>
                <w:noProof/>
                <w:webHidden/>
                <w:sz w:val="22"/>
                <w:szCs w:val="22"/>
              </w:rPr>
              <w:fldChar w:fldCharType="end"/>
            </w:r>
          </w:hyperlink>
        </w:p>
        <w:p w14:paraId="51656359" w14:textId="19B6C47E" w:rsidR="000B4AFF" w:rsidRPr="000B4AFF" w:rsidRDefault="000B4AFF">
          <w:pPr>
            <w:pStyle w:val="TOC3"/>
            <w:tabs>
              <w:tab w:val="right" w:leader="dot" w:pos="9016"/>
            </w:tabs>
            <w:rPr>
              <w:rFonts w:ascii="Arial" w:eastAsiaTheme="minorEastAsia" w:hAnsi="Arial" w:cs="Arial"/>
              <w:noProof/>
              <w:sz w:val="22"/>
              <w:szCs w:val="22"/>
              <w:lang w:eastAsia="en-GB"/>
            </w:rPr>
          </w:pPr>
          <w:hyperlink w:anchor="_Toc224414076" w:history="1">
            <w:r w:rsidRPr="000B4AFF">
              <w:rPr>
                <w:rStyle w:val="Hyperlink"/>
                <w:rFonts w:ascii="Arial" w:hAnsi="Arial" w:cs="Arial"/>
                <w:noProof/>
                <w:sz w:val="22"/>
                <w:szCs w:val="22"/>
              </w:rPr>
              <w:t>Global Initiatives: Circular Economy Approaches</w:t>
            </w:r>
            <w:r w:rsidRPr="000B4AFF">
              <w:rPr>
                <w:rFonts w:ascii="Arial" w:hAnsi="Arial" w:cs="Arial"/>
                <w:noProof/>
                <w:webHidden/>
                <w:sz w:val="22"/>
                <w:szCs w:val="22"/>
              </w:rPr>
              <w:tab/>
            </w:r>
            <w:r w:rsidRPr="000B4AFF">
              <w:rPr>
                <w:rFonts w:ascii="Arial" w:hAnsi="Arial" w:cs="Arial"/>
                <w:noProof/>
                <w:webHidden/>
                <w:sz w:val="22"/>
                <w:szCs w:val="22"/>
              </w:rPr>
              <w:fldChar w:fldCharType="begin"/>
            </w:r>
            <w:r w:rsidRPr="000B4AFF">
              <w:rPr>
                <w:rFonts w:ascii="Arial" w:hAnsi="Arial" w:cs="Arial"/>
                <w:noProof/>
                <w:webHidden/>
                <w:sz w:val="22"/>
                <w:szCs w:val="22"/>
              </w:rPr>
              <w:instrText xml:space="preserve"> PAGEREF _Toc224414076 \h </w:instrText>
            </w:r>
            <w:r w:rsidRPr="000B4AFF">
              <w:rPr>
                <w:rFonts w:ascii="Arial" w:hAnsi="Arial" w:cs="Arial"/>
                <w:noProof/>
                <w:webHidden/>
                <w:sz w:val="22"/>
                <w:szCs w:val="22"/>
              </w:rPr>
            </w:r>
            <w:r w:rsidRPr="000B4AFF">
              <w:rPr>
                <w:rFonts w:ascii="Arial" w:hAnsi="Arial" w:cs="Arial"/>
                <w:noProof/>
                <w:webHidden/>
                <w:sz w:val="22"/>
                <w:szCs w:val="22"/>
              </w:rPr>
              <w:fldChar w:fldCharType="separate"/>
            </w:r>
            <w:r w:rsidR="007B1346">
              <w:rPr>
                <w:rFonts w:ascii="Arial" w:hAnsi="Arial" w:cs="Arial"/>
                <w:noProof/>
                <w:webHidden/>
                <w:sz w:val="22"/>
                <w:szCs w:val="22"/>
              </w:rPr>
              <w:t>7</w:t>
            </w:r>
            <w:r w:rsidRPr="000B4AFF">
              <w:rPr>
                <w:rFonts w:ascii="Arial" w:hAnsi="Arial" w:cs="Arial"/>
                <w:noProof/>
                <w:webHidden/>
                <w:sz w:val="22"/>
                <w:szCs w:val="22"/>
              </w:rPr>
              <w:fldChar w:fldCharType="end"/>
            </w:r>
          </w:hyperlink>
        </w:p>
        <w:p w14:paraId="39A12DB1" w14:textId="00280645" w:rsidR="000B4AFF" w:rsidRPr="000B4AFF" w:rsidRDefault="000B4AFF">
          <w:pPr>
            <w:pStyle w:val="TOC3"/>
            <w:tabs>
              <w:tab w:val="right" w:leader="dot" w:pos="9016"/>
            </w:tabs>
            <w:rPr>
              <w:rFonts w:ascii="Arial" w:eastAsiaTheme="minorEastAsia" w:hAnsi="Arial" w:cs="Arial"/>
              <w:noProof/>
              <w:sz w:val="22"/>
              <w:szCs w:val="22"/>
              <w:lang w:eastAsia="en-GB"/>
            </w:rPr>
          </w:pPr>
          <w:hyperlink w:anchor="_Toc224414077" w:history="1">
            <w:r w:rsidRPr="000B4AFF">
              <w:rPr>
                <w:rStyle w:val="Hyperlink"/>
                <w:rFonts w:ascii="Arial" w:hAnsi="Arial" w:cs="Arial"/>
                <w:noProof/>
                <w:sz w:val="22"/>
                <w:szCs w:val="22"/>
              </w:rPr>
              <w:t>National and local examples: UK plastic bag levy and EPR</w:t>
            </w:r>
            <w:r w:rsidRPr="000B4AFF">
              <w:rPr>
                <w:rFonts w:ascii="Arial" w:hAnsi="Arial" w:cs="Arial"/>
                <w:noProof/>
                <w:webHidden/>
                <w:sz w:val="22"/>
                <w:szCs w:val="22"/>
              </w:rPr>
              <w:tab/>
            </w:r>
            <w:r w:rsidRPr="000B4AFF">
              <w:rPr>
                <w:rFonts w:ascii="Arial" w:hAnsi="Arial" w:cs="Arial"/>
                <w:noProof/>
                <w:webHidden/>
                <w:sz w:val="22"/>
                <w:szCs w:val="22"/>
              </w:rPr>
              <w:fldChar w:fldCharType="begin"/>
            </w:r>
            <w:r w:rsidRPr="000B4AFF">
              <w:rPr>
                <w:rFonts w:ascii="Arial" w:hAnsi="Arial" w:cs="Arial"/>
                <w:noProof/>
                <w:webHidden/>
                <w:sz w:val="22"/>
                <w:szCs w:val="22"/>
              </w:rPr>
              <w:instrText xml:space="preserve"> PAGEREF _Toc224414077 \h </w:instrText>
            </w:r>
            <w:r w:rsidRPr="000B4AFF">
              <w:rPr>
                <w:rFonts w:ascii="Arial" w:hAnsi="Arial" w:cs="Arial"/>
                <w:noProof/>
                <w:webHidden/>
                <w:sz w:val="22"/>
                <w:szCs w:val="22"/>
              </w:rPr>
            </w:r>
            <w:r w:rsidRPr="000B4AFF">
              <w:rPr>
                <w:rFonts w:ascii="Arial" w:hAnsi="Arial" w:cs="Arial"/>
                <w:noProof/>
                <w:webHidden/>
                <w:sz w:val="22"/>
                <w:szCs w:val="22"/>
              </w:rPr>
              <w:fldChar w:fldCharType="separate"/>
            </w:r>
            <w:r w:rsidR="007B1346">
              <w:rPr>
                <w:rFonts w:ascii="Arial" w:hAnsi="Arial" w:cs="Arial"/>
                <w:noProof/>
                <w:webHidden/>
                <w:sz w:val="22"/>
                <w:szCs w:val="22"/>
              </w:rPr>
              <w:t>8</w:t>
            </w:r>
            <w:r w:rsidRPr="000B4AFF">
              <w:rPr>
                <w:rFonts w:ascii="Arial" w:hAnsi="Arial" w:cs="Arial"/>
                <w:noProof/>
                <w:webHidden/>
                <w:sz w:val="22"/>
                <w:szCs w:val="22"/>
              </w:rPr>
              <w:fldChar w:fldCharType="end"/>
            </w:r>
          </w:hyperlink>
        </w:p>
        <w:p w14:paraId="7762A967" w14:textId="007CF4C7" w:rsidR="000B4AFF" w:rsidRPr="000B4AFF" w:rsidRDefault="000B4AFF">
          <w:pPr>
            <w:pStyle w:val="TOC3"/>
            <w:tabs>
              <w:tab w:val="right" w:leader="dot" w:pos="9016"/>
            </w:tabs>
            <w:rPr>
              <w:rFonts w:ascii="Arial" w:eastAsiaTheme="minorEastAsia" w:hAnsi="Arial" w:cs="Arial"/>
              <w:noProof/>
              <w:sz w:val="22"/>
              <w:szCs w:val="22"/>
              <w:lang w:eastAsia="en-GB"/>
            </w:rPr>
          </w:pPr>
          <w:hyperlink w:anchor="_Toc224414078" w:history="1">
            <w:r w:rsidRPr="000B4AFF">
              <w:rPr>
                <w:rStyle w:val="Hyperlink"/>
                <w:rFonts w:ascii="Arial" w:hAnsi="Arial" w:cs="Arial"/>
                <w:noProof/>
                <w:sz w:val="22"/>
                <w:szCs w:val="22"/>
              </w:rPr>
              <w:t>Pakistan: Plastic Ban Initiatives and Enforcement Constraints</w:t>
            </w:r>
            <w:r w:rsidRPr="000B4AFF">
              <w:rPr>
                <w:rFonts w:ascii="Arial" w:hAnsi="Arial" w:cs="Arial"/>
                <w:noProof/>
                <w:webHidden/>
                <w:sz w:val="22"/>
                <w:szCs w:val="22"/>
              </w:rPr>
              <w:tab/>
            </w:r>
            <w:r w:rsidRPr="000B4AFF">
              <w:rPr>
                <w:rFonts w:ascii="Arial" w:hAnsi="Arial" w:cs="Arial"/>
                <w:noProof/>
                <w:webHidden/>
                <w:sz w:val="22"/>
                <w:szCs w:val="22"/>
              </w:rPr>
              <w:fldChar w:fldCharType="begin"/>
            </w:r>
            <w:r w:rsidRPr="000B4AFF">
              <w:rPr>
                <w:rFonts w:ascii="Arial" w:hAnsi="Arial" w:cs="Arial"/>
                <w:noProof/>
                <w:webHidden/>
                <w:sz w:val="22"/>
                <w:szCs w:val="22"/>
              </w:rPr>
              <w:instrText xml:space="preserve"> PAGEREF _Toc224414078 \h </w:instrText>
            </w:r>
            <w:r w:rsidRPr="000B4AFF">
              <w:rPr>
                <w:rFonts w:ascii="Arial" w:hAnsi="Arial" w:cs="Arial"/>
                <w:noProof/>
                <w:webHidden/>
                <w:sz w:val="22"/>
                <w:szCs w:val="22"/>
              </w:rPr>
            </w:r>
            <w:r w:rsidRPr="000B4AFF">
              <w:rPr>
                <w:rFonts w:ascii="Arial" w:hAnsi="Arial" w:cs="Arial"/>
                <w:noProof/>
                <w:webHidden/>
                <w:sz w:val="22"/>
                <w:szCs w:val="22"/>
              </w:rPr>
              <w:fldChar w:fldCharType="separate"/>
            </w:r>
            <w:r w:rsidR="007B1346">
              <w:rPr>
                <w:rFonts w:ascii="Arial" w:hAnsi="Arial" w:cs="Arial"/>
                <w:noProof/>
                <w:webHidden/>
                <w:sz w:val="22"/>
                <w:szCs w:val="22"/>
              </w:rPr>
              <w:t>8</w:t>
            </w:r>
            <w:r w:rsidRPr="000B4AFF">
              <w:rPr>
                <w:rFonts w:ascii="Arial" w:hAnsi="Arial" w:cs="Arial"/>
                <w:noProof/>
                <w:webHidden/>
                <w:sz w:val="22"/>
                <w:szCs w:val="22"/>
              </w:rPr>
              <w:fldChar w:fldCharType="end"/>
            </w:r>
          </w:hyperlink>
        </w:p>
        <w:p w14:paraId="1F09C6E9" w14:textId="773098FD" w:rsidR="000B4AFF" w:rsidRPr="000B4AFF" w:rsidRDefault="000B4AFF">
          <w:pPr>
            <w:pStyle w:val="TOC3"/>
            <w:tabs>
              <w:tab w:val="right" w:leader="dot" w:pos="9016"/>
            </w:tabs>
            <w:rPr>
              <w:rFonts w:ascii="Arial" w:eastAsiaTheme="minorEastAsia" w:hAnsi="Arial" w:cs="Arial"/>
              <w:noProof/>
              <w:sz w:val="22"/>
              <w:szCs w:val="22"/>
              <w:lang w:eastAsia="en-GB"/>
            </w:rPr>
          </w:pPr>
          <w:hyperlink w:anchor="_Toc224414079" w:history="1">
            <w:r w:rsidRPr="000B4AFF">
              <w:rPr>
                <w:rStyle w:val="Hyperlink"/>
                <w:rFonts w:ascii="Arial" w:hAnsi="Arial" w:cs="Arial"/>
                <w:noProof/>
                <w:sz w:val="22"/>
                <w:szCs w:val="22"/>
              </w:rPr>
              <w:t>Recommendations</w:t>
            </w:r>
            <w:r w:rsidRPr="000B4AFF">
              <w:rPr>
                <w:rFonts w:ascii="Arial" w:hAnsi="Arial" w:cs="Arial"/>
                <w:noProof/>
                <w:webHidden/>
                <w:sz w:val="22"/>
                <w:szCs w:val="22"/>
              </w:rPr>
              <w:tab/>
            </w:r>
            <w:r w:rsidRPr="000B4AFF">
              <w:rPr>
                <w:rFonts w:ascii="Arial" w:hAnsi="Arial" w:cs="Arial"/>
                <w:noProof/>
                <w:webHidden/>
                <w:sz w:val="22"/>
                <w:szCs w:val="22"/>
              </w:rPr>
              <w:fldChar w:fldCharType="begin"/>
            </w:r>
            <w:r w:rsidRPr="000B4AFF">
              <w:rPr>
                <w:rFonts w:ascii="Arial" w:hAnsi="Arial" w:cs="Arial"/>
                <w:noProof/>
                <w:webHidden/>
                <w:sz w:val="22"/>
                <w:szCs w:val="22"/>
              </w:rPr>
              <w:instrText xml:space="preserve"> PAGEREF _Toc224414079 \h </w:instrText>
            </w:r>
            <w:r w:rsidRPr="000B4AFF">
              <w:rPr>
                <w:rFonts w:ascii="Arial" w:hAnsi="Arial" w:cs="Arial"/>
                <w:noProof/>
                <w:webHidden/>
                <w:sz w:val="22"/>
                <w:szCs w:val="22"/>
              </w:rPr>
            </w:r>
            <w:r w:rsidRPr="000B4AFF">
              <w:rPr>
                <w:rFonts w:ascii="Arial" w:hAnsi="Arial" w:cs="Arial"/>
                <w:noProof/>
                <w:webHidden/>
                <w:sz w:val="22"/>
                <w:szCs w:val="22"/>
              </w:rPr>
              <w:fldChar w:fldCharType="separate"/>
            </w:r>
            <w:r w:rsidR="007B1346">
              <w:rPr>
                <w:rFonts w:ascii="Arial" w:hAnsi="Arial" w:cs="Arial"/>
                <w:noProof/>
                <w:webHidden/>
                <w:sz w:val="22"/>
                <w:szCs w:val="22"/>
              </w:rPr>
              <w:t>9</w:t>
            </w:r>
            <w:r w:rsidRPr="000B4AFF">
              <w:rPr>
                <w:rFonts w:ascii="Arial" w:hAnsi="Arial" w:cs="Arial"/>
                <w:noProof/>
                <w:webHidden/>
                <w:sz w:val="22"/>
                <w:szCs w:val="22"/>
              </w:rPr>
              <w:fldChar w:fldCharType="end"/>
            </w:r>
          </w:hyperlink>
        </w:p>
        <w:p w14:paraId="5520A119" w14:textId="6897651C" w:rsidR="000B4AFF" w:rsidRPr="000B4AFF" w:rsidRDefault="000B4AFF">
          <w:pPr>
            <w:pStyle w:val="TOC1"/>
            <w:tabs>
              <w:tab w:val="right" w:leader="dot" w:pos="9016"/>
            </w:tabs>
            <w:rPr>
              <w:rFonts w:ascii="Arial" w:eastAsiaTheme="minorEastAsia" w:hAnsi="Arial" w:cs="Arial"/>
              <w:b w:val="0"/>
              <w:bCs w:val="0"/>
              <w:noProof/>
              <w:sz w:val="22"/>
              <w:szCs w:val="22"/>
              <w:lang w:eastAsia="en-GB"/>
            </w:rPr>
          </w:pPr>
          <w:hyperlink w:anchor="_Toc224414080" w:history="1">
            <w:r w:rsidRPr="000B4AFF">
              <w:rPr>
                <w:rStyle w:val="Hyperlink"/>
                <w:rFonts w:ascii="Arial" w:hAnsi="Arial" w:cs="Arial"/>
                <w:noProof/>
                <w:sz w:val="22"/>
                <w:szCs w:val="22"/>
              </w:rPr>
              <w:t>Conclusion</w:t>
            </w:r>
            <w:r w:rsidRPr="000B4AFF">
              <w:rPr>
                <w:rFonts w:ascii="Arial" w:hAnsi="Arial" w:cs="Arial"/>
                <w:noProof/>
                <w:webHidden/>
                <w:sz w:val="22"/>
                <w:szCs w:val="22"/>
              </w:rPr>
              <w:tab/>
            </w:r>
            <w:r w:rsidRPr="000B4AFF">
              <w:rPr>
                <w:rFonts w:ascii="Arial" w:hAnsi="Arial" w:cs="Arial"/>
                <w:noProof/>
                <w:webHidden/>
                <w:sz w:val="22"/>
                <w:szCs w:val="22"/>
              </w:rPr>
              <w:fldChar w:fldCharType="begin"/>
            </w:r>
            <w:r w:rsidRPr="000B4AFF">
              <w:rPr>
                <w:rFonts w:ascii="Arial" w:hAnsi="Arial" w:cs="Arial"/>
                <w:noProof/>
                <w:webHidden/>
                <w:sz w:val="22"/>
                <w:szCs w:val="22"/>
              </w:rPr>
              <w:instrText xml:space="preserve"> PAGEREF _Toc224414080 \h </w:instrText>
            </w:r>
            <w:r w:rsidRPr="000B4AFF">
              <w:rPr>
                <w:rFonts w:ascii="Arial" w:hAnsi="Arial" w:cs="Arial"/>
                <w:noProof/>
                <w:webHidden/>
                <w:sz w:val="22"/>
                <w:szCs w:val="22"/>
              </w:rPr>
            </w:r>
            <w:r w:rsidRPr="000B4AFF">
              <w:rPr>
                <w:rFonts w:ascii="Arial" w:hAnsi="Arial" w:cs="Arial"/>
                <w:noProof/>
                <w:webHidden/>
                <w:sz w:val="22"/>
                <w:szCs w:val="22"/>
              </w:rPr>
              <w:fldChar w:fldCharType="separate"/>
            </w:r>
            <w:r w:rsidR="007B1346">
              <w:rPr>
                <w:rFonts w:ascii="Arial" w:hAnsi="Arial" w:cs="Arial"/>
                <w:noProof/>
                <w:webHidden/>
                <w:sz w:val="22"/>
                <w:szCs w:val="22"/>
              </w:rPr>
              <w:t>9</w:t>
            </w:r>
            <w:r w:rsidRPr="000B4AFF">
              <w:rPr>
                <w:rFonts w:ascii="Arial" w:hAnsi="Arial" w:cs="Arial"/>
                <w:noProof/>
                <w:webHidden/>
                <w:sz w:val="22"/>
                <w:szCs w:val="22"/>
              </w:rPr>
              <w:fldChar w:fldCharType="end"/>
            </w:r>
          </w:hyperlink>
        </w:p>
        <w:p w14:paraId="5FD12EB8" w14:textId="3BB75CBF" w:rsidR="000B4AFF" w:rsidRPr="000B4AFF" w:rsidRDefault="000B4AFF">
          <w:pPr>
            <w:pStyle w:val="TOC1"/>
            <w:tabs>
              <w:tab w:val="right" w:leader="dot" w:pos="9016"/>
            </w:tabs>
            <w:rPr>
              <w:rFonts w:ascii="Arial" w:eastAsiaTheme="minorEastAsia" w:hAnsi="Arial" w:cs="Arial"/>
              <w:b w:val="0"/>
              <w:bCs w:val="0"/>
              <w:noProof/>
              <w:sz w:val="22"/>
              <w:szCs w:val="22"/>
              <w:lang w:eastAsia="en-GB"/>
            </w:rPr>
          </w:pPr>
          <w:hyperlink w:anchor="_Toc224414081" w:history="1">
            <w:r w:rsidRPr="000B4AFF">
              <w:rPr>
                <w:rStyle w:val="Hyperlink"/>
                <w:rFonts w:ascii="Arial" w:hAnsi="Arial" w:cs="Arial"/>
                <w:noProof/>
                <w:sz w:val="22"/>
                <w:szCs w:val="22"/>
              </w:rPr>
              <w:t>References</w:t>
            </w:r>
            <w:r w:rsidRPr="000B4AFF">
              <w:rPr>
                <w:rFonts w:ascii="Arial" w:hAnsi="Arial" w:cs="Arial"/>
                <w:noProof/>
                <w:webHidden/>
                <w:sz w:val="22"/>
                <w:szCs w:val="22"/>
              </w:rPr>
              <w:tab/>
            </w:r>
            <w:r w:rsidRPr="000B4AFF">
              <w:rPr>
                <w:rFonts w:ascii="Arial" w:hAnsi="Arial" w:cs="Arial"/>
                <w:noProof/>
                <w:webHidden/>
                <w:sz w:val="22"/>
                <w:szCs w:val="22"/>
              </w:rPr>
              <w:fldChar w:fldCharType="begin"/>
            </w:r>
            <w:r w:rsidRPr="000B4AFF">
              <w:rPr>
                <w:rFonts w:ascii="Arial" w:hAnsi="Arial" w:cs="Arial"/>
                <w:noProof/>
                <w:webHidden/>
                <w:sz w:val="22"/>
                <w:szCs w:val="22"/>
              </w:rPr>
              <w:instrText xml:space="preserve"> PAGEREF _Toc224414081 \h </w:instrText>
            </w:r>
            <w:r w:rsidRPr="000B4AFF">
              <w:rPr>
                <w:rFonts w:ascii="Arial" w:hAnsi="Arial" w:cs="Arial"/>
                <w:noProof/>
                <w:webHidden/>
                <w:sz w:val="22"/>
                <w:szCs w:val="22"/>
              </w:rPr>
            </w:r>
            <w:r w:rsidRPr="000B4AFF">
              <w:rPr>
                <w:rFonts w:ascii="Arial" w:hAnsi="Arial" w:cs="Arial"/>
                <w:noProof/>
                <w:webHidden/>
                <w:sz w:val="22"/>
                <w:szCs w:val="22"/>
              </w:rPr>
              <w:fldChar w:fldCharType="separate"/>
            </w:r>
            <w:r w:rsidR="007B1346">
              <w:rPr>
                <w:rFonts w:ascii="Arial" w:hAnsi="Arial" w:cs="Arial"/>
                <w:noProof/>
                <w:webHidden/>
                <w:sz w:val="22"/>
                <w:szCs w:val="22"/>
              </w:rPr>
              <w:t>11</w:t>
            </w:r>
            <w:r w:rsidRPr="000B4AFF">
              <w:rPr>
                <w:rFonts w:ascii="Arial" w:hAnsi="Arial" w:cs="Arial"/>
                <w:noProof/>
                <w:webHidden/>
                <w:sz w:val="22"/>
                <w:szCs w:val="22"/>
              </w:rPr>
              <w:fldChar w:fldCharType="end"/>
            </w:r>
          </w:hyperlink>
        </w:p>
        <w:p w14:paraId="2BB6D8C8" w14:textId="76FA4599" w:rsidR="00005413" w:rsidRDefault="00005413">
          <w:r w:rsidRPr="000B4AFF">
            <w:rPr>
              <w:rFonts w:ascii="Arial" w:hAnsi="Arial" w:cs="Arial"/>
              <w:b/>
              <w:bCs/>
              <w:noProof/>
              <w:szCs w:val="22"/>
            </w:rPr>
            <w:fldChar w:fldCharType="end"/>
          </w:r>
        </w:p>
      </w:sdtContent>
    </w:sdt>
    <w:p w14:paraId="762D9B97" w14:textId="77777777" w:rsidR="00005413" w:rsidRDefault="00005413" w:rsidP="00231A96">
      <w:pPr>
        <w:jc w:val="both"/>
        <w:rPr>
          <w:szCs w:val="22"/>
        </w:rPr>
      </w:pPr>
    </w:p>
    <w:p w14:paraId="3218A0A8" w14:textId="77777777" w:rsidR="00005413" w:rsidRDefault="00005413" w:rsidP="00231A96">
      <w:pPr>
        <w:jc w:val="both"/>
        <w:rPr>
          <w:szCs w:val="22"/>
        </w:rPr>
      </w:pPr>
    </w:p>
    <w:p w14:paraId="7C0B1C36" w14:textId="77777777" w:rsidR="00005413" w:rsidRDefault="00005413" w:rsidP="00231A96">
      <w:pPr>
        <w:jc w:val="both"/>
        <w:rPr>
          <w:szCs w:val="22"/>
        </w:rPr>
      </w:pPr>
    </w:p>
    <w:p w14:paraId="1068183F" w14:textId="77777777" w:rsidR="00005413" w:rsidRDefault="00005413" w:rsidP="00231A96">
      <w:pPr>
        <w:jc w:val="both"/>
        <w:rPr>
          <w:szCs w:val="22"/>
        </w:rPr>
      </w:pPr>
    </w:p>
    <w:p w14:paraId="5E2A5661" w14:textId="77777777" w:rsidR="00005413" w:rsidRDefault="00005413" w:rsidP="00231A96">
      <w:pPr>
        <w:jc w:val="both"/>
        <w:rPr>
          <w:szCs w:val="22"/>
        </w:rPr>
      </w:pPr>
    </w:p>
    <w:p w14:paraId="61BD936D" w14:textId="77777777" w:rsidR="00005413" w:rsidRDefault="00005413" w:rsidP="00231A96">
      <w:pPr>
        <w:jc w:val="both"/>
        <w:rPr>
          <w:szCs w:val="22"/>
        </w:rPr>
      </w:pPr>
    </w:p>
    <w:p w14:paraId="29E03A8F" w14:textId="77777777" w:rsidR="00005413" w:rsidRDefault="00005413" w:rsidP="00231A96">
      <w:pPr>
        <w:jc w:val="both"/>
        <w:rPr>
          <w:szCs w:val="22"/>
        </w:rPr>
      </w:pPr>
    </w:p>
    <w:p w14:paraId="3DF75857" w14:textId="77777777" w:rsidR="00005413" w:rsidRDefault="00005413" w:rsidP="00231A96">
      <w:pPr>
        <w:jc w:val="both"/>
        <w:rPr>
          <w:szCs w:val="22"/>
        </w:rPr>
      </w:pPr>
    </w:p>
    <w:p w14:paraId="37800949" w14:textId="77777777" w:rsidR="00005413" w:rsidRDefault="00005413" w:rsidP="00231A96">
      <w:pPr>
        <w:jc w:val="both"/>
        <w:rPr>
          <w:szCs w:val="22"/>
        </w:rPr>
      </w:pPr>
    </w:p>
    <w:p w14:paraId="59AE9202" w14:textId="77777777" w:rsidR="00005413" w:rsidRDefault="00005413" w:rsidP="00231A96">
      <w:pPr>
        <w:jc w:val="both"/>
        <w:rPr>
          <w:szCs w:val="22"/>
        </w:rPr>
      </w:pPr>
    </w:p>
    <w:p w14:paraId="1D2E536D" w14:textId="77777777" w:rsidR="00005413" w:rsidRPr="00231A96" w:rsidRDefault="00005413" w:rsidP="00231A96">
      <w:pPr>
        <w:jc w:val="both"/>
        <w:rPr>
          <w:szCs w:val="22"/>
        </w:rPr>
      </w:pPr>
    </w:p>
    <w:p w14:paraId="28A27573" w14:textId="1185D114" w:rsidR="00212066" w:rsidRPr="00231A96" w:rsidRDefault="00212066" w:rsidP="00231A96">
      <w:pPr>
        <w:pStyle w:val="Heading1"/>
        <w:jc w:val="both"/>
        <w:rPr>
          <w:rFonts w:cstheme="minorBidi"/>
          <w:sz w:val="22"/>
          <w:szCs w:val="22"/>
        </w:rPr>
      </w:pPr>
      <w:bookmarkStart w:id="0" w:name="_Toc224414068"/>
      <w:r w:rsidRPr="00231A96">
        <w:rPr>
          <w:rFonts w:cstheme="minorBidi"/>
          <w:sz w:val="22"/>
          <w:szCs w:val="22"/>
        </w:rPr>
        <w:t>Introduction</w:t>
      </w:r>
      <w:bookmarkEnd w:id="0"/>
    </w:p>
    <w:p w14:paraId="3BD01225" w14:textId="2757E6AF" w:rsidR="00B55D54" w:rsidRPr="00B55D54" w:rsidRDefault="00B55D54" w:rsidP="005E6633">
      <w:pPr>
        <w:jc w:val="both"/>
        <w:rPr>
          <w:szCs w:val="22"/>
        </w:rPr>
      </w:pPr>
      <w:r w:rsidRPr="00B55D54">
        <w:rPr>
          <w:szCs w:val="22"/>
        </w:rPr>
        <w:t>The consumption health nexus has become the core of contemporary policy as societies create, trade, and consume what contributes to their health and wellbeing. In this report, the interaction between SDG 3</w:t>
      </w:r>
      <w:r w:rsidR="007A563F">
        <w:rPr>
          <w:szCs w:val="22"/>
        </w:rPr>
        <w:t xml:space="preserve"> </w:t>
      </w:r>
      <w:r w:rsidRPr="00B55D54">
        <w:rPr>
          <w:szCs w:val="22"/>
        </w:rPr>
        <w:t>and</w:t>
      </w:r>
      <w:r w:rsidR="007A563F">
        <w:rPr>
          <w:szCs w:val="22"/>
        </w:rPr>
        <w:t xml:space="preserve"> </w:t>
      </w:r>
      <w:r w:rsidRPr="00B55D54">
        <w:rPr>
          <w:szCs w:val="22"/>
        </w:rPr>
        <w:t xml:space="preserve">12 is critically assessed of how they both impact the population health through </w:t>
      </w:r>
      <w:r w:rsidR="007A563F" w:rsidRPr="00B55D54">
        <w:rPr>
          <w:szCs w:val="22"/>
        </w:rPr>
        <w:t xml:space="preserve">Non-Communicable Diseases </w:t>
      </w:r>
      <w:r w:rsidRPr="00B55D54">
        <w:rPr>
          <w:szCs w:val="22"/>
        </w:rPr>
        <w:t xml:space="preserve">(NCDs), environmental health risks, and the sustainability implications of the existing production and consumption systems (United Nations, 2015). </w:t>
      </w:r>
    </w:p>
    <w:p w14:paraId="59AD2C22" w14:textId="1CBBB89F" w:rsidR="004E429D" w:rsidRPr="00231A96" w:rsidRDefault="00B55D54" w:rsidP="00B55D54">
      <w:pPr>
        <w:jc w:val="both"/>
        <w:rPr>
          <w:szCs w:val="22"/>
        </w:rPr>
      </w:pPr>
      <w:r w:rsidRPr="00B55D54">
        <w:rPr>
          <w:szCs w:val="22"/>
        </w:rPr>
        <w:t>The SDGs are significant because they offer a common global standard of harmoni</w:t>
      </w:r>
      <w:r w:rsidR="0086262C">
        <w:rPr>
          <w:szCs w:val="22"/>
        </w:rPr>
        <w:t>s</w:t>
      </w:r>
      <w:r w:rsidRPr="00B55D54">
        <w:rPr>
          <w:szCs w:val="22"/>
        </w:rPr>
        <w:t>ing the public health, environmental protection, and economic control, and they also reveal the patterns of implementation failure, including disparity in access to healthy environments, corporate influence of regulation, and ineffective accountability in situ (</w:t>
      </w:r>
      <w:proofErr w:type="spellStart"/>
      <w:r w:rsidRPr="00B55D54">
        <w:rPr>
          <w:szCs w:val="22"/>
        </w:rPr>
        <w:t>Noonin</w:t>
      </w:r>
      <w:proofErr w:type="spellEnd"/>
      <w:r w:rsidRPr="00B55D54">
        <w:rPr>
          <w:szCs w:val="22"/>
        </w:rPr>
        <w:t xml:space="preserve"> and </w:t>
      </w:r>
      <w:proofErr w:type="spellStart"/>
      <w:r w:rsidRPr="00B55D54">
        <w:rPr>
          <w:szCs w:val="22"/>
        </w:rPr>
        <w:t>Phuangprayong</w:t>
      </w:r>
      <w:proofErr w:type="spellEnd"/>
      <w:r w:rsidRPr="00B55D54">
        <w:rPr>
          <w:szCs w:val="22"/>
        </w:rPr>
        <w:t xml:space="preserve">, 2025). </w:t>
      </w:r>
    </w:p>
    <w:p w14:paraId="4B4DE787" w14:textId="23A4ABB9" w:rsidR="009C701D" w:rsidRPr="00231A96" w:rsidRDefault="009C701D" w:rsidP="00231A96">
      <w:pPr>
        <w:jc w:val="both"/>
        <w:rPr>
          <w:szCs w:val="22"/>
        </w:rPr>
      </w:pPr>
      <w:r w:rsidRPr="00231A96">
        <w:rPr>
          <w:szCs w:val="22"/>
        </w:rPr>
        <w:t>Section 1 evaluates SDG 3 policies and initiatives, Section 2 evaluates SDG 12 policies and initiatives, and the conclusion synthesises connections and implications while proposing evidence-informed recommendations.</w:t>
      </w:r>
    </w:p>
    <w:p w14:paraId="7BC4D856" w14:textId="45D82B28" w:rsidR="00355F49" w:rsidRPr="00231A96" w:rsidRDefault="00355F49" w:rsidP="00231A96">
      <w:pPr>
        <w:pStyle w:val="Heading2"/>
        <w:jc w:val="both"/>
        <w:rPr>
          <w:rFonts w:cstheme="minorBidi"/>
          <w:szCs w:val="22"/>
        </w:rPr>
      </w:pPr>
      <w:bookmarkStart w:id="1" w:name="_Toc224414069"/>
      <w:r w:rsidRPr="00231A96">
        <w:rPr>
          <w:rFonts w:cstheme="minorBidi"/>
          <w:szCs w:val="22"/>
        </w:rPr>
        <w:t>Section 1: SDG 3 – Good Health and Wellbeing</w:t>
      </w:r>
      <w:bookmarkEnd w:id="1"/>
      <w:r w:rsidRPr="00231A96">
        <w:rPr>
          <w:rFonts w:cstheme="minorBidi"/>
          <w:szCs w:val="22"/>
        </w:rPr>
        <w:t xml:space="preserve"> </w:t>
      </w:r>
    </w:p>
    <w:p w14:paraId="49AC5719" w14:textId="5175EBAF" w:rsidR="00355F49" w:rsidRDefault="00355F49" w:rsidP="00231A96">
      <w:pPr>
        <w:pStyle w:val="NormalWeb"/>
        <w:spacing w:line="360" w:lineRule="auto"/>
        <w:jc w:val="both"/>
        <w:rPr>
          <w:rFonts w:asciiTheme="minorBidi" w:eastAsiaTheme="minorHAnsi" w:hAnsiTheme="minorBidi" w:cstheme="minorBidi"/>
          <w:kern w:val="2"/>
          <w:sz w:val="22"/>
          <w:szCs w:val="22"/>
          <w:lang w:eastAsia="en-US"/>
          <w14:ligatures w14:val="standardContextual"/>
        </w:rPr>
      </w:pPr>
      <w:r w:rsidRPr="00231A96">
        <w:rPr>
          <w:rFonts w:asciiTheme="minorBidi" w:eastAsiaTheme="minorHAnsi" w:hAnsiTheme="minorBidi" w:cstheme="minorBidi"/>
          <w:kern w:val="2"/>
          <w:sz w:val="22"/>
          <w:szCs w:val="22"/>
          <w:lang w:eastAsia="en-US"/>
          <w14:ligatures w14:val="standardContextual"/>
        </w:rPr>
        <w:t>SDG 3 aims to “ensure healthy lives and promote wellbeing for all at all ages,” but its contemporary policy challenge is increasingly dominated by non-communicable diseases (NCDs) (e.g., obesity, type 2 diabetes, cardiovascular disease) and environmental health risks (e.g., air pollution) that are shaped by commercial food environments, unequal living conditions, and policy choices beyond the health sector. In this sense, SDG 3 is not only about healthcare access, but also about upstream determinants</w:t>
      </w:r>
      <w:r w:rsidR="00CA38B9" w:rsidRPr="00231A96">
        <w:rPr>
          <w:rFonts w:asciiTheme="minorBidi" w:eastAsiaTheme="minorHAnsi" w:hAnsiTheme="minorBidi" w:cstheme="minorBidi"/>
          <w:kern w:val="2"/>
          <w:sz w:val="22"/>
          <w:szCs w:val="22"/>
          <w:lang w:eastAsia="en-US"/>
          <w14:ligatures w14:val="standardContextual"/>
        </w:rPr>
        <w:t xml:space="preserve">: </w:t>
      </w:r>
      <w:r w:rsidRPr="00231A96">
        <w:rPr>
          <w:rFonts w:asciiTheme="minorBidi" w:eastAsiaTheme="minorHAnsi" w:hAnsiTheme="minorBidi" w:cstheme="minorBidi"/>
          <w:kern w:val="2"/>
          <w:sz w:val="22"/>
          <w:szCs w:val="22"/>
          <w:lang w:eastAsia="en-US"/>
          <w14:ligatures w14:val="standardContextual"/>
        </w:rPr>
        <w:t>pricing, marketing, labelling, and the physical environments that enable or constrain healthy behaviours</w:t>
      </w:r>
      <w:r w:rsidR="00CA38B9" w:rsidRPr="00231A96">
        <w:rPr>
          <w:rFonts w:asciiTheme="minorBidi" w:eastAsiaTheme="minorHAnsi" w:hAnsiTheme="minorBidi" w:cstheme="minorBidi"/>
          <w:kern w:val="2"/>
          <w:sz w:val="22"/>
          <w:szCs w:val="22"/>
          <w:lang w:eastAsia="en-US"/>
          <w14:ligatures w14:val="standardContextual"/>
        </w:rPr>
        <w:t xml:space="preserve"> </w:t>
      </w:r>
      <w:r w:rsidR="00CA38B9" w:rsidRPr="00231A96">
        <w:rPr>
          <w:rFonts w:asciiTheme="minorBidi" w:hAnsiTheme="minorBidi" w:cstheme="minorBidi"/>
          <w:sz w:val="22"/>
          <w:szCs w:val="22"/>
        </w:rPr>
        <w:t>(</w:t>
      </w:r>
      <w:proofErr w:type="spellStart"/>
      <w:r w:rsidR="00CA38B9" w:rsidRPr="00231A96">
        <w:rPr>
          <w:rFonts w:asciiTheme="minorBidi" w:hAnsiTheme="minorBidi" w:cstheme="minorBidi"/>
          <w:sz w:val="22"/>
          <w:szCs w:val="22"/>
        </w:rPr>
        <w:t>Macassa</w:t>
      </w:r>
      <w:proofErr w:type="spellEnd"/>
      <w:r w:rsidR="00CA38B9" w:rsidRPr="00231A96">
        <w:rPr>
          <w:rFonts w:asciiTheme="minorBidi" w:hAnsiTheme="minorBidi" w:cstheme="minorBidi"/>
          <w:sz w:val="22"/>
          <w:szCs w:val="22"/>
        </w:rPr>
        <w:t>, 2021)</w:t>
      </w:r>
      <w:r w:rsidRPr="00231A96">
        <w:rPr>
          <w:rFonts w:asciiTheme="minorBidi" w:eastAsiaTheme="minorHAnsi" w:hAnsiTheme="minorBidi" w:cstheme="minorBidi"/>
          <w:kern w:val="2"/>
          <w:sz w:val="22"/>
          <w:szCs w:val="22"/>
          <w:lang w:eastAsia="en-US"/>
          <w14:ligatures w14:val="standardContextual"/>
        </w:rPr>
        <w:t>.</w:t>
      </w:r>
    </w:p>
    <w:p w14:paraId="79067F33" w14:textId="77777777" w:rsidR="00054372" w:rsidRDefault="00054372" w:rsidP="00054372">
      <w:pPr>
        <w:pStyle w:val="NormalWeb"/>
        <w:keepNext/>
        <w:spacing w:line="360" w:lineRule="auto"/>
        <w:jc w:val="center"/>
      </w:pPr>
      <w:r>
        <w:fldChar w:fldCharType="begin"/>
      </w:r>
      <w:r>
        <w:instrText xml:space="preserve"> INCLUDEPICTURE "https://www.shutterstock.com/image-vector/sdg-goal-3-good-health-260nw-2552475201.jpg" \* MERGEFORMATINET </w:instrText>
      </w:r>
      <w:r>
        <w:fldChar w:fldCharType="separate"/>
      </w:r>
      <w:r>
        <w:rPr>
          <w:noProof/>
        </w:rPr>
        <w:drawing>
          <wp:inline distT="0" distB="0" distL="0" distR="0" wp14:anchorId="19BDFD2E" wp14:editId="591FF0AA">
            <wp:extent cx="3444043" cy="1475115"/>
            <wp:effectExtent l="0" t="0" r="0" b="0"/>
            <wp:docPr id="933465204" name="Picture 1" descr="40 Sdg Goal 3 Royalty-Free Images, Stock Photos &amp; Pictur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40 Sdg Goal 3 Royalty-Free Images, Stock Photos &amp; Pictures | Shutterstock"/>
                    <pic:cNvPicPr>
                      <a:picLocks noChangeAspect="1" noChangeArrowheads="1"/>
                    </pic:cNvPicPr>
                  </pic:nvPicPr>
                  <pic:blipFill rotWithShape="1">
                    <a:blip r:embed="rId8">
                      <a:extLst>
                        <a:ext uri="{28A0092B-C50C-407E-A947-70E740481C1C}">
                          <a14:useLocalDpi xmlns:a14="http://schemas.microsoft.com/office/drawing/2010/main" val="0"/>
                        </a:ext>
                      </a:extLst>
                    </a:blip>
                    <a:srcRect b="7114"/>
                    <a:stretch>
                      <a:fillRect/>
                    </a:stretch>
                  </pic:blipFill>
                  <pic:spPr bwMode="auto">
                    <a:xfrm>
                      <a:off x="0" y="0"/>
                      <a:ext cx="3476074" cy="1488834"/>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1E3E7DB4" w14:textId="2BB53910" w:rsidR="00054372" w:rsidRPr="00B8004F" w:rsidRDefault="00054372" w:rsidP="00054372">
      <w:pPr>
        <w:pStyle w:val="Caption"/>
        <w:jc w:val="center"/>
      </w:pPr>
      <w:r w:rsidRPr="00B8004F">
        <w:t xml:space="preserve">Figure </w:t>
      </w:r>
      <w:r w:rsidR="00C22CFB">
        <w:fldChar w:fldCharType="begin"/>
      </w:r>
      <w:r w:rsidR="00C22CFB">
        <w:instrText xml:space="preserve"> SEQ Figure \* ARABIC </w:instrText>
      </w:r>
      <w:r w:rsidR="00C22CFB">
        <w:fldChar w:fldCharType="separate"/>
      </w:r>
      <w:r w:rsidR="00C22CFB">
        <w:rPr>
          <w:noProof/>
        </w:rPr>
        <w:t>1</w:t>
      </w:r>
      <w:r w:rsidR="00C22CFB">
        <w:rPr>
          <w:noProof/>
        </w:rPr>
        <w:fldChar w:fldCharType="end"/>
      </w:r>
      <w:r w:rsidRPr="00B8004F">
        <w:t>: SDG 3</w:t>
      </w:r>
      <w:r w:rsidR="00B8004F" w:rsidRPr="00B8004F">
        <w:t xml:space="preserve"> </w:t>
      </w:r>
      <w:r w:rsidR="00B8004F" w:rsidRPr="00B8004F">
        <w:rPr>
          <w:rFonts w:ascii="Arial" w:hAnsi="Arial" w:cs="Arial"/>
        </w:rPr>
        <w:t>(United Nations, 2015)</w:t>
      </w:r>
    </w:p>
    <w:p w14:paraId="73963DA9" w14:textId="77777777" w:rsidR="00355F49" w:rsidRPr="00231A96" w:rsidRDefault="00355F49" w:rsidP="00231A96">
      <w:pPr>
        <w:pStyle w:val="Heading3"/>
        <w:jc w:val="both"/>
        <w:rPr>
          <w:rFonts w:cstheme="minorBidi"/>
          <w:szCs w:val="22"/>
        </w:rPr>
      </w:pPr>
      <w:bookmarkStart w:id="2" w:name="_Toc224414070"/>
      <w:r w:rsidRPr="00231A96">
        <w:rPr>
          <w:rFonts w:cstheme="minorBidi"/>
          <w:szCs w:val="22"/>
        </w:rPr>
        <w:t>Global policy/initiative: WHO Global Action Plan for NCDs</w:t>
      </w:r>
      <w:bookmarkEnd w:id="2"/>
    </w:p>
    <w:p w14:paraId="65C86598" w14:textId="6CBBFEA8" w:rsidR="00355F49" w:rsidRDefault="00355F49" w:rsidP="00231A96">
      <w:pPr>
        <w:pStyle w:val="NormalWeb"/>
        <w:spacing w:line="360" w:lineRule="auto"/>
        <w:jc w:val="both"/>
        <w:rPr>
          <w:rFonts w:asciiTheme="minorBidi" w:hAnsiTheme="minorBidi" w:cstheme="minorBidi"/>
          <w:sz w:val="22"/>
          <w:szCs w:val="22"/>
        </w:rPr>
      </w:pPr>
      <w:r w:rsidRPr="00231A96">
        <w:rPr>
          <w:rFonts w:asciiTheme="minorBidi" w:hAnsiTheme="minorBidi" w:cstheme="minorBidi"/>
          <w:sz w:val="22"/>
          <w:szCs w:val="22"/>
        </w:rPr>
        <w:t xml:space="preserve">The </w:t>
      </w:r>
      <w:r w:rsidRPr="00231A96">
        <w:rPr>
          <w:rStyle w:val="Strong"/>
          <w:rFonts w:asciiTheme="minorBidi" w:eastAsiaTheme="majorEastAsia" w:hAnsiTheme="minorBidi" w:cstheme="minorBidi"/>
          <w:sz w:val="22"/>
          <w:szCs w:val="22"/>
        </w:rPr>
        <w:t>WHO Global Action Plan for the Prevention and Control of NCDs</w:t>
      </w:r>
      <w:r w:rsidRPr="00231A96">
        <w:rPr>
          <w:rFonts w:asciiTheme="minorBidi" w:hAnsiTheme="minorBidi" w:cstheme="minorBidi"/>
          <w:sz w:val="22"/>
          <w:szCs w:val="22"/>
        </w:rPr>
        <w:t xml:space="preserve"> provides a global </w:t>
      </w:r>
      <w:r w:rsidR="008E070E" w:rsidRPr="00231A96">
        <w:rPr>
          <w:rFonts w:asciiTheme="minorBidi" w:hAnsiTheme="minorBidi" w:cstheme="minorBidi"/>
          <w:sz w:val="22"/>
          <w:szCs w:val="22"/>
        </w:rPr>
        <w:t>list</w:t>
      </w:r>
      <w:r w:rsidRPr="00231A96">
        <w:rPr>
          <w:rFonts w:asciiTheme="minorBidi" w:hAnsiTheme="minorBidi" w:cstheme="minorBidi"/>
          <w:sz w:val="22"/>
          <w:szCs w:val="22"/>
        </w:rPr>
        <w:t xml:space="preserve"> of policy options and targets (including population-level prevention measures), encouraging states to implement cost-effective best buys such as fiscal policies, marketing restrictions, and multi-</w:t>
      </w:r>
      <w:proofErr w:type="spellStart"/>
      <w:r w:rsidRPr="00231A96">
        <w:rPr>
          <w:rFonts w:asciiTheme="minorBidi" w:hAnsiTheme="minorBidi" w:cstheme="minorBidi"/>
          <w:sz w:val="22"/>
          <w:szCs w:val="22"/>
        </w:rPr>
        <w:t>sectoral</w:t>
      </w:r>
      <w:proofErr w:type="spellEnd"/>
      <w:r w:rsidRPr="00231A96">
        <w:rPr>
          <w:rFonts w:asciiTheme="minorBidi" w:hAnsiTheme="minorBidi" w:cstheme="minorBidi"/>
          <w:sz w:val="22"/>
          <w:szCs w:val="22"/>
        </w:rPr>
        <w:t xml:space="preserve"> governance</w:t>
      </w:r>
      <w:r w:rsidR="008E070E" w:rsidRPr="00231A96">
        <w:rPr>
          <w:rFonts w:asciiTheme="minorBidi" w:hAnsiTheme="minorBidi" w:cstheme="minorBidi"/>
          <w:sz w:val="22"/>
          <w:szCs w:val="22"/>
        </w:rPr>
        <w:t xml:space="preserve"> (WHO, 2023)</w:t>
      </w:r>
      <w:r w:rsidRPr="00231A96">
        <w:rPr>
          <w:rFonts w:asciiTheme="minorBidi" w:hAnsiTheme="minorBidi" w:cstheme="minorBidi"/>
          <w:sz w:val="22"/>
          <w:szCs w:val="22"/>
        </w:rPr>
        <w:t xml:space="preserve">.) However, evidence from </w:t>
      </w:r>
      <w:r w:rsidR="003B08A3" w:rsidRPr="00231A96">
        <w:rPr>
          <w:rFonts w:asciiTheme="minorBidi" w:hAnsiTheme="minorBidi" w:cstheme="minorBidi"/>
          <w:sz w:val="22"/>
          <w:szCs w:val="22"/>
        </w:rPr>
        <w:t xml:space="preserve">WHO (2020) </w:t>
      </w:r>
      <w:r w:rsidRPr="00231A96">
        <w:rPr>
          <w:rFonts w:asciiTheme="minorBidi" w:hAnsiTheme="minorBidi" w:cstheme="minorBidi"/>
          <w:sz w:val="22"/>
          <w:szCs w:val="22"/>
        </w:rPr>
        <w:t xml:space="preserve">highlights a recurring implementation gap: progress depends less on the existence of a plan and more on </w:t>
      </w:r>
      <w:r w:rsidRPr="00231A96">
        <w:rPr>
          <w:rStyle w:val="Strong"/>
          <w:rFonts w:asciiTheme="minorBidi" w:eastAsiaTheme="majorEastAsia" w:hAnsiTheme="minorBidi" w:cstheme="minorBidi"/>
          <w:b w:val="0"/>
          <w:bCs w:val="0"/>
          <w:sz w:val="22"/>
          <w:szCs w:val="22"/>
        </w:rPr>
        <w:t>national capacity</w:t>
      </w:r>
      <w:r w:rsidRPr="00231A96">
        <w:rPr>
          <w:rFonts w:asciiTheme="minorBidi" w:hAnsiTheme="minorBidi" w:cstheme="minorBidi"/>
          <w:sz w:val="22"/>
          <w:szCs w:val="22"/>
        </w:rPr>
        <w:t xml:space="preserve">, sustainable financing, and the ability to manage </w:t>
      </w:r>
      <w:r w:rsidRPr="00231A96">
        <w:rPr>
          <w:rStyle w:val="Strong"/>
          <w:rFonts w:asciiTheme="minorBidi" w:eastAsiaTheme="majorEastAsia" w:hAnsiTheme="minorBidi" w:cstheme="minorBidi"/>
          <w:b w:val="0"/>
          <w:bCs w:val="0"/>
          <w:sz w:val="22"/>
          <w:szCs w:val="22"/>
        </w:rPr>
        <w:t>cross-sector trade-offs</w:t>
      </w:r>
      <w:r w:rsidRPr="00231A96">
        <w:rPr>
          <w:rFonts w:asciiTheme="minorBidi" w:hAnsiTheme="minorBidi" w:cstheme="minorBidi"/>
          <w:sz w:val="22"/>
          <w:szCs w:val="22"/>
        </w:rPr>
        <w:t xml:space="preserve"> and vested interests. In critical terms, the Action Plan’s strength</w:t>
      </w:r>
      <w:r w:rsidR="00E32DFB" w:rsidRPr="00231A96">
        <w:rPr>
          <w:rFonts w:asciiTheme="minorBidi" w:hAnsiTheme="minorBidi" w:cstheme="minorBidi"/>
          <w:sz w:val="22"/>
          <w:szCs w:val="22"/>
        </w:rPr>
        <w:t xml:space="preserve">, </w:t>
      </w:r>
      <w:r w:rsidRPr="00231A96">
        <w:rPr>
          <w:rFonts w:asciiTheme="minorBidi" w:hAnsiTheme="minorBidi" w:cstheme="minorBidi"/>
          <w:sz w:val="22"/>
          <w:szCs w:val="22"/>
        </w:rPr>
        <w:t>its flexibility</w:t>
      </w:r>
      <w:r w:rsidR="00E32DFB" w:rsidRPr="00231A96">
        <w:rPr>
          <w:rFonts w:asciiTheme="minorBidi" w:hAnsiTheme="minorBidi" w:cstheme="minorBidi"/>
          <w:sz w:val="22"/>
          <w:szCs w:val="22"/>
        </w:rPr>
        <w:t xml:space="preserve"> </w:t>
      </w:r>
      <w:r w:rsidRPr="00231A96">
        <w:rPr>
          <w:rFonts w:asciiTheme="minorBidi" w:hAnsiTheme="minorBidi" w:cstheme="minorBidi"/>
          <w:sz w:val="22"/>
          <w:szCs w:val="22"/>
        </w:rPr>
        <w:t xml:space="preserve">also becomes a weakness: without binding enforcement, countries may adopt selective, low-friction interventions (information campaigns) while under-using higher-impact but politically contested measures (taxation, advertising restrictions). This creates a pattern of </w:t>
      </w:r>
      <w:r w:rsidRPr="00231A96">
        <w:rPr>
          <w:rStyle w:val="Strong"/>
          <w:rFonts w:asciiTheme="minorBidi" w:eastAsiaTheme="majorEastAsia" w:hAnsiTheme="minorBidi" w:cstheme="minorBidi"/>
          <w:b w:val="0"/>
          <w:bCs w:val="0"/>
          <w:sz w:val="22"/>
          <w:szCs w:val="22"/>
        </w:rPr>
        <w:t>policy drift</w:t>
      </w:r>
      <w:r w:rsidRPr="00231A96">
        <w:rPr>
          <w:rFonts w:asciiTheme="minorBidi" w:hAnsiTheme="minorBidi" w:cstheme="minorBidi"/>
          <w:sz w:val="22"/>
          <w:szCs w:val="22"/>
        </w:rPr>
        <w:t>, where stated commitments to reduce NCD risks coexist with continued market expansion of unhealthy products</w:t>
      </w:r>
      <w:r w:rsidR="00662C56" w:rsidRPr="00231A96">
        <w:rPr>
          <w:rFonts w:asciiTheme="minorBidi" w:hAnsiTheme="minorBidi" w:cstheme="minorBidi"/>
          <w:sz w:val="22"/>
          <w:szCs w:val="22"/>
        </w:rPr>
        <w:t xml:space="preserve"> (</w:t>
      </w:r>
      <w:proofErr w:type="spellStart"/>
      <w:r w:rsidR="00662C56" w:rsidRPr="00231A96">
        <w:rPr>
          <w:rFonts w:asciiTheme="minorBidi" w:hAnsiTheme="minorBidi" w:cstheme="minorBidi"/>
          <w:sz w:val="22"/>
          <w:szCs w:val="22"/>
        </w:rPr>
        <w:t>Nyaaba</w:t>
      </w:r>
      <w:proofErr w:type="spellEnd"/>
      <w:r w:rsidR="00662C56" w:rsidRPr="00231A96">
        <w:rPr>
          <w:rFonts w:asciiTheme="minorBidi" w:hAnsiTheme="minorBidi" w:cstheme="minorBidi"/>
          <w:sz w:val="22"/>
          <w:szCs w:val="22"/>
        </w:rPr>
        <w:t xml:space="preserve"> </w:t>
      </w:r>
      <w:r w:rsidR="00662C56" w:rsidRPr="00231A96">
        <w:rPr>
          <w:rFonts w:asciiTheme="minorBidi" w:hAnsiTheme="minorBidi" w:cstheme="minorBidi"/>
          <w:i/>
          <w:iCs/>
          <w:sz w:val="22"/>
          <w:szCs w:val="22"/>
        </w:rPr>
        <w:t>et al.</w:t>
      </w:r>
      <w:r w:rsidR="00662C56" w:rsidRPr="00231A96">
        <w:rPr>
          <w:rFonts w:asciiTheme="minorBidi" w:hAnsiTheme="minorBidi" w:cstheme="minorBidi"/>
          <w:sz w:val="22"/>
          <w:szCs w:val="22"/>
        </w:rPr>
        <w:t>, 2017)</w:t>
      </w:r>
      <w:r w:rsidRPr="00231A96">
        <w:rPr>
          <w:rFonts w:asciiTheme="minorBidi" w:hAnsiTheme="minorBidi" w:cstheme="minorBidi"/>
          <w:sz w:val="22"/>
          <w:szCs w:val="22"/>
        </w:rPr>
        <w:t>.</w:t>
      </w:r>
    </w:p>
    <w:p w14:paraId="49C1580B" w14:textId="77777777" w:rsidR="00D934F0" w:rsidRDefault="00D934F0" w:rsidP="00D934F0">
      <w:pPr>
        <w:pStyle w:val="NormalWeb"/>
        <w:keepNext/>
        <w:spacing w:line="360" w:lineRule="auto"/>
        <w:jc w:val="center"/>
      </w:pPr>
      <w:r w:rsidRPr="00D934F0">
        <w:rPr>
          <w:rFonts w:asciiTheme="minorBidi" w:hAnsiTheme="minorBidi" w:cstheme="minorBidi"/>
          <w:noProof/>
          <w:sz w:val="22"/>
          <w:szCs w:val="22"/>
        </w:rPr>
        <w:drawing>
          <wp:inline distT="0" distB="0" distL="0" distR="0" wp14:anchorId="03747D35" wp14:editId="10DC4ABB">
            <wp:extent cx="4785579" cy="3848187"/>
            <wp:effectExtent l="0" t="0" r="2540" b="0"/>
            <wp:docPr id="435070118" name="Picture 1" descr="A diagram of a global health targ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070118" name="Picture 1" descr="A diagram of a global health target&#10;&#10;AI-generated content may be incorrect."/>
                    <pic:cNvPicPr/>
                  </pic:nvPicPr>
                  <pic:blipFill>
                    <a:blip r:embed="rId9"/>
                    <a:stretch>
                      <a:fillRect/>
                    </a:stretch>
                  </pic:blipFill>
                  <pic:spPr>
                    <a:xfrm>
                      <a:off x="0" y="0"/>
                      <a:ext cx="4794901" cy="3855683"/>
                    </a:xfrm>
                    <a:prstGeom prst="rect">
                      <a:avLst/>
                    </a:prstGeom>
                  </pic:spPr>
                </pic:pic>
              </a:graphicData>
            </a:graphic>
          </wp:inline>
        </w:drawing>
      </w:r>
    </w:p>
    <w:p w14:paraId="47ECD6AF" w14:textId="13A0D0A7" w:rsidR="00D934F0" w:rsidRPr="00B8004F" w:rsidRDefault="00D934F0" w:rsidP="00D934F0">
      <w:pPr>
        <w:pStyle w:val="Caption"/>
        <w:jc w:val="center"/>
      </w:pPr>
      <w:r w:rsidRPr="00B8004F">
        <w:t xml:space="preserve">Figure </w:t>
      </w:r>
      <w:r w:rsidR="00C22CFB">
        <w:fldChar w:fldCharType="begin"/>
      </w:r>
      <w:r w:rsidR="00C22CFB">
        <w:instrText xml:space="preserve"> SEQ Figure \* ARABIC </w:instrText>
      </w:r>
      <w:r w:rsidR="00C22CFB">
        <w:fldChar w:fldCharType="separate"/>
      </w:r>
      <w:r w:rsidR="00C22CFB">
        <w:rPr>
          <w:noProof/>
        </w:rPr>
        <w:t>2</w:t>
      </w:r>
      <w:r w:rsidR="00C22CFB">
        <w:rPr>
          <w:noProof/>
        </w:rPr>
        <w:fldChar w:fldCharType="end"/>
      </w:r>
      <w:r w:rsidRPr="00B8004F">
        <w:t>: Globa</w:t>
      </w:r>
      <w:r w:rsidR="00D613BB" w:rsidRPr="00B8004F">
        <w:t>l</w:t>
      </w:r>
      <w:r w:rsidRPr="00B8004F">
        <w:t xml:space="preserve"> NCD Targets for 2025</w:t>
      </w:r>
      <w:r w:rsidR="00B8004F" w:rsidRPr="00B8004F">
        <w:t xml:space="preserve"> </w:t>
      </w:r>
      <w:r w:rsidR="00B8004F" w:rsidRPr="00B8004F">
        <w:rPr>
          <w:rFonts w:ascii="Arial" w:hAnsi="Arial" w:cs="Arial"/>
        </w:rPr>
        <w:t>(WHO, 2023)</w:t>
      </w:r>
    </w:p>
    <w:p w14:paraId="19FE9E81" w14:textId="77777777" w:rsidR="008372FC" w:rsidRDefault="008372FC" w:rsidP="00231A96">
      <w:pPr>
        <w:pStyle w:val="NormalWeb"/>
        <w:spacing w:line="360" w:lineRule="auto"/>
        <w:jc w:val="both"/>
        <w:rPr>
          <w:rFonts w:asciiTheme="minorBidi" w:hAnsiTheme="minorBidi" w:cstheme="minorBidi"/>
          <w:sz w:val="22"/>
          <w:szCs w:val="22"/>
        </w:rPr>
      </w:pPr>
    </w:p>
    <w:p w14:paraId="53EE52F5" w14:textId="728FE270" w:rsidR="00355F49" w:rsidRPr="00231A96" w:rsidRDefault="005E6633" w:rsidP="00231A96">
      <w:pPr>
        <w:pStyle w:val="NormalWeb"/>
        <w:spacing w:line="360" w:lineRule="auto"/>
        <w:jc w:val="both"/>
        <w:rPr>
          <w:rFonts w:asciiTheme="minorBidi" w:hAnsiTheme="minorBidi" w:cstheme="minorBidi"/>
          <w:sz w:val="22"/>
          <w:szCs w:val="22"/>
        </w:rPr>
      </w:pPr>
      <w:r w:rsidRPr="005E6633">
        <w:rPr>
          <w:rFonts w:asciiTheme="minorBidi" w:hAnsiTheme="minorBidi" w:cstheme="minorBidi"/>
          <w:sz w:val="22"/>
          <w:szCs w:val="22"/>
        </w:rPr>
        <w:t xml:space="preserve">In a Health Belief Model (HBM) perspective, the implication of global guidance is that when individuals have knowledge on the risks, they will alter behaviour. However, it is not often that there is enough knowledge when healthier options cost more, are more inaccessible or out-marketed. This restricts HBM pathways like cues to action (e.g., labels) unless the cues are accompanied by environmental change that renders action possible (Fang et al., 2025). Likewise, the Social Cognitive Theory (SCT) proposes that long-term change must be supported by enabling the environment, role </w:t>
      </w:r>
      <w:proofErr w:type="spellStart"/>
      <w:r w:rsidRPr="005E6633">
        <w:rPr>
          <w:rFonts w:asciiTheme="minorBidi" w:hAnsiTheme="minorBidi" w:cstheme="minorBidi"/>
          <w:sz w:val="22"/>
          <w:szCs w:val="22"/>
        </w:rPr>
        <w:t>modeling</w:t>
      </w:r>
      <w:proofErr w:type="spellEnd"/>
      <w:r w:rsidRPr="005E6633">
        <w:rPr>
          <w:rFonts w:asciiTheme="minorBidi" w:hAnsiTheme="minorBidi" w:cstheme="minorBidi"/>
          <w:sz w:val="22"/>
          <w:szCs w:val="22"/>
        </w:rPr>
        <w:t>, and reinforcement; world plans can promote such factors, yet they are not translated into local contexts of commercial and social rules that influence consumption</w:t>
      </w:r>
      <w:r>
        <w:rPr>
          <w:rFonts w:asciiTheme="minorBidi" w:hAnsiTheme="minorBidi" w:cstheme="minorBidi"/>
          <w:sz w:val="22"/>
          <w:szCs w:val="22"/>
        </w:rPr>
        <w:t xml:space="preserve"> </w:t>
      </w:r>
      <w:r w:rsidR="0055132E" w:rsidRPr="00231A96">
        <w:rPr>
          <w:rFonts w:asciiTheme="minorBidi" w:hAnsiTheme="minorBidi" w:cstheme="minorBidi"/>
          <w:sz w:val="22"/>
          <w:szCs w:val="22"/>
        </w:rPr>
        <w:t>(</w:t>
      </w:r>
      <w:proofErr w:type="spellStart"/>
      <w:r w:rsidR="0055132E" w:rsidRPr="00231A96">
        <w:rPr>
          <w:rFonts w:asciiTheme="minorBidi" w:hAnsiTheme="minorBidi" w:cstheme="minorBidi"/>
          <w:sz w:val="22"/>
          <w:szCs w:val="22"/>
        </w:rPr>
        <w:t>Zhai</w:t>
      </w:r>
      <w:proofErr w:type="spellEnd"/>
      <w:r w:rsidR="0055132E" w:rsidRPr="00231A96">
        <w:rPr>
          <w:rFonts w:asciiTheme="minorBidi" w:hAnsiTheme="minorBidi" w:cstheme="minorBidi"/>
          <w:sz w:val="22"/>
          <w:szCs w:val="22"/>
        </w:rPr>
        <w:t xml:space="preserve"> </w:t>
      </w:r>
      <w:r w:rsidR="0055132E" w:rsidRPr="00231A96">
        <w:rPr>
          <w:rFonts w:asciiTheme="minorBidi" w:hAnsiTheme="minorBidi" w:cstheme="minorBidi"/>
          <w:i/>
          <w:iCs/>
          <w:sz w:val="22"/>
          <w:szCs w:val="22"/>
        </w:rPr>
        <w:t>et al.</w:t>
      </w:r>
      <w:r w:rsidR="0055132E" w:rsidRPr="00231A96">
        <w:rPr>
          <w:rFonts w:asciiTheme="minorBidi" w:hAnsiTheme="minorBidi" w:cstheme="minorBidi"/>
          <w:sz w:val="22"/>
          <w:szCs w:val="22"/>
        </w:rPr>
        <w:t>, 2023)</w:t>
      </w:r>
      <w:r w:rsidR="00355F49" w:rsidRPr="00231A96">
        <w:rPr>
          <w:rFonts w:asciiTheme="minorBidi" w:hAnsiTheme="minorBidi" w:cstheme="minorBidi"/>
          <w:sz w:val="22"/>
          <w:szCs w:val="22"/>
        </w:rPr>
        <w:t>.</w:t>
      </w:r>
    </w:p>
    <w:p w14:paraId="78F15991" w14:textId="77777777" w:rsidR="00355F49" w:rsidRPr="00231A96" w:rsidRDefault="00355F49" w:rsidP="00231A96">
      <w:pPr>
        <w:pStyle w:val="Heading3"/>
        <w:jc w:val="both"/>
        <w:rPr>
          <w:rFonts w:cstheme="minorBidi"/>
          <w:szCs w:val="22"/>
        </w:rPr>
      </w:pPr>
      <w:bookmarkStart w:id="3" w:name="_Toc224414071"/>
      <w:r w:rsidRPr="00231A96">
        <w:rPr>
          <w:rFonts w:cstheme="minorBidi"/>
          <w:szCs w:val="22"/>
        </w:rPr>
        <w:t>National example (UK): Soft Drinks Industry Levy (SDIL)</w:t>
      </w:r>
      <w:bookmarkEnd w:id="3"/>
    </w:p>
    <w:p w14:paraId="16A6E009" w14:textId="77777777" w:rsidR="007E4AE8" w:rsidRPr="007E4AE8" w:rsidRDefault="008C3C07" w:rsidP="0009054C">
      <w:pPr>
        <w:pStyle w:val="NormalWeb"/>
        <w:spacing w:line="360" w:lineRule="auto"/>
        <w:jc w:val="both"/>
        <w:rPr>
          <w:rFonts w:asciiTheme="minorBidi" w:hAnsiTheme="minorBidi" w:cstheme="minorBidi"/>
          <w:sz w:val="22"/>
          <w:szCs w:val="22"/>
        </w:rPr>
      </w:pPr>
      <w:r w:rsidRPr="008C3C07">
        <w:rPr>
          <w:rFonts w:asciiTheme="minorBidi" w:hAnsiTheme="minorBidi" w:cstheme="minorBidi"/>
          <w:sz w:val="22"/>
          <w:szCs w:val="22"/>
        </w:rPr>
        <w:t xml:space="preserve">The UK Soft Drinks Industry Levy is a high-profile SDG 3-congruent intervention since it aims to reduce sugar consumption by reformulating the industry, not by individual volition. According to Rogers et al. (2023), the SDIL was linked with significant decreases in sugar sold in levy-eligible beverages and product reformulation. </w:t>
      </w:r>
      <w:r w:rsidR="007E4AE8" w:rsidRPr="007E4AE8">
        <w:rPr>
          <w:rFonts w:asciiTheme="minorBidi" w:hAnsiTheme="minorBidi" w:cstheme="minorBidi"/>
          <w:sz w:val="22"/>
          <w:szCs w:val="22"/>
        </w:rPr>
        <w:t>It is policy-relevant in that it removes the burden on education-only approaches and alters the default market offering that is aligned with behavioural economics (adjusting incentives) and SCT (adjusting environment that triggers behaviour). However, limitations remain. Firstly, a drink-specific tax is bound to trigger risk displacement until more general factors influencing diet (ultra-processed food, portion size, marketing) are also dealt with. Second, distributional considerations matter: fiscal policies may be retrogressive, unless the revenues are visibly invested in health promotion, school meals, or low-income households (</w:t>
      </w:r>
      <w:proofErr w:type="spellStart"/>
      <w:r w:rsidR="007E4AE8" w:rsidRPr="007E4AE8">
        <w:rPr>
          <w:rFonts w:asciiTheme="minorBidi" w:hAnsiTheme="minorBidi" w:cstheme="minorBidi"/>
          <w:sz w:val="22"/>
          <w:szCs w:val="22"/>
        </w:rPr>
        <w:t>Cornelsen</w:t>
      </w:r>
      <w:proofErr w:type="spellEnd"/>
      <w:r w:rsidR="007E4AE8" w:rsidRPr="007E4AE8">
        <w:rPr>
          <w:rFonts w:asciiTheme="minorBidi" w:hAnsiTheme="minorBidi" w:cstheme="minorBidi"/>
          <w:sz w:val="22"/>
          <w:szCs w:val="22"/>
        </w:rPr>
        <w:t xml:space="preserve"> et al., 2016).</w:t>
      </w:r>
    </w:p>
    <w:p w14:paraId="02FBE6AC" w14:textId="0BA0F558" w:rsidR="00CF426A" w:rsidRPr="00C625E9" w:rsidRDefault="007E4AE8" w:rsidP="0009054C">
      <w:pPr>
        <w:pStyle w:val="NormalWeb"/>
        <w:spacing w:line="360" w:lineRule="auto"/>
        <w:jc w:val="both"/>
        <w:rPr>
          <w:rFonts w:ascii="Arial" w:hAnsi="Arial" w:cs="Arial"/>
          <w:sz w:val="21"/>
          <w:szCs w:val="21"/>
        </w:rPr>
      </w:pPr>
      <w:r w:rsidRPr="007E4AE8">
        <w:rPr>
          <w:rFonts w:asciiTheme="minorBidi" w:hAnsiTheme="minorBidi" w:cstheme="minorBidi"/>
          <w:sz w:val="22"/>
          <w:szCs w:val="22"/>
        </w:rPr>
        <w:t>Nevertheless, higher prices on sugary beverages do not address the issue comprehensively since unhealthy intake also depends on broader social conditions of health like poverty, food insecurity, neighbourhood food sources, education, and access to affordable healthy substitutes. Although the levy might decrease the sugar in beverages, individuals in the deprived regions might continue to experience structural obstacles to a healthy diet, and the policy should be implemented alongside a wider intervention on income inequalities, access to healthy food, and the local conditions it fosters</w:t>
      </w:r>
      <w:r>
        <w:rPr>
          <w:rFonts w:asciiTheme="minorBidi" w:hAnsiTheme="minorBidi" w:cstheme="minorBidi"/>
          <w:sz w:val="22"/>
          <w:szCs w:val="22"/>
        </w:rPr>
        <w:t xml:space="preserve"> </w:t>
      </w:r>
      <w:r w:rsidR="007175BD" w:rsidRPr="001663A7">
        <w:rPr>
          <w:rFonts w:ascii="Arial" w:hAnsi="Arial" w:cs="Arial"/>
          <w:sz w:val="22"/>
          <w:szCs w:val="22"/>
        </w:rPr>
        <w:t>(Ge et al., 2025)</w:t>
      </w:r>
      <w:r w:rsidR="001663A7" w:rsidRPr="001663A7">
        <w:rPr>
          <w:rFonts w:ascii="Arial" w:hAnsi="Arial" w:cs="Arial"/>
          <w:sz w:val="22"/>
          <w:szCs w:val="22"/>
        </w:rPr>
        <w:t>.</w:t>
      </w:r>
    </w:p>
    <w:p w14:paraId="53671B5A" w14:textId="3B4BF9E1" w:rsidR="00CF426A" w:rsidRDefault="00CF426A" w:rsidP="00231A96">
      <w:pPr>
        <w:pStyle w:val="Heading3"/>
        <w:jc w:val="both"/>
      </w:pPr>
      <w:bookmarkStart w:id="4" w:name="_Toc224414072"/>
      <w:r>
        <w:t xml:space="preserve">Bradford Council – </w:t>
      </w:r>
      <w:r w:rsidR="002A075F">
        <w:t>Encouraging Healthier Takeaways</w:t>
      </w:r>
      <w:bookmarkEnd w:id="4"/>
    </w:p>
    <w:p w14:paraId="11447C58" w14:textId="43380321" w:rsidR="00CF426A" w:rsidRPr="00B51CEF" w:rsidRDefault="00B51CEF" w:rsidP="002A075F">
      <w:pPr>
        <w:jc w:val="both"/>
        <w:rPr>
          <w:b/>
          <w:bCs/>
        </w:rPr>
      </w:pPr>
      <w:r w:rsidRPr="00B51CEF">
        <w:rPr>
          <w:rStyle w:val="Strong"/>
          <w:b w:val="0"/>
          <w:bCs w:val="0"/>
        </w:rPr>
        <w:t>A stronger local example than food labelling is Bradford Council’s “Good Food Award” for takeaways</w:t>
      </w:r>
      <w:r w:rsidR="004E357A">
        <w:rPr>
          <w:rStyle w:val="Strong"/>
          <w:b w:val="0"/>
          <w:bCs w:val="0"/>
        </w:rPr>
        <w:t xml:space="preserve"> </w:t>
      </w:r>
      <w:r w:rsidR="004E357A">
        <w:rPr>
          <w:rFonts w:ascii="Arial" w:hAnsi="Arial" w:cs="Arial"/>
        </w:rPr>
        <w:t>(Slater, 2013)</w:t>
      </w:r>
      <w:r w:rsidRPr="00B51CEF">
        <w:rPr>
          <w:rStyle w:val="Strong"/>
          <w:b w:val="0"/>
          <w:bCs w:val="0"/>
        </w:rPr>
        <w:t>.</w:t>
      </w:r>
      <w:r w:rsidR="000113F5">
        <w:rPr>
          <w:rStyle w:val="Strong"/>
          <w:b w:val="0"/>
          <w:bCs w:val="0"/>
        </w:rPr>
        <w:t xml:space="preserve"> T</w:t>
      </w:r>
      <w:r w:rsidRPr="00B51CEF">
        <w:rPr>
          <w:rStyle w:val="Strong"/>
          <w:b w:val="0"/>
          <w:bCs w:val="0"/>
        </w:rPr>
        <w:t>rading standards and public health worked together to encourage takeaway businesses to offer healthier options and reduce the salt, fat and sugar content of popular dishes; more than 100 takeaways had achieved the standard, and participating businesses were supported through practical changes and public recognition. This is important for SDG 3 because it moves beyond giving information to individuals and instead reshapes the local food environment where everyday decisions are made. Critically, however, local voluntary schemes may still have limited reach if businesses do not participate evenly across deprived areas or if healthier menu changes remain modest rather than transformative</w:t>
      </w:r>
      <w:r w:rsidR="004E357A">
        <w:rPr>
          <w:rStyle w:val="Strong"/>
          <w:b w:val="0"/>
          <w:bCs w:val="0"/>
        </w:rPr>
        <w:t xml:space="preserve"> </w:t>
      </w:r>
      <w:r w:rsidR="00FD4F9F">
        <w:t xml:space="preserve">(Veen, </w:t>
      </w:r>
      <w:proofErr w:type="spellStart"/>
      <w:r w:rsidR="00FD4F9F">
        <w:t>Asveld</w:t>
      </w:r>
      <w:proofErr w:type="spellEnd"/>
      <w:r w:rsidR="00FD4F9F">
        <w:t xml:space="preserve"> and </w:t>
      </w:r>
      <w:proofErr w:type="spellStart"/>
      <w:r w:rsidR="00FD4F9F">
        <w:t>Osseweijer</w:t>
      </w:r>
      <w:proofErr w:type="spellEnd"/>
      <w:r w:rsidR="00FD4F9F">
        <w:t>, 2026)</w:t>
      </w:r>
      <w:r w:rsidRPr="00B51CEF">
        <w:rPr>
          <w:rStyle w:val="Strong"/>
          <w:b w:val="0"/>
          <w:bCs w:val="0"/>
        </w:rPr>
        <w:t>.</w:t>
      </w:r>
    </w:p>
    <w:p w14:paraId="3FF791F6" w14:textId="522E4057" w:rsidR="00E404A4" w:rsidRPr="00231A96" w:rsidRDefault="00E404A4" w:rsidP="00231A96">
      <w:pPr>
        <w:pStyle w:val="Heading3"/>
        <w:jc w:val="both"/>
        <w:rPr>
          <w:rFonts w:cstheme="minorBidi"/>
          <w:szCs w:val="22"/>
        </w:rPr>
      </w:pPr>
      <w:bookmarkStart w:id="5" w:name="_Toc224414073"/>
      <w:r w:rsidRPr="00231A96">
        <w:rPr>
          <w:rFonts w:cstheme="minorBidi"/>
          <w:szCs w:val="22"/>
        </w:rPr>
        <w:t>Barrier to SDG Progress</w:t>
      </w:r>
      <w:bookmarkEnd w:id="5"/>
    </w:p>
    <w:p w14:paraId="5ED58DC4" w14:textId="47093C9F" w:rsidR="00355F49" w:rsidRPr="00231A96" w:rsidRDefault="00595405" w:rsidP="00231A96">
      <w:pPr>
        <w:pStyle w:val="NormalWeb"/>
        <w:spacing w:line="360" w:lineRule="auto"/>
        <w:jc w:val="both"/>
        <w:rPr>
          <w:rFonts w:asciiTheme="minorBidi" w:hAnsiTheme="minorBidi" w:cstheme="minorBidi"/>
          <w:sz w:val="22"/>
          <w:szCs w:val="22"/>
        </w:rPr>
      </w:pPr>
      <w:r w:rsidRPr="00595405">
        <w:rPr>
          <w:rFonts w:asciiTheme="minorBidi" w:hAnsiTheme="minorBidi" w:cstheme="minorBidi"/>
          <w:sz w:val="22"/>
          <w:szCs w:val="22"/>
        </w:rPr>
        <w:t>Commercial determinant pressure, such as lobbying, positioning obesity as an individual issue, and advertising voluntary commitments that pre-empt regulation, is a significant obstacle to SDG 3 achievement. These relations are similar to policy capture, where decision-making becomes tailored to industry preferences (voluntary reformulation, partnership rhetoric) instead of population health impact. The outcome is an imbalance; policies focus too much on behaviour change messages (eat less, move more) and too little on structural drivers (price, marketing, availability, product formulation)</w:t>
      </w:r>
      <w:r>
        <w:rPr>
          <w:rFonts w:asciiTheme="minorBidi" w:hAnsiTheme="minorBidi" w:cstheme="minorBidi"/>
          <w:sz w:val="22"/>
          <w:szCs w:val="22"/>
        </w:rPr>
        <w:t xml:space="preserve"> </w:t>
      </w:r>
      <w:r w:rsidR="00FB5A47" w:rsidRPr="00231A96">
        <w:rPr>
          <w:rFonts w:asciiTheme="minorBidi" w:hAnsiTheme="minorBidi" w:cstheme="minorBidi"/>
          <w:sz w:val="22"/>
          <w:szCs w:val="22"/>
        </w:rPr>
        <w:t>(</w:t>
      </w:r>
      <w:proofErr w:type="spellStart"/>
      <w:r w:rsidR="00FB5A47" w:rsidRPr="00231A96">
        <w:rPr>
          <w:rFonts w:asciiTheme="minorBidi" w:hAnsiTheme="minorBidi" w:cstheme="minorBidi"/>
          <w:sz w:val="22"/>
          <w:szCs w:val="22"/>
        </w:rPr>
        <w:t>Mialon</w:t>
      </w:r>
      <w:proofErr w:type="spellEnd"/>
      <w:r w:rsidR="00FB5A47" w:rsidRPr="00231A96">
        <w:rPr>
          <w:rFonts w:asciiTheme="minorBidi" w:hAnsiTheme="minorBidi" w:cstheme="minorBidi"/>
          <w:sz w:val="22"/>
          <w:szCs w:val="22"/>
        </w:rPr>
        <w:t>, 2024)</w:t>
      </w:r>
      <w:r w:rsidR="00355F49" w:rsidRPr="00231A96">
        <w:rPr>
          <w:rFonts w:asciiTheme="minorBidi" w:hAnsiTheme="minorBidi" w:cstheme="minorBidi"/>
          <w:sz w:val="22"/>
          <w:szCs w:val="22"/>
        </w:rPr>
        <w:t>.</w:t>
      </w:r>
    </w:p>
    <w:p w14:paraId="41AC7C15" w14:textId="521352F5" w:rsidR="00355F49" w:rsidRPr="00231A96" w:rsidRDefault="006F665C" w:rsidP="00231A96">
      <w:pPr>
        <w:pStyle w:val="Heading3"/>
        <w:jc w:val="both"/>
        <w:rPr>
          <w:rFonts w:cstheme="minorBidi"/>
          <w:szCs w:val="22"/>
        </w:rPr>
      </w:pPr>
      <w:bookmarkStart w:id="6" w:name="_Toc224414074"/>
      <w:r w:rsidRPr="00231A96">
        <w:rPr>
          <w:rFonts w:cstheme="minorBidi"/>
          <w:szCs w:val="22"/>
        </w:rPr>
        <w:t>R</w:t>
      </w:r>
      <w:r w:rsidR="00355F49" w:rsidRPr="00231A96">
        <w:rPr>
          <w:rFonts w:cstheme="minorBidi"/>
          <w:szCs w:val="22"/>
        </w:rPr>
        <w:t>ecommendations</w:t>
      </w:r>
      <w:bookmarkEnd w:id="6"/>
    </w:p>
    <w:p w14:paraId="17391BA5" w14:textId="76C9E5EA" w:rsidR="00212066" w:rsidRPr="00031B80" w:rsidRDefault="001905DA" w:rsidP="00031B80">
      <w:pPr>
        <w:jc w:val="both"/>
        <w:rPr>
          <w:rFonts w:ascii="Times New Roman" w:hAnsi="Times New Roman"/>
          <w:sz w:val="24"/>
        </w:rPr>
      </w:pPr>
      <w:r>
        <w:t>Government should</w:t>
      </w:r>
      <w:r w:rsidR="0047020C" w:rsidRPr="0047020C">
        <w:t xml:space="preserve"> augment fiscal policy packages further than the Soft Drinks Industry Levy with taxes on unhealthy products and subsidies on healthier foods and directing the revenue to healthy school lunches and community food access. This would be more effective than individual measures since it would deal with both affordability and availability, making healthier options become more viable to low-income people. Fiscal instruments are viable, spreadable, adjustable leverages that can alter consumer behaviour and industry reformation, and lessen inequalities in health when income is re-invested openly on underprivileged populations</w:t>
      </w:r>
      <w:r w:rsidR="0047020C">
        <w:t xml:space="preserve"> </w:t>
      </w:r>
      <w:r w:rsidR="0055058F" w:rsidRPr="007060BF">
        <w:rPr>
          <w:rStyle w:val="Strong"/>
          <w:b w:val="0"/>
          <w:bCs w:val="0"/>
        </w:rPr>
        <w:t xml:space="preserve">(Rogers et al., 2023; Fang et al., 2025; </w:t>
      </w:r>
      <w:proofErr w:type="spellStart"/>
      <w:r w:rsidR="0055058F" w:rsidRPr="007060BF">
        <w:rPr>
          <w:rStyle w:val="Strong"/>
          <w:b w:val="0"/>
          <w:bCs w:val="0"/>
        </w:rPr>
        <w:t>Noonin</w:t>
      </w:r>
      <w:proofErr w:type="spellEnd"/>
      <w:r w:rsidR="0055058F" w:rsidRPr="007060BF">
        <w:rPr>
          <w:rStyle w:val="Strong"/>
          <w:b w:val="0"/>
          <w:bCs w:val="0"/>
        </w:rPr>
        <w:t xml:space="preserve"> and </w:t>
      </w:r>
      <w:proofErr w:type="spellStart"/>
      <w:r w:rsidR="0055058F" w:rsidRPr="007060BF">
        <w:rPr>
          <w:rStyle w:val="Strong"/>
          <w:b w:val="0"/>
          <w:bCs w:val="0"/>
        </w:rPr>
        <w:t>Phuangprayong</w:t>
      </w:r>
      <w:proofErr w:type="spellEnd"/>
      <w:r w:rsidR="0055058F" w:rsidRPr="007060BF">
        <w:rPr>
          <w:rStyle w:val="Strong"/>
          <w:b w:val="0"/>
          <w:bCs w:val="0"/>
        </w:rPr>
        <w:t>, 2025).</w:t>
      </w:r>
    </w:p>
    <w:p w14:paraId="47C1E63A" w14:textId="736AEBAA" w:rsidR="00773126" w:rsidRPr="00231A96" w:rsidRDefault="00773126" w:rsidP="00231A96">
      <w:pPr>
        <w:pStyle w:val="Heading2"/>
        <w:jc w:val="both"/>
        <w:rPr>
          <w:rFonts w:cstheme="minorBidi"/>
          <w:szCs w:val="22"/>
        </w:rPr>
      </w:pPr>
      <w:bookmarkStart w:id="7" w:name="_Toc224414075"/>
      <w:r w:rsidRPr="00231A96">
        <w:rPr>
          <w:rFonts w:cstheme="minorBidi"/>
          <w:szCs w:val="22"/>
        </w:rPr>
        <w:t>Section 2: SDG 12 – Responsible Consumption and Production</w:t>
      </w:r>
      <w:bookmarkEnd w:id="7"/>
      <w:r w:rsidRPr="00231A96">
        <w:rPr>
          <w:rFonts w:cstheme="minorBidi"/>
          <w:szCs w:val="22"/>
        </w:rPr>
        <w:t xml:space="preserve"> </w:t>
      </w:r>
    </w:p>
    <w:p w14:paraId="74AA1DA0" w14:textId="4E43BE7B" w:rsidR="00773126" w:rsidRDefault="00773126" w:rsidP="00231A96">
      <w:pPr>
        <w:pStyle w:val="NormalWeb"/>
        <w:spacing w:line="360" w:lineRule="auto"/>
        <w:jc w:val="both"/>
        <w:rPr>
          <w:rFonts w:asciiTheme="minorBidi" w:hAnsiTheme="minorBidi" w:cstheme="minorBidi"/>
          <w:sz w:val="22"/>
          <w:szCs w:val="22"/>
        </w:rPr>
      </w:pPr>
      <w:r w:rsidRPr="00231A96">
        <w:rPr>
          <w:rStyle w:val="Strong"/>
          <w:rFonts w:asciiTheme="minorBidi" w:eastAsiaTheme="majorEastAsia" w:hAnsiTheme="minorBidi" w:cstheme="minorBidi"/>
          <w:sz w:val="22"/>
          <w:szCs w:val="22"/>
        </w:rPr>
        <w:t>Overview of SDG 12.</w:t>
      </w:r>
      <w:r w:rsidRPr="00231A96">
        <w:rPr>
          <w:rFonts w:asciiTheme="minorBidi" w:hAnsiTheme="minorBidi" w:cstheme="minorBidi"/>
          <w:sz w:val="22"/>
          <w:szCs w:val="22"/>
        </w:rPr>
        <w:t xml:space="preserve"> </w:t>
      </w:r>
      <w:r w:rsidR="00535F94" w:rsidRPr="00535F94">
        <w:rPr>
          <w:rFonts w:asciiTheme="minorBidi" w:hAnsiTheme="minorBidi" w:cstheme="minorBidi"/>
          <w:sz w:val="22"/>
          <w:szCs w:val="22"/>
        </w:rPr>
        <w:t xml:space="preserve">Goal 12 seeks to achieve sustainable consumption and production patterns by lessening resource use, toxic materials, waste and pollution throughout the entire life cycle of goods and services </w:t>
      </w:r>
      <w:r w:rsidR="006C4DC0">
        <w:rPr>
          <w:rFonts w:asciiTheme="minorBidi" w:hAnsiTheme="minorBidi" w:cstheme="minorBidi"/>
          <w:sz w:val="22"/>
          <w:szCs w:val="22"/>
        </w:rPr>
        <w:t xml:space="preserve">leading to better health </w:t>
      </w:r>
      <w:r w:rsidR="00535F94" w:rsidRPr="00535F94">
        <w:rPr>
          <w:rFonts w:asciiTheme="minorBidi" w:hAnsiTheme="minorBidi" w:cstheme="minorBidi"/>
          <w:sz w:val="22"/>
          <w:szCs w:val="22"/>
        </w:rPr>
        <w:t>(United Nations, 2015). This is directly pertinent to health and wellbeing, as unsustainable production means that people are exposed to pollution, and consumption based on waste (particularly plastics and food systems) creates environments where healthier, more sustainable options are not the norm</w:t>
      </w:r>
      <w:r w:rsidR="00535F94">
        <w:rPr>
          <w:rFonts w:asciiTheme="minorBidi" w:hAnsiTheme="minorBidi" w:cstheme="minorBidi"/>
          <w:sz w:val="22"/>
          <w:szCs w:val="22"/>
        </w:rPr>
        <w:t xml:space="preserve"> </w:t>
      </w:r>
      <w:r w:rsidR="0054282A" w:rsidRPr="00231A96">
        <w:rPr>
          <w:rFonts w:asciiTheme="minorBidi" w:hAnsiTheme="minorBidi" w:cstheme="minorBidi"/>
          <w:sz w:val="22"/>
          <w:szCs w:val="22"/>
        </w:rPr>
        <w:t xml:space="preserve">(Raman, </w:t>
      </w:r>
      <w:proofErr w:type="spellStart"/>
      <w:r w:rsidR="0054282A" w:rsidRPr="00231A96">
        <w:rPr>
          <w:rFonts w:asciiTheme="minorBidi" w:hAnsiTheme="minorBidi" w:cstheme="minorBidi"/>
          <w:sz w:val="22"/>
          <w:szCs w:val="22"/>
        </w:rPr>
        <w:t>Lathabai</w:t>
      </w:r>
      <w:proofErr w:type="spellEnd"/>
      <w:r w:rsidR="0054282A" w:rsidRPr="00231A96">
        <w:rPr>
          <w:rFonts w:asciiTheme="minorBidi" w:hAnsiTheme="minorBidi" w:cstheme="minorBidi"/>
          <w:sz w:val="22"/>
          <w:szCs w:val="22"/>
        </w:rPr>
        <w:t xml:space="preserve"> and </w:t>
      </w:r>
      <w:proofErr w:type="spellStart"/>
      <w:r w:rsidR="0054282A" w:rsidRPr="00231A96">
        <w:rPr>
          <w:rFonts w:asciiTheme="minorBidi" w:hAnsiTheme="minorBidi" w:cstheme="minorBidi"/>
          <w:sz w:val="22"/>
          <w:szCs w:val="22"/>
        </w:rPr>
        <w:t>Nedungadi</w:t>
      </w:r>
      <w:proofErr w:type="spellEnd"/>
      <w:r w:rsidR="0054282A" w:rsidRPr="00231A96">
        <w:rPr>
          <w:rFonts w:asciiTheme="minorBidi" w:hAnsiTheme="minorBidi" w:cstheme="minorBidi"/>
          <w:sz w:val="22"/>
          <w:szCs w:val="22"/>
        </w:rPr>
        <w:t>, 2024)</w:t>
      </w:r>
      <w:r w:rsidRPr="00231A96">
        <w:rPr>
          <w:rFonts w:asciiTheme="minorBidi" w:hAnsiTheme="minorBidi" w:cstheme="minorBidi"/>
          <w:sz w:val="22"/>
          <w:szCs w:val="22"/>
        </w:rPr>
        <w:t>.</w:t>
      </w:r>
    </w:p>
    <w:p w14:paraId="61B62259" w14:textId="77777777" w:rsidR="00C22CFB" w:rsidRDefault="00C22CFB" w:rsidP="00C22CFB">
      <w:pPr>
        <w:pStyle w:val="NormalWeb"/>
        <w:keepNext/>
        <w:spacing w:line="360" w:lineRule="auto"/>
        <w:jc w:val="center"/>
      </w:pPr>
      <w:r>
        <w:fldChar w:fldCharType="begin"/>
      </w:r>
      <w:r>
        <w:instrText xml:space="preserve"> INCLUDEPICTURE "https://sdgs.un.org/sites/default/files/2025-07/2025_SDG_Goal-Level_Social_Media_Cards_Goal_12_small.png" \* MERGEFORMATINET </w:instrText>
      </w:r>
      <w:r>
        <w:fldChar w:fldCharType="separate"/>
      </w:r>
      <w:r>
        <w:rPr>
          <w:noProof/>
        </w:rPr>
        <w:drawing>
          <wp:inline distT="0" distB="0" distL="0" distR="0" wp14:anchorId="708FFEFB" wp14:editId="79E9FF71">
            <wp:extent cx="4320496" cy="4320496"/>
            <wp:effectExtent l="0" t="0" r="0" b="0"/>
            <wp:docPr id="414267165" name="Picture 2" descr="Goal 12 | Department of Economic and Social Affai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oal 12 | Department of Economic and Social Affair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26434" cy="4326434"/>
                    </a:xfrm>
                    <a:prstGeom prst="rect">
                      <a:avLst/>
                    </a:prstGeom>
                    <a:noFill/>
                    <a:ln>
                      <a:noFill/>
                    </a:ln>
                  </pic:spPr>
                </pic:pic>
              </a:graphicData>
            </a:graphic>
          </wp:inline>
        </w:drawing>
      </w:r>
      <w:r>
        <w:fldChar w:fldCharType="end"/>
      </w:r>
    </w:p>
    <w:p w14:paraId="4C62822A" w14:textId="3EFC8E40" w:rsidR="00C22CFB" w:rsidRPr="00231A96" w:rsidRDefault="00C22CFB" w:rsidP="00C22CFB">
      <w:pPr>
        <w:pStyle w:val="Caption"/>
        <w:jc w:val="center"/>
        <w:rPr>
          <w:sz w:val="22"/>
          <w:szCs w:val="22"/>
        </w:rPr>
      </w:pPr>
      <w:r>
        <w:t xml:space="preserve">Figure </w:t>
      </w:r>
      <w:r>
        <w:fldChar w:fldCharType="begin"/>
      </w:r>
      <w:r>
        <w:instrText xml:space="preserve"> SEQ Figure \* ARABIC </w:instrText>
      </w:r>
      <w:r>
        <w:fldChar w:fldCharType="separate"/>
      </w:r>
      <w:r>
        <w:rPr>
          <w:noProof/>
        </w:rPr>
        <w:t>3</w:t>
      </w:r>
      <w:r>
        <w:rPr>
          <w:noProof/>
        </w:rPr>
        <w:fldChar w:fldCharType="end"/>
      </w:r>
      <w:r>
        <w:t>: SDG 12 (United Nations, 2015)</w:t>
      </w:r>
    </w:p>
    <w:p w14:paraId="3D3F8C2B" w14:textId="04BC3BC7" w:rsidR="00773126" w:rsidRDefault="00773126" w:rsidP="00231A96">
      <w:pPr>
        <w:pStyle w:val="Heading3"/>
        <w:jc w:val="both"/>
        <w:rPr>
          <w:rFonts w:cstheme="minorBidi"/>
          <w:szCs w:val="22"/>
        </w:rPr>
      </w:pPr>
      <w:bookmarkStart w:id="8" w:name="_Toc224414076"/>
      <w:r w:rsidRPr="00231A96">
        <w:rPr>
          <w:rFonts w:cstheme="minorBidi"/>
          <w:szCs w:val="22"/>
        </w:rPr>
        <w:t xml:space="preserve">Global </w:t>
      </w:r>
      <w:r w:rsidR="00D15D34" w:rsidRPr="00231A96">
        <w:rPr>
          <w:rFonts w:cstheme="minorBidi"/>
          <w:szCs w:val="22"/>
        </w:rPr>
        <w:t>Initiatives: Circular Economy Approaches</w:t>
      </w:r>
      <w:bookmarkEnd w:id="8"/>
    </w:p>
    <w:p w14:paraId="59ABABCB" w14:textId="18A2AFFE" w:rsidR="006C4DC0" w:rsidRPr="006C4DC0" w:rsidRDefault="006C4DC0" w:rsidP="006C4DC0">
      <w:pPr>
        <w:jc w:val="both"/>
      </w:pPr>
      <w:r w:rsidRPr="006C4DC0">
        <w:t>Circular economy strategies are frequently pursued to enhance SDG 12 by minimi</w:t>
      </w:r>
      <w:r w:rsidR="0086262C">
        <w:t>s</w:t>
      </w:r>
      <w:r w:rsidRPr="006C4DC0">
        <w:t>ing extraction, maximi</w:t>
      </w:r>
      <w:r w:rsidR="0086262C">
        <w:t>s</w:t>
      </w:r>
      <w:r w:rsidRPr="006C4DC0">
        <w:t>ing product lifespan, and encouraging reuse, repair, and recycling instead of depending solely on waste disposal (</w:t>
      </w:r>
      <w:proofErr w:type="spellStart"/>
      <w:r w:rsidRPr="006C4DC0">
        <w:t>Falsafi</w:t>
      </w:r>
      <w:proofErr w:type="spellEnd"/>
      <w:r w:rsidRPr="006C4DC0">
        <w:t xml:space="preserve"> et al., 2025). This matters to health and social care as unsustainable production causes pollution and exposure to waste and environmental hazards that lead to poor population health and that burden care services, particularly in disadvantaged communities. </w:t>
      </w:r>
      <w:r w:rsidR="00574D5A" w:rsidRPr="00574D5A">
        <w:t>However, implementation has been slow. The circular economy lexicon is trendy, yet developments are often limited without a binding rule and measurable actions such as material footprint and waste severity. The other problem is greenwashing where companies can modify a bit of packaging but keep inefficient systems and shift responsibility onto the consumer instead of producers</w:t>
      </w:r>
      <w:r w:rsidR="00574D5A">
        <w:t xml:space="preserve"> </w:t>
      </w:r>
      <w:r w:rsidRPr="006C4DC0">
        <w:t>(</w:t>
      </w:r>
      <w:proofErr w:type="spellStart"/>
      <w:r w:rsidRPr="006C4DC0">
        <w:t>Falsafi</w:t>
      </w:r>
      <w:proofErr w:type="spellEnd"/>
      <w:r w:rsidRPr="006C4DC0">
        <w:t xml:space="preserve"> et al., 2025; Tan, Tan and Ramakrishna, 2022).</w:t>
      </w:r>
    </w:p>
    <w:p w14:paraId="44CB5CCC" w14:textId="4A783735" w:rsidR="00773126" w:rsidRPr="00231A96" w:rsidRDefault="005C750D" w:rsidP="00231A96">
      <w:pPr>
        <w:pStyle w:val="NormalWeb"/>
        <w:spacing w:line="360" w:lineRule="auto"/>
        <w:jc w:val="both"/>
        <w:rPr>
          <w:rFonts w:asciiTheme="minorBidi" w:hAnsiTheme="minorBidi" w:cstheme="minorBidi"/>
          <w:sz w:val="22"/>
          <w:szCs w:val="22"/>
        </w:rPr>
      </w:pPr>
      <w:r w:rsidRPr="005C750D">
        <w:rPr>
          <w:rFonts w:asciiTheme="minorBidi" w:hAnsiTheme="minorBidi" w:cstheme="minorBidi"/>
          <w:sz w:val="22"/>
          <w:szCs w:val="22"/>
        </w:rPr>
        <w:t>In systems thinking terms, SDG 12 issues are feedback-loop systems: low-cost virgin materials, promotional incentives, and convenience norms contribute to high consumption; inadequate regulation and divided responsibilities maintain low waste externalities among producers, perpetuating the cycle. System thinking thus means that single actions (e.g. recycling messages) will not work effectively unless they alter major leverage points like producer costs, product standards, and disposal incentives</w:t>
      </w:r>
      <w:r>
        <w:rPr>
          <w:rFonts w:asciiTheme="minorBidi" w:hAnsiTheme="minorBidi" w:cstheme="minorBidi"/>
          <w:sz w:val="22"/>
          <w:szCs w:val="22"/>
        </w:rPr>
        <w:t xml:space="preserve"> </w:t>
      </w:r>
      <w:r w:rsidR="009D18BB" w:rsidRPr="00231A96">
        <w:rPr>
          <w:rFonts w:asciiTheme="minorBidi" w:hAnsiTheme="minorBidi" w:cstheme="minorBidi"/>
          <w:sz w:val="22"/>
          <w:szCs w:val="22"/>
        </w:rPr>
        <w:t>(</w:t>
      </w:r>
      <w:proofErr w:type="spellStart"/>
      <w:r w:rsidR="009D18BB" w:rsidRPr="00231A96">
        <w:rPr>
          <w:rFonts w:asciiTheme="minorBidi" w:hAnsiTheme="minorBidi" w:cstheme="minorBidi"/>
          <w:sz w:val="22"/>
          <w:szCs w:val="22"/>
        </w:rPr>
        <w:t>Setyadi</w:t>
      </w:r>
      <w:proofErr w:type="spellEnd"/>
      <w:r w:rsidR="009D18BB" w:rsidRPr="00231A96">
        <w:rPr>
          <w:rFonts w:asciiTheme="minorBidi" w:hAnsiTheme="minorBidi" w:cstheme="minorBidi"/>
          <w:sz w:val="22"/>
          <w:szCs w:val="22"/>
        </w:rPr>
        <w:t xml:space="preserve">, </w:t>
      </w:r>
      <w:proofErr w:type="spellStart"/>
      <w:r w:rsidR="009D18BB" w:rsidRPr="00231A96">
        <w:rPr>
          <w:rFonts w:asciiTheme="minorBidi" w:hAnsiTheme="minorBidi" w:cstheme="minorBidi"/>
          <w:sz w:val="22"/>
          <w:szCs w:val="22"/>
        </w:rPr>
        <w:t>Pawirosumarto</w:t>
      </w:r>
      <w:proofErr w:type="spellEnd"/>
      <w:r w:rsidR="009D18BB" w:rsidRPr="00231A96">
        <w:rPr>
          <w:rFonts w:asciiTheme="minorBidi" w:hAnsiTheme="minorBidi" w:cstheme="minorBidi"/>
          <w:sz w:val="22"/>
          <w:szCs w:val="22"/>
        </w:rPr>
        <w:t xml:space="preserve"> and Damaris, 2025)</w:t>
      </w:r>
      <w:r w:rsidR="00773126" w:rsidRPr="00231A96">
        <w:rPr>
          <w:rFonts w:asciiTheme="minorBidi" w:hAnsiTheme="minorBidi" w:cstheme="minorBidi"/>
          <w:sz w:val="22"/>
          <w:szCs w:val="22"/>
        </w:rPr>
        <w:t>.</w:t>
      </w:r>
    </w:p>
    <w:p w14:paraId="48B3CE0F" w14:textId="77777777" w:rsidR="00773126" w:rsidRPr="00231A96" w:rsidRDefault="00773126" w:rsidP="00231A96">
      <w:pPr>
        <w:pStyle w:val="Heading3"/>
        <w:jc w:val="both"/>
        <w:rPr>
          <w:rFonts w:cstheme="minorBidi"/>
          <w:szCs w:val="22"/>
        </w:rPr>
      </w:pPr>
      <w:bookmarkStart w:id="9" w:name="_Toc224414077"/>
      <w:r w:rsidRPr="00231A96">
        <w:rPr>
          <w:rFonts w:cstheme="minorBidi"/>
          <w:szCs w:val="22"/>
        </w:rPr>
        <w:t>National and local examples: UK plastic bag levy and EPR</w:t>
      </w:r>
      <w:bookmarkEnd w:id="9"/>
    </w:p>
    <w:p w14:paraId="5DEA2A4F" w14:textId="2684CF11" w:rsidR="00BB22D5" w:rsidRDefault="003B11F3" w:rsidP="00231A96">
      <w:pPr>
        <w:pStyle w:val="NormalWeb"/>
        <w:spacing w:line="360" w:lineRule="auto"/>
        <w:jc w:val="both"/>
        <w:rPr>
          <w:rFonts w:asciiTheme="minorBidi" w:hAnsiTheme="minorBidi" w:cstheme="minorBidi"/>
          <w:sz w:val="22"/>
          <w:szCs w:val="22"/>
        </w:rPr>
      </w:pPr>
      <w:r w:rsidRPr="003B11F3">
        <w:rPr>
          <w:rFonts w:asciiTheme="minorBidi" w:hAnsiTheme="minorBidi" w:cstheme="minorBidi"/>
          <w:sz w:val="22"/>
          <w:szCs w:val="22"/>
        </w:rPr>
        <w:t>The plastic bag charge is a behavioural economics standard nudge: it adds a slight friction/cost disincentive to habitual behaviour that makes reuse conspicuous. Government reporting report</w:t>
      </w:r>
      <w:r w:rsidR="00BB22D5">
        <w:rPr>
          <w:rFonts w:asciiTheme="minorBidi" w:hAnsiTheme="minorBidi" w:cstheme="minorBidi"/>
          <w:sz w:val="22"/>
          <w:szCs w:val="22"/>
        </w:rPr>
        <w:t>ed</w:t>
      </w:r>
      <w:r w:rsidRPr="003B11F3">
        <w:rPr>
          <w:rFonts w:asciiTheme="minorBidi" w:hAnsiTheme="minorBidi" w:cstheme="minorBidi"/>
          <w:sz w:val="22"/>
          <w:szCs w:val="22"/>
        </w:rPr>
        <w:t xml:space="preserve"> that by 2023/24, the number of single-use bags issued by large retailers had decreased by an average of 98</w:t>
      </w:r>
      <w:r w:rsidR="00BB22D5">
        <w:rPr>
          <w:rFonts w:asciiTheme="minorBidi" w:hAnsiTheme="minorBidi" w:cstheme="minorBidi"/>
          <w:sz w:val="22"/>
          <w:szCs w:val="22"/>
        </w:rPr>
        <w:t xml:space="preserve">% </w:t>
      </w:r>
      <w:r w:rsidRPr="003B11F3">
        <w:rPr>
          <w:rFonts w:asciiTheme="minorBidi" w:hAnsiTheme="minorBidi" w:cstheme="minorBidi"/>
          <w:sz w:val="22"/>
          <w:szCs w:val="22"/>
        </w:rPr>
        <w:t>compared to 2014, demonstrating good behavioural responsiveness to a low-cost policy instrument (</w:t>
      </w:r>
      <w:proofErr w:type="spellStart"/>
      <w:r w:rsidRPr="003B11F3">
        <w:rPr>
          <w:rFonts w:asciiTheme="minorBidi" w:hAnsiTheme="minorBidi" w:cstheme="minorBidi"/>
          <w:sz w:val="22"/>
          <w:szCs w:val="22"/>
        </w:rPr>
        <w:t>Gov</w:t>
      </w:r>
      <w:proofErr w:type="spellEnd"/>
      <w:r w:rsidRPr="003B11F3">
        <w:rPr>
          <w:rFonts w:asciiTheme="minorBidi" w:hAnsiTheme="minorBidi" w:cstheme="minorBidi"/>
          <w:sz w:val="22"/>
          <w:szCs w:val="22"/>
        </w:rPr>
        <w:t xml:space="preserve"> UK, 2023). Notably, </w:t>
      </w:r>
      <w:proofErr w:type="spellStart"/>
      <w:r w:rsidRPr="003B11F3">
        <w:rPr>
          <w:rFonts w:asciiTheme="minorBidi" w:hAnsiTheme="minorBidi" w:cstheme="minorBidi"/>
          <w:sz w:val="22"/>
          <w:szCs w:val="22"/>
        </w:rPr>
        <w:t>Jamwal</w:t>
      </w:r>
      <w:proofErr w:type="spellEnd"/>
      <w:r w:rsidRPr="003B11F3">
        <w:rPr>
          <w:rFonts w:asciiTheme="minorBidi" w:hAnsiTheme="minorBidi" w:cstheme="minorBidi"/>
          <w:sz w:val="22"/>
          <w:szCs w:val="22"/>
        </w:rPr>
        <w:t xml:space="preserve"> and </w:t>
      </w:r>
      <w:proofErr w:type="spellStart"/>
      <w:r w:rsidRPr="003B11F3">
        <w:rPr>
          <w:rFonts w:asciiTheme="minorBidi" w:hAnsiTheme="minorBidi" w:cstheme="minorBidi"/>
          <w:sz w:val="22"/>
          <w:szCs w:val="22"/>
        </w:rPr>
        <w:t>Satsangi</w:t>
      </w:r>
      <w:proofErr w:type="spellEnd"/>
      <w:r w:rsidRPr="003B11F3">
        <w:rPr>
          <w:rFonts w:asciiTheme="minorBidi" w:hAnsiTheme="minorBidi" w:cstheme="minorBidi"/>
          <w:sz w:val="22"/>
          <w:szCs w:val="22"/>
        </w:rPr>
        <w:t xml:space="preserve"> (2025) hypothesi</w:t>
      </w:r>
      <w:r w:rsidR="0086262C">
        <w:rPr>
          <w:rFonts w:asciiTheme="minorBidi" w:hAnsiTheme="minorBidi" w:cstheme="minorBidi"/>
          <w:sz w:val="22"/>
          <w:szCs w:val="22"/>
        </w:rPr>
        <w:t>s</w:t>
      </w:r>
      <w:r w:rsidRPr="003B11F3">
        <w:rPr>
          <w:rFonts w:asciiTheme="minorBidi" w:hAnsiTheme="minorBidi" w:cstheme="minorBidi"/>
          <w:sz w:val="22"/>
          <w:szCs w:val="22"/>
        </w:rPr>
        <w:t xml:space="preserve">e that charges lead to decreases in automaticity of bag usage in line with nudges leasing the power of habit disruption over deep attitude change. </w:t>
      </w:r>
    </w:p>
    <w:p w14:paraId="690A2AC2" w14:textId="02E6635C" w:rsidR="003B11F3" w:rsidRDefault="00BB22D5" w:rsidP="00231A96">
      <w:pPr>
        <w:pStyle w:val="NormalWeb"/>
        <w:spacing w:line="360" w:lineRule="auto"/>
        <w:jc w:val="both"/>
        <w:rPr>
          <w:rFonts w:asciiTheme="minorBidi" w:hAnsiTheme="minorBidi" w:cstheme="minorBidi"/>
          <w:sz w:val="22"/>
          <w:szCs w:val="22"/>
        </w:rPr>
      </w:pPr>
      <w:r>
        <w:rPr>
          <w:rFonts w:asciiTheme="minorBidi" w:hAnsiTheme="minorBidi" w:cstheme="minorBidi"/>
          <w:sz w:val="22"/>
          <w:szCs w:val="22"/>
        </w:rPr>
        <w:t>C</w:t>
      </w:r>
      <w:r w:rsidR="003B11F3" w:rsidRPr="003B11F3">
        <w:rPr>
          <w:rFonts w:asciiTheme="minorBidi" w:hAnsiTheme="minorBidi" w:cstheme="minorBidi"/>
          <w:sz w:val="22"/>
          <w:szCs w:val="22"/>
        </w:rPr>
        <w:t>ritical analysis points out two constraints. First, outcomes are vulnerable to fluctuations in retail models (e.g., the expansion of online shopping and delivery packaging). Second, bag charges resolve a single conspicuous waste stream but may create a solutionism in case policymakers consider it adequate, whilst more impactful plastic and packaging streams are loosely regulated.</w:t>
      </w:r>
    </w:p>
    <w:p w14:paraId="3275E81A" w14:textId="6FF23907" w:rsidR="00773126" w:rsidRPr="00231A96" w:rsidRDefault="00773126" w:rsidP="00231A96">
      <w:pPr>
        <w:pStyle w:val="NormalWeb"/>
        <w:spacing w:line="360" w:lineRule="auto"/>
        <w:jc w:val="both"/>
        <w:rPr>
          <w:rFonts w:asciiTheme="minorBidi" w:hAnsiTheme="minorBidi" w:cstheme="minorBidi"/>
          <w:sz w:val="22"/>
          <w:szCs w:val="22"/>
        </w:rPr>
      </w:pPr>
      <w:r w:rsidRPr="00231A96">
        <w:rPr>
          <w:rStyle w:val="Strong"/>
          <w:rFonts w:asciiTheme="minorBidi" w:eastAsiaTheme="majorEastAsia" w:hAnsiTheme="minorBidi" w:cstheme="minorBidi"/>
          <w:sz w:val="22"/>
          <w:szCs w:val="22"/>
        </w:rPr>
        <w:t>Extended Producer Responsibility (EPR) for packaging.</w:t>
      </w:r>
      <w:r w:rsidRPr="00231A96">
        <w:rPr>
          <w:rFonts w:asciiTheme="minorBidi" w:hAnsiTheme="minorBidi" w:cstheme="minorBidi"/>
          <w:sz w:val="22"/>
          <w:szCs w:val="22"/>
        </w:rPr>
        <w:t xml:space="preserve"> </w:t>
      </w:r>
      <w:r w:rsidR="006B266F" w:rsidRPr="006B266F">
        <w:rPr>
          <w:rFonts w:asciiTheme="minorBidi" w:hAnsiTheme="minorBidi" w:cstheme="minorBidi"/>
          <w:sz w:val="22"/>
          <w:szCs w:val="22"/>
        </w:rPr>
        <w:t>The UK packaging EPR will aim to transfer packaging waste management cost to producers, and enhance packaging minimi</w:t>
      </w:r>
      <w:r w:rsidR="0086262C">
        <w:rPr>
          <w:rFonts w:asciiTheme="minorBidi" w:hAnsiTheme="minorBidi" w:cstheme="minorBidi"/>
          <w:sz w:val="22"/>
          <w:szCs w:val="22"/>
        </w:rPr>
        <w:t>s</w:t>
      </w:r>
      <w:r w:rsidR="006B266F" w:rsidRPr="006B266F">
        <w:rPr>
          <w:rFonts w:asciiTheme="minorBidi" w:hAnsiTheme="minorBidi" w:cstheme="minorBidi"/>
          <w:sz w:val="22"/>
          <w:szCs w:val="22"/>
        </w:rPr>
        <w:t>ation and recyclability incentives</w:t>
      </w:r>
      <w:r w:rsidR="00BB22D5">
        <w:rPr>
          <w:rFonts w:asciiTheme="minorBidi" w:hAnsiTheme="minorBidi" w:cstheme="minorBidi"/>
          <w:sz w:val="22"/>
          <w:szCs w:val="22"/>
        </w:rPr>
        <w:t xml:space="preserve"> leading to better health</w:t>
      </w:r>
      <w:r w:rsidR="006B266F" w:rsidRPr="006B266F">
        <w:rPr>
          <w:rFonts w:asciiTheme="minorBidi" w:hAnsiTheme="minorBidi" w:cstheme="minorBidi"/>
          <w:sz w:val="22"/>
          <w:szCs w:val="22"/>
        </w:rPr>
        <w:t>. Formal guidance has been widened and revised in the recent past, which signifies a shifting regulatory landscape and greater information and payment requirements (</w:t>
      </w:r>
      <w:proofErr w:type="spellStart"/>
      <w:r w:rsidR="006B266F" w:rsidRPr="006B266F">
        <w:rPr>
          <w:rFonts w:asciiTheme="minorBidi" w:hAnsiTheme="minorBidi" w:cstheme="minorBidi"/>
          <w:sz w:val="22"/>
          <w:szCs w:val="22"/>
        </w:rPr>
        <w:t>PackUK</w:t>
      </w:r>
      <w:proofErr w:type="spellEnd"/>
      <w:r w:rsidR="006B266F" w:rsidRPr="006B266F">
        <w:rPr>
          <w:rFonts w:asciiTheme="minorBidi" w:hAnsiTheme="minorBidi" w:cstheme="minorBidi"/>
          <w:sz w:val="22"/>
          <w:szCs w:val="22"/>
        </w:rPr>
        <w:t>, 2026). The key strengths are structural: EPR goes upstream on design decisions and internalises costs of wastes. However, accountability and legitimacy are contingent on open fee-setting, administrative capability, and effective communication or EPR may suffer stakeholder opposition and implementation pressure (e.g., complexity taxes to producers, fears of cost-propagation to consumers). Parliamentary briefing on packaging EPR indicates the following relevance of scheme design and fees in making EPR a real driver of waste reduction or primarily a compliance measure</w:t>
      </w:r>
      <w:r w:rsidR="006B266F">
        <w:rPr>
          <w:rFonts w:asciiTheme="minorBidi" w:hAnsiTheme="minorBidi" w:cstheme="minorBidi"/>
          <w:sz w:val="22"/>
          <w:szCs w:val="22"/>
        </w:rPr>
        <w:t xml:space="preserve"> </w:t>
      </w:r>
      <w:r w:rsidR="00441063" w:rsidRPr="00231A96">
        <w:rPr>
          <w:rFonts w:asciiTheme="minorBidi" w:hAnsiTheme="minorBidi" w:cstheme="minorBidi"/>
          <w:sz w:val="22"/>
          <w:szCs w:val="22"/>
        </w:rPr>
        <w:t>(OECD, 2024)</w:t>
      </w:r>
      <w:r w:rsidRPr="00231A96">
        <w:rPr>
          <w:rFonts w:asciiTheme="minorBidi" w:hAnsiTheme="minorBidi" w:cstheme="minorBidi"/>
          <w:sz w:val="22"/>
          <w:szCs w:val="22"/>
        </w:rPr>
        <w:t xml:space="preserve">. </w:t>
      </w:r>
    </w:p>
    <w:p w14:paraId="7055F094" w14:textId="7D1C66D8" w:rsidR="00773126" w:rsidRDefault="00773126" w:rsidP="00231A96">
      <w:pPr>
        <w:pStyle w:val="Heading3"/>
        <w:jc w:val="both"/>
        <w:rPr>
          <w:rFonts w:cstheme="minorBidi"/>
          <w:szCs w:val="22"/>
        </w:rPr>
      </w:pPr>
      <w:bookmarkStart w:id="10" w:name="_Toc224414078"/>
      <w:r w:rsidRPr="00231A96">
        <w:rPr>
          <w:rFonts w:cstheme="minorBidi"/>
          <w:szCs w:val="22"/>
        </w:rPr>
        <w:t xml:space="preserve">Pakistan: </w:t>
      </w:r>
      <w:r w:rsidR="00CD69F4" w:rsidRPr="00231A96">
        <w:rPr>
          <w:rFonts w:cstheme="minorBidi"/>
          <w:szCs w:val="22"/>
        </w:rPr>
        <w:t xml:space="preserve">Plastic Ban Initiatives </w:t>
      </w:r>
      <w:r w:rsidRPr="00231A96">
        <w:rPr>
          <w:rFonts w:cstheme="minorBidi"/>
          <w:szCs w:val="22"/>
        </w:rPr>
        <w:t xml:space="preserve">and </w:t>
      </w:r>
      <w:r w:rsidR="00CD69F4" w:rsidRPr="00231A96">
        <w:rPr>
          <w:rFonts w:cstheme="minorBidi"/>
          <w:szCs w:val="22"/>
        </w:rPr>
        <w:t>Enforcement Constraints</w:t>
      </w:r>
      <w:bookmarkEnd w:id="10"/>
    </w:p>
    <w:p w14:paraId="512CF5C9" w14:textId="05B7DF05" w:rsidR="00BB22D5" w:rsidRPr="00BB22D5" w:rsidRDefault="007D545F" w:rsidP="006231C3">
      <w:pPr>
        <w:jc w:val="both"/>
      </w:pPr>
      <w:r w:rsidRPr="007D545F">
        <w:t>Pakistan demonstrates how SDG 12 policies may seem ambitious but prove to be ineffective in reality. The Single-Use Plastics (Prohibition) Regulations 2023 in Islamabad Capital Territory limit the production, sale, and consumption of specific plastic products, and Pak-EPA (Ministry of Climate Change, 2023) will be responsible for their practice. This applies to health and social care as the inadequate plastic handling leads to pollution, unhealthy environments, and sanitation-related hazards that may deteriorate the health of the community and strain already overwhelmed services. Nonetheless, enforcement, monitoring, and affordable alternatives are the key to success. Practically, compliance is undermined by informal markets, irregular enforcement and the lack of social awareness. The Health Belief Model perspective shows that campaigns fail to achieve perceived risk and self-efficacy, leading to short-lived behaviour change instead of long-term changes (Ahmed et al., 2021).</w:t>
      </w:r>
    </w:p>
    <w:p w14:paraId="63E0D564" w14:textId="6F73B267" w:rsidR="00773126" w:rsidRPr="00231A96" w:rsidRDefault="00773126" w:rsidP="00231A96">
      <w:pPr>
        <w:pStyle w:val="Heading3"/>
        <w:jc w:val="both"/>
        <w:rPr>
          <w:rFonts w:cstheme="minorBidi"/>
          <w:szCs w:val="22"/>
        </w:rPr>
      </w:pPr>
      <w:bookmarkStart w:id="11" w:name="_Toc224414079"/>
      <w:r w:rsidRPr="00231A96">
        <w:rPr>
          <w:rFonts w:cstheme="minorBidi"/>
          <w:szCs w:val="22"/>
        </w:rPr>
        <w:t>Recommendations</w:t>
      </w:r>
      <w:bookmarkEnd w:id="11"/>
      <w:r w:rsidRPr="00231A96">
        <w:rPr>
          <w:rFonts w:cstheme="minorBidi"/>
          <w:szCs w:val="22"/>
        </w:rPr>
        <w:t xml:space="preserve"> </w:t>
      </w:r>
    </w:p>
    <w:p w14:paraId="14E53F26" w14:textId="4676625C" w:rsidR="0026579A" w:rsidRPr="00CF1616" w:rsidRDefault="0026579A" w:rsidP="00CF1616">
      <w:pPr>
        <w:pStyle w:val="NormalWeb"/>
        <w:numPr>
          <w:ilvl w:val="0"/>
          <w:numId w:val="16"/>
        </w:numPr>
        <w:spacing w:line="360" w:lineRule="auto"/>
        <w:jc w:val="both"/>
        <w:rPr>
          <w:rStyle w:val="Strong"/>
          <w:rFonts w:asciiTheme="minorBidi" w:eastAsiaTheme="majorEastAsia" w:hAnsiTheme="minorBidi" w:cstheme="minorBidi"/>
          <w:b w:val="0"/>
          <w:bCs w:val="0"/>
          <w:sz w:val="22"/>
          <w:szCs w:val="22"/>
        </w:rPr>
      </w:pPr>
      <w:r w:rsidRPr="00CF1616">
        <w:rPr>
          <w:rStyle w:val="Strong"/>
          <w:rFonts w:asciiTheme="minorBidi" w:eastAsiaTheme="majorEastAsia" w:hAnsiTheme="minorBidi" w:cstheme="minorBidi"/>
          <w:b w:val="0"/>
          <w:bCs w:val="0"/>
          <w:sz w:val="22"/>
          <w:szCs w:val="22"/>
        </w:rPr>
        <w:t>Enforcement of regulations through measurable indicators: Pair bans/charges, regular inspections, visible penalty regimes, and publicly reported measures (plastic litter, compliance rates) to decrease accountability loopholes. The government must solve the problem of low accountability and enhance policy credibility (</w:t>
      </w:r>
      <w:proofErr w:type="spellStart"/>
      <w:r w:rsidRPr="00CF1616">
        <w:rPr>
          <w:rStyle w:val="Strong"/>
          <w:rFonts w:asciiTheme="minorBidi" w:eastAsiaTheme="majorEastAsia" w:hAnsiTheme="minorBidi" w:cstheme="minorBidi"/>
          <w:b w:val="0"/>
          <w:bCs w:val="0"/>
          <w:sz w:val="22"/>
          <w:szCs w:val="22"/>
        </w:rPr>
        <w:t>Falsafi</w:t>
      </w:r>
      <w:proofErr w:type="spellEnd"/>
      <w:r w:rsidRPr="00CF1616">
        <w:rPr>
          <w:rStyle w:val="Strong"/>
          <w:rFonts w:asciiTheme="minorBidi" w:eastAsiaTheme="majorEastAsia" w:hAnsiTheme="minorBidi" w:cstheme="minorBidi"/>
          <w:b w:val="0"/>
          <w:bCs w:val="0"/>
          <w:sz w:val="22"/>
          <w:szCs w:val="22"/>
        </w:rPr>
        <w:t xml:space="preserve"> et al., 2025).</w:t>
      </w:r>
    </w:p>
    <w:p w14:paraId="39B44F1A" w14:textId="28E89EAE" w:rsidR="0026579A" w:rsidRPr="00CF1616" w:rsidRDefault="0026579A" w:rsidP="00CF1616">
      <w:pPr>
        <w:pStyle w:val="NormalWeb"/>
        <w:numPr>
          <w:ilvl w:val="0"/>
          <w:numId w:val="16"/>
        </w:numPr>
        <w:spacing w:line="360" w:lineRule="auto"/>
        <w:jc w:val="both"/>
        <w:rPr>
          <w:rStyle w:val="Strong"/>
          <w:rFonts w:asciiTheme="minorBidi" w:eastAsiaTheme="majorEastAsia" w:hAnsiTheme="minorBidi" w:cstheme="minorBidi"/>
          <w:b w:val="0"/>
          <w:bCs w:val="0"/>
          <w:sz w:val="22"/>
          <w:szCs w:val="22"/>
        </w:rPr>
      </w:pPr>
      <w:r w:rsidRPr="00CF1616">
        <w:rPr>
          <w:rStyle w:val="Strong"/>
          <w:rFonts w:asciiTheme="minorBidi" w:eastAsiaTheme="majorEastAsia" w:hAnsiTheme="minorBidi" w:cstheme="minorBidi"/>
          <w:b w:val="0"/>
          <w:bCs w:val="0"/>
          <w:sz w:val="22"/>
          <w:szCs w:val="22"/>
        </w:rPr>
        <w:t xml:space="preserve">Rules on corporate transparency and anti-greenwashing: Standardised reporting on packaging footprints and claims on recyclability should be required, tied to verifiable measures, rather than marketing language in support of SDG 12 integrity and reducing misleading claims of circularity (Raman, </w:t>
      </w:r>
      <w:proofErr w:type="spellStart"/>
      <w:r w:rsidRPr="00CF1616">
        <w:rPr>
          <w:rStyle w:val="Strong"/>
          <w:rFonts w:asciiTheme="minorBidi" w:eastAsiaTheme="majorEastAsia" w:hAnsiTheme="minorBidi" w:cstheme="minorBidi"/>
          <w:b w:val="0"/>
          <w:bCs w:val="0"/>
          <w:sz w:val="22"/>
          <w:szCs w:val="22"/>
        </w:rPr>
        <w:t>Lathabai</w:t>
      </w:r>
      <w:proofErr w:type="spellEnd"/>
      <w:r w:rsidRPr="00CF1616">
        <w:rPr>
          <w:rStyle w:val="Strong"/>
          <w:rFonts w:asciiTheme="minorBidi" w:eastAsiaTheme="majorEastAsia" w:hAnsiTheme="minorBidi" w:cstheme="minorBidi"/>
          <w:b w:val="0"/>
          <w:bCs w:val="0"/>
          <w:sz w:val="22"/>
          <w:szCs w:val="22"/>
        </w:rPr>
        <w:t xml:space="preserve"> and </w:t>
      </w:r>
      <w:proofErr w:type="spellStart"/>
      <w:r w:rsidRPr="00CF1616">
        <w:rPr>
          <w:rStyle w:val="Strong"/>
          <w:rFonts w:asciiTheme="minorBidi" w:eastAsiaTheme="majorEastAsia" w:hAnsiTheme="minorBidi" w:cstheme="minorBidi"/>
          <w:b w:val="0"/>
          <w:bCs w:val="0"/>
          <w:sz w:val="22"/>
          <w:szCs w:val="22"/>
        </w:rPr>
        <w:t>Nedungadi</w:t>
      </w:r>
      <w:proofErr w:type="spellEnd"/>
      <w:r w:rsidRPr="00CF1616">
        <w:rPr>
          <w:rStyle w:val="Strong"/>
          <w:rFonts w:asciiTheme="minorBidi" w:eastAsiaTheme="majorEastAsia" w:hAnsiTheme="minorBidi" w:cstheme="minorBidi"/>
          <w:b w:val="0"/>
          <w:bCs w:val="0"/>
          <w:sz w:val="22"/>
          <w:szCs w:val="22"/>
        </w:rPr>
        <w:t xml:space="preserve">, 2024). </w:t>
      </w:r>
    </w:p>
    <w:p w14:paraId="4BB5F30F" w14:textId="2B1D8C0A" w:rsidR="00017665" w:rsidRPr="005853A5" w:rsidRDefault="0026579A" w:rsidP="00CF1616">
      <w:pPr>
        <w:pStyle w:val="NormalWeb"/>
        <w:numPr>
          <w:ilvl w:val="0"/>
          <w:numId w:val="16"/>
        </w:numPr>
        <w:spacing w:line="360" w:lineRule="auto"/>
        <w:jc w:val="both"/>
        <w:rPr>
          <w:rFonts w:asciiTheme="minorBidi" w:hAnsiTheme="minorBidi" w:cstheme="minorBidi"/>
          <w:sz w:val="22"/>
          <w:szCs w:val="22"/>
        </w:rPr>
      </w:pPr>
      <w:r w:rsidRPr="00CF1616">
        <w:rPr>
          <w:rStyle w:val="Strong"/>
          <w:rFonts w:asciiTheme="minorBidi" w:eastAsiaTheme="majorEastAsia" w:hAnsiTheme="minorBidi" w:cstheme="minorBidi"/>
          <w:b w:val="0"/>
          <w:bCs w:val="0"/>
          <w:sz w:val="22"/>
          <w:szCs w:val="22"/>
        </w:rPr>
        <w:t>Intervention based on HBM and SCT: Integrate nudges (pricing/friction) with interventions that enhance self-efficacy (easy access to reusable options, retailer take-back schemes, community role modelling) and reinforce cues to action (clear labelling and promotions at point of sale). This shifts policy off the state of awareness to a state of practical action, particularly in a lower-income setting with alternatives needing to be both practical and affordable</w:t>
      </w:r>
      <w:r>
        <w:rPr>
          <w:rStyle w:val="Strong"/>
          <w:rFonts w:asciiTheme="minorBidi" w:eastAsiaTheme="majorEastAsia" w:hAnsiTheme="minorBidi" w:cstheme="minorBidi"/>
          <w:sz w:val="22"/>
          <w:szCs w:val="22"/>
        </w:rPr>
        <w:t xml:space="preserve"> </w:t>
      </w:r>
      <w:r w:rsidR="0020648B" w:rsidRPr="00231A96">
        <w:rPr>
          <w:rFonts w:asciiTheme="minorBidi" w:hAnsiTheme="minorBidi" w:cstheme="minorBidi"/>
          <w:sz w:val="22"/>
          <w:szCs w:val="22"/>
        </w:rPr>
        <w:t>(</w:t>
      </w:r>
      <w:proofErr w:type="spellStart"/>
      <w:r w:rsidR="0020648B" w:rsidRPr="00231A96">
        <w:rPr>
          <w:rFonts w:asciiTheme="minorBidi" w:hAnsiTheme="minorBidi" w:cstheme="minorBidi"/>
          <w:sz w:val="22"/>
          <w:szCs w:val="22"/>
        </w:rPr>
        <w:t>Setyadi</w:t>
      </w:r>
      <w:proofErr w:type="spellEnd"/>
      <w:r w:rsidR="0020648B" w:rsidRPr="00231A96">
        <w:rPr>
          <w:rFonts w:asciiTheme="minorBidi" w:hAnsiTheme="minorBidi" w:cstheme="minorBidi"/>
          <w:sz w:val="22"/>
          <w:szCs w:val="22"/>
        </w:rPr>
        <w:t xml:space="preserve">, </w:t>
      </w:r>
      <w:proofErr w:type="spellStart"/>
      <w:r w:rsidR="0020648B" w:rsidRPr="00231A96">
        <w:rPr>
          <w:rFonts w:asciiTheme="minorBidi" w:hAnsiTheme="minorBidi" w:cstheme="minorBidi"/>
          <w:sz w:val="22"/>
          <w:szCs w:val="22"/>
        </w:rPr>
        <w:t>Pawirosumarto</w:t>
      </w:r>
      <w:proofErr w:type="spellEnd"/>
      <w:r w:rsidR="0020648B" w:rsidRPr="00231A96">
        <w:rPr>
          <w:rFonts w:asciiTheme="minorBidi" w:hAnsiTheme="minorBidi" w:cstheme="minorBidi"/>
          <w:sz w:val="22"/>
          <w:szCs w:val="22"/>
        </w:rPr>
        <w:t xml:space="preserve"> and Damaris, 2025)</w:t>
      </w:r>
      <w:r w:rsidR="00773126" w:rsidRPr="00231A96">
        <w:rPr>
          <w:rFonts w:asciiTheme="minorBidi" w:hAnsiTheme="minorBidi" w:cstheme="minorBidi"/>
          <w:sz w:val="22"/>
          <w:szCs w:val="22"/>
        </w:rPr>
        <w:t xml:space="preserve">. </w:t>
      </w:r>
    </w:p>
    <w:p w14:paraId="3DA79F15" w14:textId="0FDD7E3C" w:rsidR="00E41487" w:rsidRPr="00231A96" w:rsidRDefault="003A0FF6" w:rsidP="00231A96">
      <w:pPr>
        <w:pStyle w:val="Heading1"/>
        <w:jc w:val="both"/>
        <w:rPr>
          <w:rFonts w:cstheme="minorBidi"/>
          <w:sz w:val="22"/>
          <w:szCs w:val="22"/>
        </w:rPr>
      </w:pPr>
      <w:bookmarkStart w:id="12" w:name="_Toc224414080"/>
      <w:r w:rsidRPr="00231A96">
        <w:rPr>
          <w:rFonts w:cstheme="minorBidi"/>
          <w:sz w:val="22"/>
          <w:szCs w:val="22"/>
        </w:rPr>
        <w:t>Conclusion</w:t>
      </w:r>
      <w:bookmarkEnd w:id="12"/>
    </w:p>
    <w:p w14:paraId="10645EFE" w14:textId="41057F89" w:rsidR="003204C8" w:rsidRDefault="00FA059C" w:rsidP="004D42F8">
      <w:pPr>
        <w:pStyle w:val="NormalWeb"/>
        <w:spacing w:line="360" w:lineRule="auto"/>
        <w:jc w:val="both"/>
        <w:rPr>
          <w:rFonts w:asciiTheme="minorBidi" w:hAnsiTheme="minorBidi" w:cstheme="minorBidi"/>
          <w:sz w:val="22"/>
          <w:szCs w:val="22"/>
        </w:rPr>
      </w:pPr>
      <w:r w:rsidRPr="00FA059C">
        <w:rPr>
          <w:rFonts w:asciiTheme="minorBidi" w:hAnsiTheme="minorBidi" w:cstheme="minorBidi"/>
          <w:sz w:val="22"/>
          <w:szCs w:val="22"/>
        </w:rPr>
        <w:t>As demonstrated in this report, consumption practices are a significant determinant of health, which forms diet-related risks of NCD, environmental exposures, and the daily circumstances that facilitate or limit wellbeing. Policies like WHO NCD frameworks and national policies such as sugar levies and labelling (SDG 3) could help to reduce risk factors, but are less effective when based on excessively relying on the individual behaviour change whilst cheap and actively promoted unhealthy products remain structurally normal. In SDG 12, circular economy strategies, plastic levies, EPR initiatives and plastic prohibitions, the sustainability policy can change systems, but there are endemic issues such as greenwashing, lack of accountability, enforcement loopholes and insufficient self-efficacy by the populace can minimi</w:t>
      </w:r>
      <w:r w:rsidR="0086262C">
        <w:rPr>
          <w:rFonts w:asciiTheme="minorBidi" w:hAnsiTheme="minorBidi" w:cstheme="minorBidi"/>
          <w:sz w:val="22"/>
          <w:szCs w:val="22"/>
        </w:rPr>
        <w:t>s</w:t>
      </w:r>
      <w:r w:rsidRPr="00FA059C">
        <w:rPr>
          <w:rFonts w:asciiTheme="minorBidi" w:hAnsiTheme="minorBidi" w:cstheme="minorBidi"/>
          <w:sz w:val="22"/>
          <w:szCs w:val="22"/>
        </w:rPr>
        <w:t xml:space="preserve">e the effects. The most important relationship between SDG 3 and SDG 12 is that both of them need to be transformed upstream: regulation, incentives, and supply-chain governance must be adjusted such that healthier and lower-waste solutions become the default. </w:t>
      </w:r>
    </w:p>
    <w:p w14:paraId="20D234E2" w14:textId="77777777" w:rsidR="003204C8" w:rsidRDefault="003204C8" w:rsidP="00231A96">
      <w:pPr>
        <w:pStyle w:val="NormalWeb"/>
        <w:spacing w:line="360" w:lineRule="auto"/>
        <w:jc w:val="both"/>
        <w:rPr>
          <w:rFonts w:asciiTheme="minorBidi" w:hAnsiTheme="minorBidi" w:cstheme="minorBidi"/>
          <w:sz w:val="22"/>
          <w:szCs w:val="22"/>
        </w:rPr>
      </w:pPr>
    </w:p>
    <w:p w14:paraId="1A9139D4" w14:textId="77777777" w:rsidR="003204C8" w:rsidRDefault="003204C8" w:rsidP="00231A96">
      <w:pPr>
        <w:pStyle w:val="NormalWeb"/>
        <w:spacing w:line="360" w:lineRule="auto"/>
        <w:jc w:val="both"/>
        <w:rPr>
          <w:rFonts w:asciiTheme="minorBidi" w:hAnsiTheme="minorBidi" w:cstheme="minorBidi"/>
          <w:sz w:val="22"/>
          <w:szCs w:val="22"/>
        </w:rPr>
      </w:pPr>
    </w:p>
    <w:p w14:paraId="76F070B0" w14:textId="77777777" w:rsidR="003204C8" w:rsidRDefault="003204C8" w:rsidP="00231A96">
      <w:pPr>
        <w:pStyle w:val="NormalWeb"/>
        <w:spacing w:line="360" w:lineRule="auto"/>
        <w:jc w:val="both"/>
        <w:rPr>
          <w:rFonts w:asciiTheme="minorBidi" w:hAnsiTheme="minorBidi" w:cstheme="minorBidi"/>
          <w:sz w:val="22"/>
          <w:szCs w:val="22"/>
        </w:rPr>
      </w:pPr>
    </w:p>
    <w:p w14:paraId="62286AE8" w14:textId="77777777" w:rsidR="003204C8" w:rsidRDefault="003204C8" w:rsidP="00231A96">
      <w:pPr>
        <w:pStyle w:val="NormalWeb"/>
        <w:spacing w:line="360" w:lineRule="auto"/>
        <w:jc w:val="both"/>
        <w:rPr>
          <w:rFonts w:asciiTheme="minorBidi" w:hAnsiTheme="minorBidi" w:cstheme="minorBidi"/>
          <w:sz w:val="22"/>
          <w:szCs w:val="22"/>
        </w:rPr>
      </w:pPr>
    </w:p>
    <w:p w14:paraId="72940714" w14:textId="77777777" w:rsidR="003204C8" w:rsidRDefault="003204C8" w:rsidP="00231A96">
      <w:pPr>
        <w:pStyle w:val="NormalWeb"/>
        <w:spacing w:line="360" w:lineRule="auto"/>
        <w:jc w:val="both"/>
        <w:rPr>
          <w:rFonts w:asciiTheme="minorBidi" w:hAnsiTheme="minorBidi" w:cstheme="minorBidi"/>
          <w:sz w:val="22"/>
          <w:szCs w:val="22"/>
        </w:rPr>
      </w:pPr>
    </w:p>
    <w:p w14:paraId="4CBE1856" w14:textId="77777777" w:rsidR="003204C8" w:rsidRDefault="003204C8" w:rsidP="00231A96">
      <w:pPr>
        <w:pStyle w:val="NormalWeb"/>
        <w:spacing w:line="360" w:lineRule="auto"/>
        <w:jc w:val="both"/>
        <w:rPr>
          <w:rFonts w:asciiTheme="minorBidi" w:hAnsiTheme="minorBidi" w:cstheme="minorBidi"/>
          <w:sz w:val="22"/>
          <w:szCs w:val="22"/>
        </w:rPr>
      </w:pPr>
    </w:p>
    <w:p w14:paraId="7F46D533" w14:textId="77777777" w:rsidR="003204C8" w:rsidRDefault="003204C8" w:rsidP="00231A96">
      <w:pPr>
        <w:pStyle w:val="NormalWeb"/>
        <w:spacing w:line="360" w:lineRule="auto"/>
        <w:jc w:val="both"/>
        <w:rPr>
          <w:rFonts w:asciiTheme="minorBidi" w:hAnsiTheme="minorBidi" w:cstheme="minorBidi"/>
          <w:sz w:val="22"/>
          <w:szCs w:val="22"/>
        </w:rPr>
      </w:pPr>
    </w:p>
    <w:p w14:paraId="5453975A" w14:textId="77777777" w:rsidR="003204C8" w:rsidRDefault="003204C8" w:rsidP="00231A96">
      <w:pPr>
        <w:pStyle w:val="NormalWeb"/>
        <w:spacing w:line="360" w:lineRule="auto"/>
        <w:jc w:val="both"/>
        <w:rPr>
          <w:rFonts w:asciiTheme="minorBidi" w:hAnsiTheme="minorBidi" w:cstheme="minorBidi"/>
          <w:sz w:val="22"/>
          <w:szCs w:val="22"/>
        </w:rPr>
      </w:pPr>
    </w:p>
    <w:p w14:paraId="3AECFD9D" w14:textId="77777777" w:rsidR="003204C8" w:rsidRDefault="003204C8" w:rsidP="00231A96">
      <w:pPr>
        <w:pStyle w:val="NormalWeb"/>
        <w:spacing w:line="360" w:lineRule="auto"/>
        <w:jc w:val="both"/>
        <w:rPr>
          <w:rFonts w:asciiTheme="minorBidi" w:hAnsiTheme="minorBidi" w:cstheme="minorBidi"/>
          <w:sz w:val="22"/>
          <w:szCs w:val="22"/>
        </w:rPr>
      </w:pPr>
    </w:p>
    <w:p w14:paraId="1AFE9CAF" w14:textId="77777777" w:rsidR="003204C8" w:rsidRDefault="003204C8" w:rsidP="00231A96">
      <w:pPr>
        <w:pStyle w:val="NormalWeb"/>
        <w:spacing w:line="360" w:lineRule="auto"/>
        <w:jc w:val="both"/>
        <w:rPr>
          <w:rFonts w:asciiTheme="minorBidi" w:hAnsiTheme="minorBidi" w:cstheme="minorBidi"/>
          <w:sz w:val="22"/>
          <w:szCs w:val="22"/>
        </w:rPr>
      </w:pPr>
    </w:p>
    <w:p w14:paraId="47D4A31C" w14:textId="77777777" w:rsidR="003204C8" w:rsidRDefault="003204C8" w:rsidP="00231A96">
      <w:pPr>
        <w:pStyle w:val="NormalWeb"/>
        <w:spacing w:line="360" w:lineRule="auto"/>
        <w:jc w:val="both"/>
        <w:rPr>
          <w:rFonts w:asciiTheme="minorBidi" w:hAnsiTheme="minorBidi" w:cstheme="minorBidi"/>
          <w:sz w:val="22"/>
          <w:szCs w:val="22"/>
        </w:rPr>
      </w:pPr>
    </w:p>
    <w:p w14:paraId="0F12C2A1" w14:textId="77777777" w:rsidR="003204C8" w:rsidRDefault="003204C8" w:rsidP="00231A96">
      <w:pPr>
        <w:pStyle w:val="NormalWeb"/>
        <w:spacing w:line="360" w:lineRule="auto"/>
        <w:jc w:val="both"/>
        <w:rPr>
          <w:rFonts w:asciiTheme="minorBidi" w:hAnsiTheme="minorBidi" w:cstheme="minorBidi"/>
          <w:sz w:val="22"/>
          <w:szCs w:val="22"/>
        </w:rPr>
      </w:pPr>
    </w:p>
    <w:p w14:paraId="01C0BA88" w14:textId="77777777" w:rsidR="003204C8" w:rsidRDefault="003204C8" w:rsidP="00231A96">
      <w:pPr>
        <w:pStyle w:val="NormalWeb"/>
        <w:spacing w:line="360" w:lineRule="auto"/>
        <w:jc w:val="both"/>
        <w:rPr>
          <w:rFonts w:asciiTheme="minorBidi" w:hAnsiTheme="minorBidi" w:cstheme="minorBidi"/>
          <w:sz w:val="22"/>
          <w:szCs w:val="22"/>
        </w:rPr>
      </w:pPr>
    </w:p>
    <w:p w14:paraId="054D9B4C" w14:textId="77777777" w:rsidR="003204C8" w:rsidRDefault="003204C8" w:rsidP="00231A96">
      <w:pPr>
        <w:pStyle w:val="NormalWeb"/>
        <w:spacing w:line="360" w:lineRule="auto"/>
        <w:jc w:val="both"/>
        <w:rPr>
          <w:rFonts w:asciiTheme="minorBidi" w:hAnsiTheme="minorBidi" w:cstheme="minorBidi"/>
          <w:sz w:val="22"/>
          <w:szCs w:val="22"/>
        </w:rPr>
      </w:pPr>
    </w:p>
    <w:p w14:paraId="651B41EF" w14:textId="77777777" w:rsidR="003204C8" w:rsidRDefault="003204C8" w:rsidP="00231A96">
      <w:pPr>
        <w:pStyle w:val="NormalWeb"/>
        <w:spacing w:line="360" w:lineRule="auto"/>
        <w:jc w:val="both"/>
        <w:rPr>
          <w:rFonts w:asciiTheme="minorBidi" w:hAnsiTheme="minorBidi" w:cstheme="minorBidi"/>
          <w:sz w:val="22"/>
          <w:szCs w:val="22"/>
        </w:rPr>
      </w:pPr>
    </w:p>
    <w:p w14:paraId="101EEC34" w14:textId="77777777" w:rsidR="000465F3" w:rsidRDefault="000465F3" w:rsidP="00231A96">
      <w:pPr>
        <w:pStyle w:val="NormalWeb"/>
        <w:spacing w:line="360" w:lineRule="auto"/>
        <w:jc w:val="both"/>
        <w:rPr>
          <w:rFonts w:asciiTheme="minorBidi" w:hAnsiTheme="minorBidi" w:cstheme="minorBidi"/>
          <w:sz w:val="22"/>
          <w:szCs w:val="22"/>
        </w:rPr>
      </w:pPr>
    </w:p>
    <w:p w14:paraId="0F92997E" w14:textId="77777777" w:rsidR="000465F3" w:rsidRDefault="000465F3" w:rsidP="00231A96">
      <w:pPr>
        <w:pStyle w:val="NormalWeb"/>
        <w:spacing w:line="360" w:lineRule="auto"/>
        <w:jc w:val="both"/>
        <w:rPr>
          <w:rFonts w:asciiTheme="minorBidi" w:hAnsiTheme="minorBidi" w:cstheme="minorBidi"/>
          <w:sz w:val="22"/>
          <w:szCs w:val="22"/>
        </w:rPr>
      </w:pPr>
    </w:p>
    <w:p w14:paraId="51CA3962" w14:textId="77777777" w:rsidR="003204C8" w:rsidRPr="00231A96" w:rsidRDefault="003204C8" w:rsidP="00231A96">
      <w:pPr>
        <w:pStyle w:val="NormalWeb"/>
        <w:spacing w:line="360" w:lineRule="auto"/>
        <w:jc w:val="both"/>
        <w:rPr>
          <w:rFonts w:asciiTheme="minorBidi" w:hAnsiTheme="minorBidi" w:cstheme="minorBidi"/>
          <w:sz w:val="22"/>
          <w:szCs w:val="22"/>
        </w:rPr>
      </w:pPr>
    </w:p>
    <w:p w14:paraId="39BCD4F4" w14:textId="594DEE6C" w:rsidR="003550D2" w:rsidRPr="00231A96" w:rsidRDefault="003550D2" w:rsidP="00231A96">
      <w:pPr>
        <w:pStyle w:val="Heading1"/>
        <w:jc w:val="both"/>
        <w:rPr>
          <w:rFonts w:cstheme="minorBidi"/>
          <w:sz w:val="22"/>
          <w:szCs w:val="22"/>
        </w:rPr>
      </w:pPr>
      <w:bookmarkStart w:id="13" w:name="_Toc224414081"/>
      <w:r w:rsidRPr="00231A96">
        <w:rPr>
          <w:rFonts w:cstheme="minorBidi"/>
          <w:sz w:val="22"/>
          <w:szCs w:val="22"/>
        </w:rPr>
        <w:t>References</w:t>
      </w:r>
      <w:bookmarkEnd w:id="13"/>
    </w:p>
    <w:p w14:paraId="4F097FE6" w14:textId="77777777" w:rsidR="003550D2" w:rsidRPr="00231A96" w:rsidRDefault="003550D2" w:rsidP="00231A96">
      <w:pPr>
        <w:pStyle w:val="NormalWeb"/>
        <w:spacing w:before="0" w:beforeAutospacing="0" w:after="240" w:afterAutospacing="0" w:line="360" w:lineRule="auto"/>
        <w:jc w:val="both"/>
        <w:rPr>
          <w:rFonts w:asciiTheme="minorBidi" w:hAnsiTheme="minorBidi" w:cstheme="minorBidi"/>
          <w:sz w:val="22"/>
          <w:szCs w:val="22"/>
        </w:rPr>
      </w:pPr>
      <w:r w:rsidRPr="00231A96">
        <w:rPr>
          <w:rFonts w:asciiTheme="minorBidi" w:hAnsiTheme="minorBidi" w:cstheme="minorBidi"/>
          <w:sz w:val="22"/>
          <w:szCs w:val="22"/>
        </w:rPr>
        <w:t xml:space="preserve">Ahmed </w:t>
      </w:r>
      <w:r w:rsidRPr="00231A96">
        <w:rPr>
          <w:rFonts w:asciiTheme="minorBidi" w:hAnsiTheme="minorBidi" w:cstheme="minorBidi"/>
          <w:i/>
          <w:iCs/>
          <w:sz w:val="22"/>
          <w:szCs w:val="22"/>
        </w:rPr>
        <w:t>et al.</w:t>
      </w:r>
      <w:r w:rsidRPr="00231A96">
        <w:rPr>
          <w:rFonts w:asciiTheme="minorBidi" w:hAnsiTheme="minorBidi" w:cstheme="minorBidi"/>
          <w:sz w:val="22"/>
          <w:szCs w:val="22"/>
        </w:rPr>
        <w:t xml:space="preserve"> (2021) </w:t>
      </w:r>
      <w:r w:rsidRPr="00231A96">
        <w:rPr>
          <w:rFonts w:asciiTheme="minorBidi" w:hAnsiTheme="minorBidi" w:cstheme="minorBidi"/>
          <w:i/>
          <w:iCs/>
          <w:sz w:val="22"/>
          <w:szCs w:val="22"/>
        </w:rPr>
        <w:t>The role of evidence in policymaking in Pakistan: a political economy analysis report</w:t>
      </w:r>
      <w:r w:rsidRPr="00231A96">
        <w:rPr>
          <w:rFonts w:asciiTheme="minorBidi" w:hAnsiTheme="minorBidi" w:cstheme="minorBidi"/>
          <w:sz w:val="22"/>
          <w:szCs w:val="22"/>
        </w:rPr>
        <w:t>. Available at: https://www.opml.co.uk/files/Publications/a2722-strengthening-use-evidence-development-impact-sedi/sedi-pakistan-report-final.pdf (Accessed: 22 February 2026).</w:t>
      </w:r>
    </w:p>
    <w:p w14:paraId="3A7C85C8" w14:textId="77777777" w:rsidR="003550D2" w:rsidRPr="00231A96" w:rsidRDefault="003550D2" w:rsidP="00231A96">
      <w:pPr>
        <w:pStyle w:val="NormalWeb"/>
        <w:spacing w:before="0" w:beforeAutospacing="0" w:after="240" w:afterAutospacing="0" w:line="360" w:lineRule="auto"/>
        <w:jc w:val="both"/>
        <w:rPr>
          <w:rFonts w:asciiTheme="minorBidi" w:hAnsiTheme="minorBidi" w:cstheme="minorBidi"/>
          <w:sz w:val="22"/>
          <w:szCs w:val="22"/>
        </w:rPr>
      </w:pPr>
      <w:proofErr w:type="spellStart"/>
      <w:r w:rsidRPr="00231A96">
        <w:rPr>
          <w:rFonts w:asciiTheme="minorBidi" w:hAnsiTheme="minorBidi" w:cstheme="minorBidi"/>
          <w:sz w:val="22"/>
          <w:szCs w:val="22"/>
        </w:rPr>
        <w:t>Cornelsen</w:t>
      </w:r>
      <w:proofErr w:type="spellEnd"/>
      <w:r w:rsidRPr="00231A96">
        <w:rPr>
          <w:rFonts w:asciiTheme="minorBidi" w:hAnsiTheme="minorBidi" w:cstheme="minorBidi"/>
          <w:sz w:val="22"/>
          <w:szCs w:val="22"/>
        </w:rPr>
        <w:t xml:space="preserve">, L. </w:t>
      </w:r>
      <w:r w:rsidRPr="00231A96">
        <w:rPr>
          <w:rFonts w:asciiTheme="minorBidi" w:hAnsiTheme="minorBidi" w:cstheme="minorBidi"/>
          <w:i/>
          <w:iCs/>
          <w:sz w:val="22"/>
          <w:szCs w:val="22"/>
        </w:rPr>
        <w:t>et al.</w:t>
      </w:r>
      <w:r w:rsidRPr="00231A96">
        <w:rPr>
          <w:rFonts w:asciiTheme="minorBidi" w:hAnsiTheme="minorBidi" w:cstheme="minorBidi"/>
          <w:sz w:val="22"/>
          <w:szCs w:val="22"/>
        </w:rPr>
        <w:t xml:space="preserve"> (2016) ‘Impact of a levy on sales of sugar-sweetened beverages within a national chain of restaurants: interrupted time-series analysis’, </w:t>
      </w:r>
      <w:r w:rsidRPr="00231A96">
        <w:rPr>
          <w:rFonts w:asciiTheme="minorBidi" w:hAnsiTheme="minorBidi" w:cstheme="minorBidi"/>
          <w:i/>
          <w:iCs/>
          <w:sz w:val="22"/>
          <w:szCs w:val="22"/>
        </w:rPr>
        <w:t>The Lancet</w:t>
      </w:r>
      <w:r w:rsidRPr="00231A96">
        <w:rPr>
          <w:rFonts w:asciiTheme="minorBidi" w:hAnsiTheme="minorBidi" w:cstheme="minorBidi"/>
          <w:sz w:val="22"/>
          <w:szCs w:val="22"/>
        </w:rPr>
        <w:t>, 388, p. S15. Available at: https://doi.org/10.1016/s0140-6736(16)32251-6.</w:t>
      </w:r>
    </w:p>
    <w:p w14:paraId="6717F01A" w14:textId="77777777" w:rsidR="003550D2" w:rsidRPr="00231A96" w:rsidRDefault="003550D2" w:rsidP="00231A96">
      <w:pPr>
        <w:pStyle w:val="NormalWeb"/>
        <w:spacing w:before="0" w:beforeAutospacing="0" w:after="240" w:afterAutospacing="0" w:line="360" w:lineRule="auto"/>
        <w:jc w:val="both"/>
        <w:rPr>
          <w:rFonts w:asciiTheme="minorBidi" w:hAnsiTheme="minorBidi" w:cstheme="minorBidi"/>
          <w:sz w:val="22"/>
          <w:szCs w:val="22"/>
        </w:rPr>
      </w:pPr>
      <w:proofErr w:type="spellStart"/>
      <w:r w:rsidRPr="00231A96">
        <w:rPr>
          <w:rFonts w:asciiTheme="minorBidi" w:hAnsiTheme="minorBidi" w:cstheme="minorBidi"/>
          <w:sz w:val="22"/>
          <w:szCs w:val="22"/>
        </w:rPr>
        <w:t>Falsafi</w:t>
      </w:r>
      <w:proofErr w:type="spellEnd"/>
      <w:r w:rsidRPr="00231A96">
        <w:rPr>
          <w:rFonts w:asciiTheme="minorBidi" w:hAnsiTheme="minorBidi" w:cstheme="minorBidi"/>
          <w:sz w:val="22"/>
          <w:szCs w:val="22"/>
        </w:rPr>
        <w:t xml:space="preserve">, A. </w:t>
      </w:r>
      <w:r w:rsidRPr="00231A96">
        <w:rPr>
          <w:rFonts w:asciiTheme="minorBidi" w:hAnsiTheme="minorBidi" w:cstheme="minorBidi"/>
          <w:i/>
          <w:iCs/>
          <w:sz w:val="22"/>
          <w:szCs w:val="22"/>
        </w:rPr>
        <w:t>et al.</w:t>
      </w:r>
      <w:r w:rsidRPr="00231A96">
        <w:rPr>
          <w:rFonts w:asciiTheme="minorBidi" w:hAnsiTheme="minorBidi" w:cstheme="minorBidi"/>
          <w:sz w:val="22"/>
          <w:szCs w:val="22"/>
        </w:rPr>
        <w:t xml:space="preserve"> (2025) ‘Life cycle assessment in circular design process: A systematic literature review’, </w:t>
      </w:r>
      <w:r w:rsidRPr="00231A96">
        <w:rPr>
          <w:rFonts w:asciiTheme="minorBidi" w:hAnsiTheme="minorBidi" w:cstheme="minorBidi"/>
          <w:i/>
          <w:iCs/>
          <w:sz w:val="22"/>
          <w:szCs w:val="22"/>
        </w:rPr>
        <w:t>Journal of Cleaner Production</w:t>
      </w:r>
      <w:r w:rsidRPr="00231A96">
        <w:rPr>
          <w:rFonts w:asciiTheme="minorBidi" w:hAnsiTheme="minorBidi" w:cstheme="minorBidi"/>
          <w:sz w:val="22"/>
          <w:szCs w:val="22"/>
        </w:rPr>
        <w:t>, 521, p. 146188. Available at: https://doi.org/10.1016/j.jclepro.2025.146188.</w:t>
      </w:r>
    </w:p>
    <w:p w14:paraId="1C63150D" w14:textId="77777777" w:rsidR="003550D2" w:rsidRPr="00231A96" w:rsidRDefault="003550D2" w:rsidP="00231A96">
      <w:pPr>
        <w:pStyle w:val="NormalWeb"/>
        <w:spacing w:before="0" w:beforeAutospacing="0" w:after="240" w:afterAutospacing="0" w:line="360" w:lineRule="auto"/>
        <w:jc w:val="both"/>
        <w:rPr>
          <w:rFonts w:asciiTheme="minorBidi" w:hAnsiTheme="minorBidi" w:cstheme="minorBidi"/>
          <w:sz w:val="22"/>
          <w:szCs w:val="22"/>
        </w:rPr>
      </w:pPr>
      <w:r w:rsidRPr="00231A96">
        <w:rPr>
          <w:rFonts w:asciiTheme="minorBidi" w:hAnsiTheme="minorBidi" w:cstheme="minorBidi"/>
          <w:sz w:val="22"/>
          <w:szCs w:val="22"/>
        </w:rPr>
        <w:t xml:space="preserve">Fang, L. </w:t>
      </w:r>
      <w:r w:rsidRPr="00231A96">
        <w:rPr>
          <w:rFonts w:asciiTheme="minorBidi" w:hAnsiTheme="minorBidi" w:cstheme="minorBidi"/>
          <w:i/>
          <w:iCs/>
          <w:sz w:val="22"/>
          <w:szCs w:val="22"/>
        </w:rPr>
        <w:t>et al.</w:t>
      </w:r>
      <w:r w:rsidRPr="00231A96">
        <w:rPr>
          <w:rFonts w:asciiTheme="minorBidi" w:hAnsiTheme="minorBidi" w:cstheme="minorBidi"/>
          <w:sz w:val="22"/>
          <w:szCs w:val="22"/>
        </w:rPr>
        <w:t xml:space="preserve"> (2025) ‘Influencing factors and mechanisms promoting proactive health </w:t>
      </w:r>
      <w:proofErr w:type="spellStart"/>
      <w:r w:rsidRPr="00231A96">
        <w:rPr>
          <w:rFonts w:asciiTheme="minorBidi" w:hAnsiTheme="minorBidi" w:cstheme="minorBidi"/>
          <w:sz w:val="22"/>
          <w:szCs w:val="22"/>
        </w:rPr>
        <w:t>behavior</w:t>
      </w:r>
      <w:proofErr w:type="spellEnd"/>
      <w:r w:rsidRPr="00231A96">
        <w:rPr>
          <w:rFonts w:asciiTheme="minorBidi" w:hAnsiTheme="minorBidi" w:cstheme="minorBidi"/>
          <w:sz w:val="22"/>
          <w:szCs w:val="22"/>
        </w:rPr>
        <w:t xml:space="preserve"> intention: an integration of the health belief model and the theory of planned </w:t>
      </w:r>
      <w:proofErr w:type="spellStart"/>
      <w:r w:rsidRPr="00231A96">
        <w:rPr>
          <w:rFonts w:asciiTheme="minorBidi" w:hAnsiTheme="minorBidi" w:cstheme="minorBidi"/>
          <w:sz w:val="22"/>
          <w:szCs w:val="22"/>
        </w:rPr>
        <w:t>behavior</w:t>
      </w:r>
      <w:proofErr w:type="spellEnd"/>
      <w:r w:rsidRPr="00231A96">
        <w:rPr>
          <w:rFonts w:asciiTheme="minorBidi" w:hAnsiTheme="minorBidi" w:cstheme="minorBidi"/>
          <w:sz w:val="22"/>
          <w:szCs w:val="22"/>
        </w:rPr>
        <w:t xml:space="preserve">’, </w:t>
      </w:r>
      <w:r w:rsidRPr="00231A96">
        <w:rPr>
          <w:rFonts w:asciiTheme="minorBidi" w:hAnsiTheme="minorBidi" w:cstheme="minorBidi"/>
          <w:i/>
          <w:iCs/>
          <w:sz w:val="22"/>
          <w:szCs w:val="22"/>
        </w:rPr>
        <w:t>Frontiers in Public Health</w:t>
      </w:r>
      <w:r w:rsidRPr="00231A96">
        <w:rPr>
          <w:rFonts w:asciiTheme="minorBidi" w:hAnsiTheme="minorBidi" w:cstheme="minorBidi"/>
          <w:sz w:val="22"/>
          <w:szCs w:val="22"/>
        </w:rPr>
        <w:t>, 13. Available at: https://doi.org/10.3389/fpubh.2025.1629046.</w:t>
      </w:r>
    </w:p>
    <w:p w14:paraId="202B5403" w14:textId="77777777" w:rsidR="003550D2" w:rsidRPr="00231A96" w:rsidRDefault="003550D2" w:rsidP="00231A96">
      <w:pPr>
        <w:pStyle w:val="NormalWeb"/>
        <w:spacing w:before="0" w:beforeAutospacing="0" w:after="240" w:afterAutospacing="0" w:line="360" w:lineRule="auto"/>
        <w:jc w:val="both"/>
        <w:rPr>
          <w:rFonts w:asciiTheme="minorBidi" w:hAnsiTheme="minorBidi" w:cstheme="minorBidi"/>
          <w:sz w:val="22"/>
          <w:szCs w:val="22"/>
        </w:rPr>
      </w:pPr>
      <w:proofErr w:type="spellStart"/>
      <w:r w:rsidRPr="00231A96">
        <w:rPr>
          <w:rFonts w:asciiTheme="minorBidi" w:hAnsiTheme="minorBidi" w:cstheme="minorBidi"/>
          <w:sz w:val="22"/>
          <w:szCs w:val="22"/>
        </w:rPr>
        <w:t>Gov</w:t>
      </w:r>
      <w:proofErr w:type="spellEnd"/>
      <w:r w:rsidRPr="00231A96">
        <w:rPr>
          <w:rFonts w:asciiTheme="minorBidi" w:hAnsiTheme="minorBidi" w:cstheme="minorBidi"/>
          <w:sz w:val="22"/>
          <w:szCs w:val="22"/>
        </w:rPr>
        <w:t xml:space="preserve"> UK (2023) </w:t>
      </w:r>
      <w:r w:rsidRPr="00231A96">
        <w:rPr>
          <w:rFonts w:asciiTheme="minorBidi" w:hAnsiTheme="minorBidi" w:cstheme="minorBidi"/>
          <w:i/>
          <w:iCs/>
          <w:sz w:val="22"/>
          <w:szCs w:val="22"/>
        </w:rPr>
        <w:t>Plastic bag use falls by more than 98% after charge introduction</w:t>
      </w:r>
      <w:r w:rsidRPr="00231A96">
        <w:rPr>
          <w:rFonts w:asciiTheme="minorBidi" w:hAnsiTheme="minorBidi" w:cstheme="minorBidi"/>
          <w:sz w:val="22"/>
          <w:szCs w:val="22"/>
        </w:rPr>
        <w:t xml:space="preserve">, </w:t>
      </w:r>
      <w:r w:rsidRPr="00231A96">
        <w:rPr>
          <w:rFonts w:asciiTheme="minorBidi" w:hAnsiTheme="minorBidi" w:cstheme="minorBidi"/>
          <w:i/>
          <w:iCs/>
          <w:sz w:val="22"/>
          <w:szCs w:val="22"/>
        </w:rPr>
        <w:t>GOV.UK</w:t>
      </w:r>
      <w:r w:rsidRPr="00231A96">
        <w:rPr>
          <w:rFonts w:asciiTheme="minorBidi" w:hAnsiTheme="minorBidi" w:cstheme="minorBidi"/>
          <w:sz w:val="22"/>
          <w:szCs w:val="22"/>
        </w:rPr>
        <w:t>. Available at: https://www.gov.uk/government/news/plastic-bag-use-falls-by-more-than-98-after-charge-introduction? (Accessed: 22 February 2026).</w:t>
      </w:r>
    </w:p>
    <w:p w14:paraId="3942CB16" w14:textId="77777777" w:rsidR="003550D2" w:rsidRPr="00231A96" w:rsidRDefault="003550D2" w:rsidP="00231A96">
      <w:pPr>
        <w:pStyle w:val="NormalWeb"/>
        <w:spacing w:before="0" w:beforeAutospacing="0" w:after="240" w:afterAutospacing="0" w:line="360" w:lineRule="auto"/>
        <w:jc w:val="both"/>
        <w:rPr>
          <w:rFonts w:asciiTheme="minorBidi" w:hAnsiTheme="minorBidi" w:cstheme="minorBidi"/>
          <w:sz w:val="22"/>
          <w:szCs w:val="22"/>
        </w:rPr>
      </w:pPr>
      <w:proofErr w:type="spellStart"/>
      <w:r w:rsidRPr="00231A96">
        <w:rPr>
          <w:rFonts w:asciiTheme="minorBidi" w:hAnsiTheme="minorBidi" w:cstheme="minorBidi"/>
          <w:sz w:val="22"/>
          <w:szCs w:val="22"/>
        </w:rPr>
        <w:t>Jamwal</w:t>
      </w:r>
      <w:proofErr w:type="spellEnd"/>
      <w:r w:rsidRPr="00231A96">
        <w:rPr>
          <w:rFonts w:asciiTheme="minorBidi" w:hAnsiTheme="minorBidi" w:cstheme="minorBidi"/>
          <w:sz w:val="22"/>
          <w:szCs w:val="22"/>
        </w:rPr>
        <w:t xml:space="preserve">, D. and </w:t>
      </w:r>
      <w:proofErr w:type="spellStart"/>
      <w:r w:rsidRPr="00231A96">
        <w:rPr>
          <w:rFonts w:asciiTheme="minorBidi" w:hAnsiTheme="minorBidi" w:cstheme="minorBidi"/>
          <w:sz w:val="22"/>
          <w:szCs w:val="22"/>
        </w:rPr>
        <w:t>Satsangi</w:t>
      </w:r>
      <w:proofErr w:type="spellEnd"/>
      <w:r w:rsidRPr="00231A96">
        <w:rPr>
          <w:rFonts w:asciiTheme="minorBidi" w:hAnsiTheme="minorBidi" w:cstheme="minorBidi"/>
          <w:sz w:val="22"/>
          <w:szCs w:val="22"/>
        </w:rPr>
        <w:t xml:space="preserve">, R. (2025) ‘Nudge/behavioural-based interventions for reducing polythene bag usage: A case study’, </w:t>
      </w:r>
      <w:proofErr w:type="spellStart"/>
      <w:r w:rsidRPr="00231A96">
        <w:rPr>
          <w:rFonts w:asciiTheme="minorBidi" w:hAnsiTheme="minorBidi" w:cstheme="minorBidi"/>
          <w:i/>
          <w:iCs/>
          <w:sz w:val="22"/>
          <w:szCs w:val="22"/>
        </w:rPr>
        <w:t>Acta</w:t>
      </w:r>
      <w:proofErr w:type="spellEnd"/>
      <w:r w:rsidRPr="00231A96">
        <w:rPr>
          <w:rFonts w:asciiTheme="minorBidi" w:hAnsiTheme="minorBidi" w:cstheme="minorBidi"/>
          <w:i/>
          <w:iCs/>
          <w:sz w:val="22"/>
          <w:szCs w:val="22"/>
        </w:rPr>
        <w:t xml:space="preserve"> </w:t>
      </w:r>
      <w:proofErr w:type="spellStart"/>
      <w:r w:rsidRPr="00231A96">
        <w:rPr>
          <w:rFonts w:asciiTheme="minorBidi" w:hAnsiTheme="minorBidi" w:cstheme="minorBidi"/>
          <w:i/>
          <w:iCs/>
          <w:sz w:val="22"/>
          <w:szCs w:val="22"/>
        </w:rPr>
        <w:t>Psychologica</w:t>
      </w:r>
      <w:proofErr w:type="spellEnd"/>
      <w:r w:rsidRPr="00231A96">
        <w:rPr>
          <w:rFonts w:asciiTheme="minorBidi" w:hAnsiTheme="minorBidi" w:cstheme="minorBidi"/>
          <w:sz w:val="22"/>
          <w:szCs w:val="22"/>
        </w:rPr>
        <w:t>, 258, p. 105163. Available at: https://doi.org/10.1016/j.actpsy.2025.105163.</w:t>
      </w:r>
    </w:p>
    <w:p w14:paraId="5275D638" w14:textId="77777777" w:rsidR="003550D2" w:rsidRPr="00231A96" w:rsidRDefault="003550D2" w:rsidP="00231A96">
      <w:pPr>
        <w:pStyle w:val="NormalWeb"/>
        <w:spacing w:before="0" w:beforeAutospacing="0" w:after="240" w:afterAutospacing="0" w:line="360" w:lineRule="auto"/>
        <w:jc w:val="both"/>
        <w:rPr>
          <w:rFonts w:asciiTheme="minorBidi" w:hAnsiTheme="minorBidi" w:cstheme="minorBidi"/>
          <w:sz w:val="22"/>
          <w:szCs w:val="22"/>
        </w:rPr>
      </w:pPr>
      <w:proofErr w:type="spellStart"/>
      <w:r w:rsidRPr="00231A96">
        <w:rPr>
          <w:rFonts w:asciiTheme="minorBidi" w:hAnsiTheme="minorBidi" w:cstheme="minorBidi"/>
          <w:sz w:val="22"/>
          <w:szCs w:val="22"/>
        </w:rPr>
        <w:t>Macassa</w:t>
      </w:r>
      <w:proofErr w:type="spellEnd"/>
      <w:r w:rsidRPr="00231A96">
        <w:rPr>
          <w:rFonts w:asciiTheme="minorBidi" w:hAnsiTheme="minorBidi" w:cstheme="minorBidi"/>
          <w:sz w:val="22"/>
          <w:szCs w:val="22"/>
        </w:rPr>
        <w:t xml:space="preserve">, G. (2021) ‘Can sustainable health behaviour contribute to ensure healthy lives and wellbeing for all at all ages (SDG 3)? A viewpoint’, </w:t>
      </w:r>
      <w:r w:rsidRPr="00231A96">
        <w:rPr>
          <w:rFonts w:asciiTheme="minorBidi" w:hAnsiTheme="minorBidi" w:cstheme="minorBidi"/>
          <w:i/>
          <w:iCs/>
          <w:sz w:val="22"/>
          <w:szCs w:val="22"/>
        </w:rPr>
        <w:t>Journal of Public Health Research</w:t>
      </w:r>
      <w:r w:rsidRPr="00231A96">
        <w:rPr>
          <w:rFonts w:asciiTheme="minorBidi" w:hAnsiTheme="minorBidi" w:cstheme="minorBidi"/>
          <w:sz w:val="22"/>
          <w:szCs w:val="22"/>
        </w:rPr>
        <w:t>, 10(3). Available at: https://doi.org/10.4081/jphr.2021.2051.</w:t>
      </w:r>
    </w:p>
    <w:p w14:paraId="0DA80A46" w14:textId="77777777" w:rsidR="003550D2" w:rsidRPr="00231A96" w:rsidRDefault="003550D2" w:rsidP="00231A96">
      <w:pPr>
        <w:pStyle w:val="NormalWeb"/>
        <w:spacing w:before="0" w:beforeAutospacing="0" w:after="240" w:afterAutospacing="0" w:line="360" w:lineRule="auto"/>
        <w:jc w:val="both"/>
        <w:rPr>
          <w:rFonts w:asciiTheme="minorBidi" w:hAnsiTheme="minorBidi" w:cstheme="minorBidi"/>
          <w:sz w:val="22"/>
          <w:szCs w:val="22"/>
        </w:rPr>
      </w:pPr>
      <w:proofErr w:type="spellStart"/>
      <w:r w:rsidRPr="00231A96">
        <w:rPr>
          <w:rFonts w:asciiTheme="minorBidi" w:hAnsiTheme="minorBidi" w:cstheme="minorBidi"/>
          <w:sz w:val="22"/>
          <w:szCs w:val="22"/>
        </w:rPr>
        <w:t>Mialon</w:t>
      </w:r>
      <w:proofErr w:type="spellEnd"/>
      <w:r w:rsidRPr="00231A96">
        <w:rPr>
          <w:rFonts w:asciiTheme="minorBidi" w:hAnsiTheme="minorBidi" w:cstheme="minorBidi"/>
          <w:sz w:val="22"/>
          <w:szCs w:val="22"/>
        </w:rPr>
        <w:t xml:space="preserve">, M. (2024) ‘The Food industry barrier to achieving the SDGs’, </w:t>
      </w:r>
      <w:r w:rsidRPr="00231A96">
        <w:rPr>
          <w:rFonts w:asciiTheme="minorBidi" w:hAnsiTheme="minorBidi" w:cstheme="minorBidi"/>
          <w:i/>
          <w:iCs/>
          <w:sz w:val="22"/>
          <w:szCs w:val="22"/>
        </w:rPr>
        <w:t>European Journal of Public Health</w:t>
      </w:r>
      <w:r w:rsidRPr="00231A96">
        <w:rPr>
          <w:rFonts w:asciiTheme="minorBidi" w:hAnsiTheme="minorBidi" w:cstheme="minorBidi"/>
          <w:sz w:val="22"/>
          <w:szCs w:val="22"/>
        </w:rPr>
        <w:t>, 34(Supplement_3). Available at: https://doi.org/10.1093/eurpub/ckae144.422.</w:t>
      </w:r>
    </w:p>
    <w:p w14:paraId="029ED070" w14:textId="77777777" w:rsidR="003550D2" w:rsidRPr="00231A96" w:rsidRDefault="003550D2" w:rsidP="00231A96">
      <w:pPr>
        <w:pStyle w:val="NormalWeb"/>
        <w:spacing w:before="0" w:beforeAutospacing="0" w:after="240" w:afterAutospacing="0" w:line="360" w:lineRule="auto"/>
        <w:jc w:val="both"/>
        <w:rPr>
          <w:rFonts w:asciiTheme="minorBidi" w:hAnsiTheme="minorBidi" w:cstheme="minorBidi"/>
          <w:sz w:val="22"/>
          <w:szCs w:val="22"/>
        </w:rPr>
      </w:pPr>
      <w:r w:rsidRPr="00231A96">
        <w:rPr>
          <w:rFonts w:asciiTheme="minorBidi" w:hAnsiTheme="minorBidi" w:cstheme="minorBidi"/>
          <w:sz w:val="22"/>
          <w:szCs w:val="22"/>
        </w:rPr>
        <w:t xml:space="preserve">Ministry of Climate Change (2023) </w:t>
      </w:r>
      <w:r w:rsidRPr="00231A96">
        <w:rPr>
          <w:rFonts w:asciiTheme="minorBidi" w:hAnsiTheme="minorBidi" w:cstheme="minorBidi"/>
          <w:i/>
          <w:iCs/>
          <w:sz w:val="22"/>
          <w:szCs w:val="22"/>
        </w:rPr>
        <w:t>Single-use Plastics (Prohibition) Regulations, 2023</w:t>
      </w:r>
      <w:r w:rsidRPr="00231A96">
        <w:rPr>
          <w:rFonts w:asciiTheme="minorBidi" w:hAnsiTheme="minorBidi" w:cstheme="minorBidi"/>
          <w:sz w:val="22"/>
          <w:szCs w:val="22"/>
        </w:rPr>
        <w:t xml:space="preserve">, </w:t>
      </w:r>
      <w:proofErr w:type="spellStart"/>
      <w:r w:rsidRPr="00231A96">
        <w:rPr>
          <w:rFonts w:asciiTheme="minorBidi" w:hAnsiTheme="minorBidi" w:cstheme="minorBidi"/>
          <w:i/>
          <w:iCs/>
          <w:sz w:val="22"/>
          <w:szCs w:val="22"/>
        </w:rPr>
        <w:t>Mocc.gov.pk</w:t>
      </w:r>
      <w:proofErr w:type="spellEnd"/>
      <w:r w:rsidRPr="00231A96">
        <w:rPr>
          <w:rFonts w:asciiTheme="minorBidi" w:hAnsiTheme="minorBidi" w:cstheme="minorBidi"/>
          <w:sz w:val="22"/>
          <w:szCs w:val="22"/>
        </w:rPr>
        <w:t>. Available at: https://www.mocc.gov.pk/PublicationDetail/Mzk2ZmQ1ZTAtMzA2Ny00NjFlLWFlOWYtMGU1MDI1MmQ4YWUy (Accessed: 22 February 2026).</w:t>
      </w:r>
    </w:p>
    <w:p w14:paraId="21AF0439" w14:textId="77777777" w:rsidR="003550D2" w:rsidRPr="00231A96" w:rsidRDefault="003550D2" w:rsidP="00231A96">
      <w:pPr>
        <w:pStyle w:val="NormalWeb"/>
        <w:spacing w:before="0" w:beforeAutospacing="0" w:after="240" w:afterAutospacing="0" w:line="360" w:lineRule="auto"/>
        <w:jc w:val="both"/>
        <w:rPr>
          <w:rFonts w:asciiTheme="minorBidi" w:hAnsiTheme="minorBidi" w:cstheme="minorBidi"/>
          <w:sz w:val="22"/>
          <w:szCs w:val="22"/>
        </w:rPr>
      </w:pPr>
      <w:proofErr w:type="spellStart"/>
      <w:r w:rsidRPr="00231A96">
        <w:rPr>
          <w:rFonts w:asciiTheme="minorBidi" w:hAnsiTheme="minorBidi" w:cstheme="minorBidi"/>
          <w:sz w:val="22"/>
          <w:szCs w:val="22"/>
        </w:rPr>
        <w:t>Noonin</w:t>
      </w:r>
      <w:proofErr w:type="spellEnd"/>
      <w:r w:rsidRPr="00231A96">
        <w:rPr>
          <w:rFonts w:asciiTheme="minorBidi" w:hAnsiTheme="minorBidi" w:cstheme="minorBidi"/>
          <w:sz w:val="22"/>
          <w:szCs w:val="22"/>
        </w:rPr>
        <w:t xml:space="preserve">, S. and </w:t>
      </w:r>
      <w:proofErr w:type="spellStart"/>
      <w:r w:rsidRPr="00231A96">
        <w:rPr>
          <w:rFonts w:asciiTheme="minorBidi" w:hAnsiTheme="minorBidi" w:cstheme="minorBidi"/>
          <w:sz w:val="22"/>
          <w:szCs w:val="22"/>
        </w:rPr>
        <w:t>Phuangprayong</w:t>
      </w:r>
      <w:proofErr w:type="spellEnd"/>
      <w:r w:rsidRPr="00231A96">
        <w:rPr>
          <w:rFonts w:asciiTheme="minorBidi" w:hAnsiTheme="minorBidi" w:cstheme="minorBidi"/>
          <w:sz w:val="22"/>
          <w:szCs w:val="22"/>
        </w:rPr>
        <w:t xml:space="preserve">, K. (2025) ‘Linking corporate social responsibility and sustainable development goals: The role of organisational factors in Thailand’s industrial sector’, </w:t>
      </w:r>
      <w:r w:rsidRPr="00231A96">
        <w:rPr>
          <w:rFonts w:asciiTheme="minorBidi" w:hAnsiTheme="minorBidi" w:cstheme="minorBidi"/>
          <w:i/>
          <w:iCs/>
          <w:sz w:val="22"/>
          <w:szCs w:val="22"/>
        </w:rPr>
        <w:t>Social Sciences &amp; Humanities Open</w:t>
      </w:r>
      <w:r w:rsidRPr="00231A96">
        <w:rPr>
          <w:rFonts w:asciiTheme="minorBidi" w:hAnsiTheme="minorBidi" w:cstheme="minorBidi"/>
          <w:sz w:val="22"/>
          <w:szCs w:val="22"/>
        </w:rPr>
        <w:t>, 12, p. 102173. Available at: https://doi.org/10.1016/j.ssaho.2025.102173.</w:t>
      </w:r>
    </w:p>
    <w:p w14:paraId="5241C6A4" w14:textId="77777777" w:rsidR="003550D2" w:rsidRPr="00231A96" w:rsidRDefault="003550D2" w:rsidP="00231A96">
      <w:pPr>
        <w:pStyle w:val="NormalWeb"/>
        <w:spacing w:before="0" w:beforeAutospacing="0" w:after="240" w:afterAutospacing="0" w:line="360" w:lineRule="auto"/>
        <w:jc w:val="both"/>
        <w:rPr>
          <w:rFonts w:asciiTheme="minorBidi" w:hAnsiTheme="minorBidi" w:cstheme="minorBidi"/>
          <w:sz w:val="22"/>
          <w:szCs w:val="22"/>
        </w:rPr>
      </w:pPr>
      <w:proofErr w:type="spellStart"/>
      <w:r w:rsidRPr="00231A96">
        <w:rPr>
          <w:rFonts w:asciiTheme="minorBidi" w:hAnsiTheme="minorBidi" w:cstheme="minorBidi"/>
          <w:sz w:val="22"/>
          <w:szCs w:val="22"/>
        </w:rPr>
        <w:t>Nyaaba</w:t>
      </w:r>
      <w:proofErr w:type="spellEnd"/>
      <w:r w:rsidRPr="00231A96">
        <w:rPr>
          <w:rFonts w:asciiTheme="minorBidi" w:hAnsiTheme="minorBidi" w:cstheme="minorBidi"/>
          <w:sz w:val="22"/>
          <w:szCs w:val="22"/>
        </w:rPr>
        <w:t xml:space="preserve">, G.N. </w:t>
      </w:r>
      <w:r w:rsidRPr="00231A96">
        <w:rPr>
          <w:rFonts w:asciiTheme="minorBidi" w:hAnsiTheme="minorBidi" w:cstheme="minorBidi"/>
          <w:i/>
          <w:iCs/>
          <w:sz w:val="22"/>
          <w:szCs w:val="22"/>
        </w:rPr>
        <w:t>et al.</w:t>
      </w:r>
      <w:r w:rsidRPr="00231A96">
        <w:rPr>
          <w:rFonts w:asciiTheme="minorBidi" w:hAnsiTheme="minorBidi" w:cstheme="minorBidi"/>
          <w:sz w:val="22"/>
          <w:szCs w:val="22"/>
        </w:rPr>
        <w:t xml:space="preserve"> (2017) ‘Tracing Africa’s progress towards implementing the Non-Communicable Diseases Global action plan 2013–2020: a synthesis of WHO country profile reports’, </w:t>
      </w:r>
      <w:r w:rsidRPr="00231A96">
        <w:rPr>
          <w:rFonts w:asciiTheme="minorBidi" w:hAnsiTheme="minorBidi" w:cstheme="minorBidi"/>
          <w:i/>
          <w:iCs/>
          <w:sz w:val="22"/>
          <w:szCs w:val="22"/>
        </w:rPr>
        <w:t>BMC Public Health</w:t>
      </w:r>
      <w:r w:rsidRPr="00231A96">
        <w:rPr>
          <w:rFonts w:asciiTheme="minorBidi" w:hAnsiTheme="minorBidi" w:cstheme="minorBidi"/>
          <w:sz w:val="22"/>
          <w:szCs w:val="22"/>
        </w:rPr>
        <w:t>, 17(1). Available at: https://doi.org/10.1186/s12889-017-4199-6.</w:t>
      </w:r>
    </w:p>
    <w:p w14:paraId="406E5A72" w14:textId="77777777" w:rsidR="003550D2" w:rsidRPr="00231A96" w:rsidRDefault="003550D2" w:rsidP="00231A96">
      <w:pPr>
        <w:pStyle w:val="NormalWeb"/>
        <w:spacing w:before="0" w:beforeAutospacing="0" w:after="240" w:afterAutospacing="0" w:line="360" w:lineRule="auto"/>
        <w:jc w:val="both"/>
        <w:rPr>
          <w:rFonts w:asciiTheme="minorBidi" w:hAnsiTheme="minorBidi" w:cstheme="minorBidi"/>
          <w:sz w:val="22"/>
          <w:szCs w:val="22"/>
        </w:rPr>
      </w:pPr>
      <w:r w:rsidRPr="00231A96">
        <w:rPr>
          <w:rFonts w:asciiTheme="minorBidi" w:hAnsiTheme="minorBidi" w:cstheme="minorBidi"/>
          <w:sz w:val="22"/>
          <w:szCs w:val="22"/>
        </w:rPr>
        <w:t xml:space="preserve">OECD (2024) </w:t>
      </w:r>
      <w:r w:rsidRPr="00231A96">
        <w:rPr>
          <w:rFonts w:asciiTheme="minorBidi" w:hAnsiTheme="minorBidi" w:cstheme="minorBidi"/>
          <w:i/>
          <w:iCs/>
          <w:sz w:val="22"/>
          <w:szCs w:val="22"/>
        </w:rPr>
        <w:t>Extended Producer Responsibility: Basic facts and key principles OECD ENVIRONMENT POLICY PAPER NO. 41</w:t>
      </w:r>
      <w:r w:rsidRPr="00231A96">
        <w:rPr>
          <w:rFonts w:asciiTheme="minorBidi" w:hAnsiTheme="minorBidi" w:cstheme="minorBidi"/>
          <w:sz w:val="22"/>
          <w:szCs w:val="22"/>
        </w:rPr>
        <w:t>. Available at: https://www.oecd.org/content/dam/oecd/en/publications/reports/2024/04/extended-producer-responsibility_4274765d/67587b0b-en.pdf (Accessed: 22 February 2026).</w:t>
      </w:r>
    </w:p>
    <w:p w14:paraId="1839F24F" w14:textId="77777777" w:rsidR="003550D2" w:rsidRPr="00231A96" w:rsidRDefault="003550D2" w:rsidP="00231A96">
      <w:pPr>
        <w:pStyle w:val="NormalWeb"/>
        <w:spacing w:before="0" w:beforeAutospacing="0" w:after="240" w:afterAutospacing="0" w:line="360" w:lineRule="auto"/>
        <w:jc w:val="both"/>
        <w:rPr>
          <w:rFonts w:asciiTheme="minorBidi" w:hAnsiTheme="minorBidi" w:cstheme="minorBidi"/>
          <w:sz w:val="22"/>
          <w:szCs w:val="22"/>
        </w:rPr>
      </w:pPr>
      <w:proofErr w:type="spellStart"/>
      <w:r w:rsidRPr="00231A96">
        <w:rPr>
          <w:rFonts w:asciiTheme="minorBidi" w:hAnsiTheme="minorBidi" w:cstheme="minorBidi"/>
          <w:sz w:val="22"/>
          <w:szCs w:val="22"/>
        </w:rPr>
        <w:t>PackUK</w:t>
      </w:r>
      <w:proofErr w:type="spellEnd"/>
      <w:r w:rsidRPr="00231A96">
        <w:rPr>
          <w:rFonts w:asciiTheme="minorBidi" w:hAnsiTheme="minorBidi" w:cstheme="minorBidi"/>
          <w:sz w:val="22"/>
          <w:szCs w:val="22"/>
        </w:rPr>
        <w:t xml:space="preserve"> (2026) </w:t>
      </w:r>
      <w:proofErr w:type="spellStart"/>
      <w:r w:rsidRPr="00231A96">
        <w:rPr>
          <w:rFonts w:asciiTheme="minorBidi" w:hAnsiTheme="minorBidi" w:cstheme="minorBidi"/>
          <w:i/>
          <w:iCs/>
          <w:sz w:val="22"/>
          <w:szCs w:val="22"/>
        </w:rPr>
        <w:t>PackUK</w:t>
      </w:r>
      <w:proofErr w:type="spellEnd"/>
      <w:r w:rsidRPr="00231A96">
        <w:rPr>
          <w:rFonts w:asciiTheme="minorBidi" w:hAnsiTheme="minorBidi" w:cstheme="minorBidi"/>
          <w:i/>
          <w:iCs/>
          <w:sz w:val="22"/>
          <w:szCs w:val="22"/>
        </w:rPr>
        <w:t xml:space="preserve"> extended producer responsibility (EPR) for packaging: producer disposal fees modulation statement</w:t>
      </w:r>
      <w:r w:rsidRPr="00231A96">
        <w:rPr>
          <w:rFonts w:asciiTheme="minorBidi" w:hAnsiTheme="minorBidi" w:cstheme="minorBidi"/>
          <w:sz w:val="22"/>
          <w:szCs w:val="22"/>
        </w:rPr>
        <w:t xml:space="preserve">, </w:t>
      </w:r>
      <w:r w:rsidRPr="00231A96">
        <w:rPr>
          <w:rFonts w:asciiTheme="minorBidi" w:hAnsiTheme="minorBidi" w:cstheme="minorBidi"/>
          <w:i/>
          <w:iCs/>
          <w:sz w:val="22"/>
          <w:szCs w:val="22"/>
        </w:rPr>
        <w:t>GOV.UK</w:t>
      </w:r>
      <w:r w:rsidRPr="00231A96">
        <w:rPr>
          <w:rFonts w:asciiTheme="minorBidi" w:hAnsiTheme="minorBidi" w:cstheme="minorBidi"/>
          <w:sz w:val="22"/>
          <w:szCs w:val="22"/>
        </w:rPr>
        <w:t>. Available at: https://www.gov.uk/government/publications/extended-producer-responsibility-for-packaging-modulated-disposal-fees/packuk-extended-producer-responsibility-epr-for-packaging-producer-disposal-fees-modulation-statement (Accessed: 22 February 2026).</w:t>
      </w:r>
    </w:p>
    <w:p w14:paraId="02118A0F" w14:textId="77777777" w:rsidR="003550D2" w:rsidRPr="00231A96" w:rsidRDefault="003550D2" w:rsidP="00231A96">
      <w:pPr>
        <w:pStyle w:val="NormalWeb"/>
        <w:spacing w:before="0" w:beforeAutospacing="0" w:after="240" w:afterAutospacing="0" w:line="360" w:lineRule="auto"/>
        <w:jc w:val="both"/>
        <w:rPr>
          <w:rFonts w:asciiTheme="minorBidi" w:hAnsiTheme="minorBidi" w:cstheme="minorBidi"/>
          <w:sz w:val="22"/>
          <w:szCs w:val="22"/>
        </w:rPr>
      </w:pPr>
      <w:r w:rsidRPr="00231A96">
        <w:rPr>
          <w:rFonts w:asciiTheme="minorBidi" w:hAnsiTheme="minorBidi" w:cstheme="minorBidi"/>
          <w:sz w:val="22"/>
          <w:szCs w:val="22"/>
        </w:rPr>
        <w:t xml:space="preserve">Raman, R., </w:t>
      </w:r>
      <w:proofErr w:type="spellStart"/>
      <w:r w:rsidRPr="00231A96">
        <w:rPr>
          <w:rFonts w:asciiTheme="minorBidi" w:hAnsiTheme="minorBidi" w:cstheme="minorBidi"/>
          <w:sz w:val="22"/>
          <w:szCs w:val="22"/>
        </w:rPr>
        <w:t>Lathabai</w:t>
      </w:r>
      <w:proofErr w:type="spellEnd"/>
      <w:r w:rsidRPr="00231A96">
        <w:rPr>
          <w:rFonts w:asciiTheme="minorBidi" w:hAnsiTheme="minorBidi" w:cstheme="minorBidi"/>
          <w:sz w:val="22"/>
          <w:szCs w:val="22"/>
        </w:rPr>
        <w:t xml:space="preserve">, H.H. and </w:t>
      </w:r>
      <w:proofErr w:type="spellStart"/>
      <w:r w:rsidRPr="00231A96">
        <w:rPr>
          <w:rFonts w:asciiTheme="minorBidi" w:hAnsiTheme="minorBidi" w:cstheme="minorBidi"/>
          <w:sz w:val="22"/>
          <w:szCs w:val="22"/>
        </w:rPr>
        <w:t>Nedungadi</w:t>
      </w:r>
      <w:proofErr w:type="spellEnd"/>
      <w:r w:rsidRPr="00231A96">
        <w:rPr>
          <w:rFonts w:asciiTheme="minorBidi" w:hAnsiTheme="minorBidi" w:cstheme="minorBidi"/>
          <w:sz w:val="22"/>
          <w:szCs w:val="22"/>
        </w:rPr>
        <w:t xml:space="preserve">, P. (2024) ‘Sustainable development goal 12 and its synergies with other SDGs: identification of key research contributions and policy insights’, </w:t>
      </w:r>
      <w:r w:rsidRPr="00231A96">
        <w:rPr>
          <w:rFonts w:asciiTheme="minorBidi" w:hAnsiTheme="minorBidi" w:cstheme="minorBidi"/>
          <w:i/>
          <w:iCs/>
          <w:sz w:val="22"/>
          <w:szCs w:val="22"/>
        </w:rPr>
        <w:t>Discover sustainability</w:t>
      </w:r>
      <w:r w:rsidRPr="00231A96">
        <w:rPr>
          <w:rFonts w:asciiTheme="minorBidi" w:hAnsiTheme="minorBidi" w:cstheme="minorBidi"/>
          <w:sz w:val="22"/>
          <w:szCs w:val="22"/>
        </w:rPr>
        <w:t>, 5(1). Available at: https://doi.org/10.1007/s43621-024-00289-0.</w:t>
      </w:r>
    </w:p>
    <w:p w14:paraId="75EA0E41" w14:textId="77777777" w:rsidR="003550D2" w:rsidRPr="00231A96" w:rsidRDefault="003550D2" w:rsidP="00231A96">
      <w:pPr>
        <w:pStyle w:val="NormalWeb"/>
        <w:spacing w:before="0" w:beforeAutospacing="0" w:after="240" w:afterAutospacing="0" w:line="360" w:lineRule="auto"/>
        <w:jc w:val="both"/>
        <w:rPr>
          <w:rFonts w:asciiTheme="minorBidi" w:hAnsiTheme="minorBidi" w:cstheme="minorBidi"/>
          <w:sz w:val="22"/>
          <w:szCs w:val="22"/>
        </w:rPr>
      </w:pPr>
      <w:r w:rsidRPr="00231A96">
        <w:rPr>
          <w:rFonts w:asciiTheme="minorBidi" w:hAnsiTheme="minorBidi" w:cstheme="minorBidi"/>
          <w:sz w:val="22"/>
          <w:szCs w:val="22"/>
        </w:rPr>
        <w:t xml:space="preserve">Rogers, N.T. </w:t>
      </w:r>
      <w:r w:rsidRPr="00231A96">
        <w:rPr>
          <w:rFonts w:asciiTheme="minorBidi" w:hAnsiTheme="minorBidi" w:cstheme="minorBidi"/>
          <w:i/>
          <w:iCs/>
          <w:sz w:val="22"/>
          <w:szCs w:val="22"/>
        </w:rPr>
        <w:t>et al.</w:t>
      </w:r>
      <w:r w:rsidRPr="00231A96">
        <w:rPr>
          <w:rFonts w:asciiTheme="minorBidi" w:hAnsiTheme="minorBidi" w:cstheme="minorBidi"/>
          <w:sz w:val="22"/>
          <w:szCs w:val="22"/>
        </w:rPr>
        <w:t xml:space="preserve"> (2023) ‘Changes in soft drinks purchased by British households associated with the UK soft drinks industry levy: a controlled interrupted time series analysis’, </w:t>
      </w:r>
      <w:r w:rsidRPr="00231A96">
        <w:rPr>
          <w:rFonts w:asciiTheme="minorBidi" w:hAnsiTheme="minorBidi" w:cstheme="minorBidi"/>
          <w:i/>
          <w:iCs/>
          <w:sz w:val="22"/>
          <w:szCs w:val="22"/>
        </w:rPr>
        <w:t>BMJ Open</w:t>
      </w:r>
      <w:r w:rsidRPr="00231A96">
        <w:rPr>
          <w:rFonts w:asciiTheme="minorBidi" w:hAnsiTheme="minorBidi" w:cstheme="minorBidi"/>
          <w:sz w:val="22"/>
          <w:szCs w:val="22"/>
        </w:rPr>
        <w:t>, 13(12), p. e077059. Available at: https://doi.org/10.1136/bmjopen-2023-077059.</w:t>
      </w:r>
    </w:p>
    <w:p w14:paraId="2F31C548" w14:textId="77777777" w:rsidR="003550D2" w:rsidRPr="00231A96" w:rsidRDefault="003550D2" w:rsidP="00231A96">
      <w:pPr>
        <w:pStyle w:val="NormalWeb"/>
        <w:spacing w:before="0" w:beforeAutospacing="0" w:after="240" w:afterAutospacing="0" w:line="360" w:lineRule="auto"/>
        <w:jc w:val="both"/>
        <w:rPr>
          <w:rFonts w:asciiTheme="minorBidi" w:hAnsiTheme="minorBidi" w:cstheme="minorBidi"/>
          <w:sz w:val="22"/>
          <w:szCs w:val="22"/>
        </w:rPr>
      </w:pPr>
      <w:proofErr w:type="spellStart"/>
      <w:r w:rsidRPr="00231A96">
        <w:rPr>
          <w:rFonts w:asciiTheme="minorBidi" w:hAnsiTheme="minorBidi" w:cstheme="minorBidi"/>
          <w:sz w:val="22"/>
          <w:szCs w:val="22"/>
        </w:rPr>
        <w:t>Setyadi</w:t>
      </w:r>
      <w:proofErr w:type="spellEnd"/>
      <w:r w:rsidRPr="00231A96">
        <w:rPr>
          <w:rFonts w:asciiTheme="minorBidi" w:hAnsiTheme="minorBidi" w:cstheme="minorBidi"/>
          <w:sz w:val="22"/>
          <w:szCs w:val="22"/>
        </w:rPr>
        <w:t xml:space="preserve">, A., </w:t>
      </w:r>
      <w:proofErr w:type="spellStart"/>
      <w:r w:rsidRPr="00231A96">
        <w:rPr>
          <w:rFonts w:asciiTheme="minorBidi" w:hAnsiTheme="minorBidi" w:cstheme="minorBidi"/>
          <w:sz w:val="22"/>
          <w:szCs w:val="22"/>
        </w:rPr>
        <w:t>Pawirosumarto</w:t>
      </w:r>
      <w:proofErr w:type="spellEnd"/>
      <w:r w:rsidRPr="00231A96">
        <w:rPr>
          <w:rFonts w:asciiTheme="minorBidi" w:hAnsiTheme="minorBidi" w:cstheme="minorBidi"/>
          <w:sz w:val="22"/>
          <w:szCs w:val="22"/>
        </w:rPr>
        <w:t xml:space="preserve">, S. and Damaris, A. (2025) ‘Rethinking Sustainable Operations: A Multi-Level Integration of Circularity, Localization, and Digital Resilience in Manufacturing Systems’, </w:t>
      </w:r>
      <w:r w:rsidRPr="00231A96">
        <w:rPr>
          <w:rFonts w:asciiTheme="minorBidi" w:hAnsiTheme="minorBidi" w:cstheme="minorBidi"/>
          <w:i/>
          <w:iCs/>
          <w:sz w:val="22"/>
          <w:szCs w:val="22"/>
        </w:rPr>
        <w:t>Sustainability</w:t>
      </w:r>
      <w:r w:rsidRPr="00231A96">
        <w:rPr>
          <w:rFonts w:asciiTheme="minorBidi" w:hAnsiTheme="minorBidi" w:cstheme="minorBidi"/>
          <w:sz w:val="22"/>
          <w:szCs w:val="22"/>
        </w:rPr>
        <w:t>, 17(15), pp. 6929–6929. Available at: https://doi.org/10.3390/su17156929.</w:t>
      </w:r>
    </w:p>
    <w:p w14:paraId="3D5A627B" w14:textId="77777777" w:rsidR="003550D2" w:rsidRPr="00231A96" w:rsidRDefault="003550D2" w:rsidP="00231A96">
      <w:pPr>
        <w:pStyle w:val="NormalWeb"/>
        <w:spacing w:before="0" w:beforeAutospacing="0" w:after="240" w:afterAutospacing="0" w:line="360" w:lineRule="auto"/>
        <w:jc w:val="both"/>
        <w:rPr>
          <w:rFonts w:asciiTheme="minorBidi" w:hAnsiTheme="minorBidi" w:cstheme="minorBidi"/>
          <w:sz w:val="22"/>
          <w:szCs w:val="22"/>
        </w:rPr>
      </w:pPr>
      <w:r w:rsidRPr="00231A96">
        <w:rPr>
          <w:rFonts w:asciiTheme="minorBidi" w:hAnsiTheme="minorBidi" w:cstheme="minorBidi"/>
          <w:sz w:val="22"/>
          <w:szCs w:val="22"/>
        </w:rPr>
        <w:t xml:space="preserve">Tan, J., Tan, F.J. and Ramakrishna, S. (2022) ‘Transitioning to a Circular Economy: A Systematic Review of Its Drivers and Barriers’, </w:t>
      </w:r>
      <w:r w:rsidRPr="00231A96">
        <w:rPr>
          <w:rFonts w:asciiTheme="minorBidi" w:hAnsiTheme="minorBidi" w:cstheme="minorBidi"/>
          <w:i/>
          <w:iCs/>
          <w:sz w:val="22"/>
          <w:szCs w:val="22"/>
        </w:rPr>
        <w:t>Sustainability</w:t>
      </w:r>
      <w:r w:rsidRPr="00231A96">
        <w:rPr>
          <w:rFonts w:asciiTheme="minorBidi" w:hAnsiTheme="minorBidi" w:cstheme="minorBidi"/>
          <w:sz w:val="22"/>
          <w:szCs w:val="22"/>
        </w:rPr>
        <w:t>, 14(3), p. 1757. Available at: https://doi.org/10.3390/su14031757.</w:t>
      </w:r>
    </w:p>
    <w:p w14:paraId="4F80DBC7" w14:textId="77777777" w:rsidR="003550D2" w:rsidRPr="00231A96" w:rsidRDefault="003550D2" w:rsidP="00231A96">
      <w:pPr>
        <w:pStyle w:val="NormalWeb"/>
        <w:spacing w:before="0" w:beforeAutospacing="0" w:after="240" w:afterAutospacing="0" w:line="360" w:lineRule="auto"/>
        <w:jc w:val="both"/>
        <w:rPr>
          <w:rFonts w:asciiTheme="minorBidi" w:hAnsiTheme="minorBidi" w:cstheme="minorBidi"/>
          <w:sz w:val="22"/>
          <w:szCs w:val="22"/>
        </w:rPr>
      </w:pPr>
      <w:r w:rsidRPr="00231A96">
        <w:rPr>
          <w:rFonts w:asciiTheme="minorBidi" w:hAnsiTheme="minorBidi" w:cstheme="minorBidi"/>
          <w:sz w:val="22"/>
          <w:szCs w:val="22"/>
        </w:rPr>
        <w:t xml:space="preserve">United Nations (2015) </w:t>
      </w:r>
      <w:r w:rsidRPr="00231A96">
        <w:rPr>
          <w:rFonts w:asciiTheme="minorBidi" w:hAnsiTheme="minorBidi" w:cstheme="minorBidi"/>
          <w:i/>
          <w:iCs/>
          <w:sz w:val="22"/>
          <w:szCs w:val="22"/>
        </w:rPr>
        <w:t>The 17 sustainable development goals</w:t>
      </w:r>
      <w:r w:rsidRPr="00231A96">
        <w:rPr>
          <w:rFonts w:asciiTheme="minorBidi" w:hAnsiTheme="minorBidi" w:cstheme="minorBidi"/>
          <w:sz w:val="22"/>
          <w:szCs w:val="22"/>
        </w:rPr>
        <w:t xml:space="preserve">, </w:t>
      </w:r>
      <w:r w:rsidRPr="00231A96">
        <w:rPr>
          <w:rFonts w:asciiTheme="minorBidi" w:hAnsiTheme="minorBidi" w:cstheme="minorBidi"/>
          <w:i/>
          <w:iCs/>
          <w:sz w:val="22"/>
          <w:szCs w:val="22"/>
        </w:rPr>
        <w:t>United Nations</w:t>
      </w:r>
      <w:r w:rsidRPr="00231A96">
        <w:rPr>
          <w:rFonts w:asciiTheme="minorBidi" w:hAnsiTheme="minorBidi" w:cstheme="minorBidi"/>
          <w:sz w:val="22"/>
          <w:szCs w:val="22"/>
        </w:rPr>
        <w:t>. Available at: https://sdgs.un.org/goals (Accessed: 22 February 2026).</w:t>
      </w:r>
    </w:p>
    <w:p w14:paraId="1D7C4BFE" w14:textId="77777777" w:rsidR="003550D2" w:rsidRPr="00231A96" w:rsidRDefault="003550D2" w:rsidP="00231A96">
      <w:pPr>
        <w:pStyle w:val="NormalWeb"/>
        <w:spacing w:before="0" w:beforeAutospacing="0" w:after="240" w:afterAutospacing="0" w:line="360" w:lineRule="auto"/>
        <w:jc w:val="both"/>
        <w:rPr>
          <w:rFonts w:asciiTheme="minorBidi" w:hAnsiTheme="minorBidi" w:cstheme="minorBidi"/>
          <w:sz w:val="22"/>
          <w:szCs w:val="22"/>
        </w:rPr>
      </w:pPr>
      <w:r w:rsidRPr="00231A96">
        <w:rPr>
          <w:rFonts w:asciiTheme="minorBidi" w:hAnsiTheme="minorBidi" w:cstheme="minorBidi"/>
          <w:sz w:val="22"/>
          <w:szCs w:val="22"/>
        </w:rPr>
        <w:t xml:space="preserve">WHO (2020) </w:t>
      </w:r>
      <w:r w:rsidRPr="00231A96">
        <w:rPr>
          <w:rFonts w:asciiTheme="minorBidi" w:hAnsiTheme="minorBidi" w:cstheme="minorBidi"/>
          <w:i/>
          <w:iCs/>
          <w:sz w:val="22"/>
          <w:szCs w:val="22"/>
        </w:rPr>
        <w:t xml:space="preserve">Mid-point evaluation of the implementation of the WHO global action plan for the prevention and control of </w:t>
      </w:r>
      <w:proofErr w:type="spellStart"/>
      <w:r w:rsidRPr="00231A96">
        <w:rPr>
          <w:rFonts w:asciiTheme="minorBidi" w:hAnsiTheme="minorBidi" w:cstheme="minorBidi"/>
          <w:i/>
          <w:iCs/>
          <w:sz w:val="22"/>
          <w:szCs w:val="22"/>
        </w:rPr>
        <w:t>noncommunicable</w:t>
      </w:r>
      <w:proofErr w:type="spellEnd"/>
      <w:r w:rsidRPr="00231A96">
        <w:rPr>
          <w:rFonts w:asciiTheme="minorBidi" w:hAnsiTheme="minorBidi" w:cstheme="minorBidi"/>
          <w:i/>
          <w:iCs/>
          <w:sz w:val="22"/>
          <w:szCs w:val="22"/>
        </w:rPr>
        <w:t xml:space="preserve"> diseases 2013-2020 (NCD-GAP)</w:t>
      </w:r>
      <w:r w:rsidRPr="00231A96">
        <w:rPr>
          <w:rFonts w:asciiTheme="minorBidi" w:hAnsiTheme="minorBidi" w:cstheme="minorBidi"/>
          <w:sz w:val="22"/>
          <w:szCs w:val="22"/>
        </w:rPr>
        <w:t>. Available at: https://cdn.who.int/media/docs/default-source/documents/about-us/evaluation/ncd-gap-final-report.pdf?sfvrsn=55b22b89_5&amp; (Accessed: 22 February 2026).</w:t>
      </w:r>
    </w:p>
    <w:p w14:paraId="447C1BED" w14:textId="77777777" w:rsidR="003550D2" w:rsidRPr="00231A96" w:rsidRDefault="003550D2" w:rsidP="00231A96">
      <w:pPr>
        <w:pStyle w:val="NormalWeb"/>
        <w:spacing w:before="0" w:beforeAutospacing="0" w:after="240" w:afterAutospacing="0" w:line="360" w:lineRule="auto"/>
        <w:jc w:val="both"/>
        <w:rPr>
          <w:rFonts w:asciiTheme="minorBidi" w:hAnsiTheme="minorBidi" w:cstheme="minorBidi"/>
          <w:sz w:val="22"/>
          <w:szCs w:val="22"/>
        </w:rPr>
      </w:pPr>
      <w:r w:rsidRPr="00231A96">
        <w:rPr>
          <w:rFonts w:asciiTheme="minorBidi" w:hAnsiTheme="minorBidi" w:cstheme="minorBidi"/>
          <w:sz w:val="22"/>
          <w:szCs w:val="22"/>
        </w:rPr>
        <w:t xml:space="preserve">WHO (2023) </w:t>
      </w:r>
      <w:r w:rsidRPr="00231A96">
        <w:rPr>
          <w:rFonts w:asciiTheme="minorBidi" w:hAnsiTheme="minorBidi" w:cstheme="minorBidi"/>
          <w:i/>
          <w:iCs/>
          <w:sz w:val="22"/>
          <w:szCs w:val="22"/>
        </w:rPr>
        <w:t>Implementation roadmap 2023-2030 for the global action plan</w:t>
      </w:r>
      <w:r w:rsidRPr="00231A96">
        <w:rPr>
          <w:rFonts w:asciiTheme="minorBidi" w:hAnsiTheme="minorBidi" w:cstheme="minorBidi"/>
          <w:sz w:val="22"/>
          <w:szCs w:val="22"/>
        </w:rPr>
        <w:t xml:space="preserve">, </w:t>
      </w:r>
      <w:proofErr w:type="spellStart"/>
      <w:r w:rsidRPr="00231A96">
        <w:rPr>
          <w:rFonts w:asciiTheme="minorBidi" w:hAnsiTheme="minorBidi" w:cstheme="minorBidi"/>
          <w:i/>
          <w:iCs/>
          <w:sz w:val="22"/>
          <w:szCs w:val="22"/>
        </w:rPr>
        <w:t>www.who.int</w:t>
      </w:r>
      <w:proofErr w:type="spellEnd"/>
      <w:r w:rsidRPr="00231A96">
        <w:rPr>
          <w:rFonts w:asciiTheme="minorBidi" w:hAnsiTheme="minorBidi" w:cstheme="minorBidi"/>
          <w:sz w:val="22"/>
          <w:szCs w:val="22"/>
        </w:rPr>
        <w:t>. Available at: https://www.who.int/teams/noncommunicable-diseases/governance/roadmap (Accessed: 22 February 2026).</w:t>
      </w:r>
    </w:p>
    <w:p w14:paraId="684825F7" w14:textId="77777777" w:rsidR="003550D2" w:rsidRPr="00231A96" w:rsidRDefault="003550D2" w:rsidP="00231A96">
      <w:pPr>
        <w:pStyle w:val="NormalWeb"/>
        <w:spacing w:before="0" w:beforeAutospacing="0" w:after="240" w:afterAutospacing="0" w:line="360" w:lineRule="auto"/>
        <w:jc w:val="both"/>
        <w:rPr>
          <w:rFonts w:asciiTheme="minorBidi" w:hAnsiTheme="minorBidi" w:cstheme="minorBidi"/>
          <w:sz w:val="22"/>
          <w:szCs w:val="22"/>
        </w:rPr>
      </w:pPr>
      <w:proofErr w:type="spellStart"/>
      <w:r w:rsidRPr="00231A96">
        <w:rPr>
          <w:rFonts w:asciiTheme="minorBidi" w:hAnsiTheme="minorBidi" w:cstheme="minorBidi"/>
          <w:sz w:val="22"/>
          <w:szCs w:val="22"/>
        </w:rPr>
        <w:t>Zhai</w:t>
      </w:r>
      <w:proofErr w:type="spellEnd"/>
      <w:r w:rsidRPr="00231A96">
        <w:rPr>
          <w:rFonts w:asciiTheme="minorBidi" w:hAnsiTheme="minorBidi" w:cstheme="minorBidi"/>
          <w:sz w:val="22"/>
          <w:szCs w:val="22"/>
        </w:rPr>
        <w:t xml:space="preserve">, S. </w:t>
      </w:r>
      <w:r w:rsidRPr="00231A96">
        <w:rPr>
          <w:rFonts w:asciiTheme="minorBidi" w:hAnsiTheme="minorBidi" w:cstheme="minorBidi"/>
          <w:i/>
          <w:iCs/>
          <w:sz w:val="22"/>
          <w:szCs w:val="22"/>
        </w:rPr>
        <w:t>et al.</w:t>
      </w:r>
      <w:r w:rsidRPr="00231A96">
        <w:rPr>
          <w:rFonts w:asciiTheme="minorBidi" w:hAnsiTheme="minorBidi" w:cstheme="minorBidi"/>
          <w:sz w:val="22"/>
          <w:szCs w:val="22"/>
        </w:rPr>
        <w:t xml:space="preserve"> (2023) ‘Analysis, evaluation, and reformulation of social cognitive theory: Toward parent-child shared management in sleep health’, </w:t>
      </w:r>
      <w:r w:rsidRPr="00231A96">
        <w:rPr>
          <w:rFonts w:asciiTheme="minorBidi" w:hAnsiTheme="minorBidi" w:cstheme="minorBidi"/>
          <w:i/>
          <w:iCs/>
          <w:sz w:val="22"/>
          <w:szCs w:val="22"/>
        </w:rPr>
        <w:t xml:space="preserve">Journal of </w:t>
      </w:r>
      <w:proofErr w:type="spellStart"/>
      <w:r w:rsidRPr="00231A96">
        <w:rPr>
          <w:rFonts w:asciiTheme="minorBidi" w:hAnsiTheme="minorBidi" w:cstheme="minorBidi"/>
          <w:i/>
          <w:iCs/>
          <w:sz w:val="22"/>
          <w:szCs w:val="22"/>
        </w:rPr>
        <w:t>Pediatric</w:t>
      </w:r>
      <w:proofErr w:type="spellEnd"/>
      <w:r w:rsidRPr="00231A96">
        <w:rPr>
          <w:rFonts w:asciiTheme="minorBidi" w:hAnsiTheme="minorBidi" w:cstheme="minorBidi"/>
          <w:i/>
          <w:iCs/>
          <w:sz w:val="22"/>
          <w:szCs w:val="22"/>
        </w:rPr>
        <w:t xml:space="preserve"> Nursing</w:t>
      </w:r>
      <w:r w:rsidRPr="00231A96">
        <w:rPr>
          <w:rFonts w:asciiTheme="minorBidi" w:hAnsiTheme="minorBidi" w:cstheme="minorBidi"/>
          <w:sz w:val="22"/>
          <w:szCs w:val="22"/>
        </w:rPr>
        <w:t>, 73. Available at: https://doi.org/10.1016/j.pedn.2023.07.011.</w:t>
      </w:r>
    </w:p>
    <w:p w14:paraId="3B6751FC" w14:textId="77777777" w:rsidR="003550D2" w:rsidRPr="00231A96" w:rsidRDefault="003550D2" w:rsidP="00231A96">
      <w:pPr>
        <w:jc w:val="both"/>
        <w:rPr>
          <w:szCs w:val="22"/>
        </w:rPr>
      </w:pPr>
    </w:p>
    <w:p w14:paraId="0D939D41" w14:textId="77777777" w:rsidR="003A0FF6" w:rsidRPr="00231A96" w:rsidRDefault="003A0FF6" w:rsidP="00231A96">
      <w:pPr>
        <w:jc w:val="both"/>
        <w:rPr>
          <w:szCs w:val="22"/>
        </w:rPr>
      </w:pPr>
    </w:p>
    <w:sectPr w:rsidR="003A0FF6" w:rsidRPr="00231A96">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D4013C" w14:textId="77777777" w:rsidR="00997D79" w:rsidRDefault="00997D79" w:rsidP="00005413">
      <w:pPr>
        <w:spacing w:after="0" w:line="240" w:lineRule="auto"/>
      </w:pPr>
      <w:r>
        <w:separator/>
      </w:r>
    </w:p>
  </w:endnote>
  <w:endnote w:type="continuationSeparator" w:id="0">
    <w:p w14:paraId="024CE199" w14:textId="77777777" w:rsidR="00997D79" w:rsidRDefault="00997D79" w:rsidP="000054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81357082"/>
      <w:docPartObj>
        <w:docPartGallery w:val="Page Numbers (Bottom of Page)"/>
        <w:docPartUnique/>
      </w:docPartObj>
    </w:sdtPr>
    <w:sdtEndPr>
      <w:rPr>
        <w:rStyle w:val="PageNumber"/>
      </w:rPr>
    </w:sdtEndPr>
    <w:sdtContent>
      <w:p w14:paraId="3655888E" w14:textId="4C525F48" w:rsidR="00005413" w:rsidRDefault="00005413" w:rsidP="00862D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AE07A7B" w14:textId="77777777" w:rsidR="00005413" w:rsidRDefault="00005413" w:rsidP="0000541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14224091"/>
      <w:docPartObj>
        <w:docPartGallery w:val="Page Numbers (Bottom of Page)"/>
        <w:docPartUnique/>
      </w:docPartObj>
    </w:sdtPr>
    <w:sdtEndPr>
      <w:rPr>
        <w:rStyle w:val="PageNumber"/>
      </w:rPr>
    </w:sdtEndPr>
    <w:sdtContent>
      <w:p w14:paraId="19A08CA7" w14:textId="1BAB0789" w:rsidR="00005413" w:rsidRDefault="00005413" w:rsidP="00862D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A7633AE" w14:textId="77777777" w:rsidR="00005413" w:rsidRDefault="00005413" w:rsidP="0000541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6C48A5" w14:textId="77777777" w:rsidR="00997D79" w:rsidRDefault="00997D79" w:rsidP="00005413">
      <w:pPr>
        <w:spacing w:after="0" w:line="240" w:lineRule="auto"/>
      </w:pPr>
      <w:r>
        <w:separator/>
      </w:r>
    </w:p>
  </w:footnote>
  <w:footnote w:type="continuationSeparator" w:id="0">
    <w:p w14:paraId="4784FCB1" w14:textId="77777777" w:rsidR="00997D79" w:rsidRDefault="00997D79" w:rsidP="000054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5147DA"/>
    <w:multiLevelType w:val="multilevel"/>
    <w:tmpl w:val="67F20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6A4141"/>
    <w:multiLevelType w:val="multilevel"/>
    <w:tmpl w:val="2B1C3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E794F80"/>
    <w:multiLevelType w:val="multilevel"/>
    <w:tmpl w:val="683AF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6485E22"/>
    <w:multiLevelType w:val="multilevel"/>
    <w:tmpl w:val="0DACD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A22082E"/>
    <w:multiLevelType w:val="multilevel"/>
    <w:tmpl w:val="012441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0E02A70"/>
    <w:multiLevelType w:val="multilevel"/>
    <w:tmpl w:val="A7FE6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425E3D"/>
    <w:multiLevelType w:val="multilevel"/>
    <w:tmpl w:val="28BC0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2F7D0C"/>
    <w:multiLevelType w:val="multilevel"/>
    <w:tmpl w:val="2598B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8FC6201"/>
    <w:multiLevelType w:val="multilevel"/>
    <w:tmpl w:val="13A64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C857CB5"/>
    <w:multiLevelType w:val="multilevel"/>
    <w:tmpl w:val="F05A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E2A0FC7"/>
    <w:multiLevelType w:val="multilevel"/>
    <w:tmpl w:val="12025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1174A17"/>
    <w:multiLevelType w:val="multilevel"/>
    <w:tmpl w:val="42A2B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1313A92"/>
    <w:multiLevelType w:val="multilevel"/>
    <w:tmpl w:val="520E4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3751FE1"/>
    <w:multiLevelType w:val="multilevel"/>
    <w:tmpl w:val="67127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58E2BB3"/>
    <w:multiLevelType w:val="multilevel"/>
    <w:tmpl w:val="62C45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D8F19B5"/>
    <w:multiLevelType w:val="multilevel"/>
    <w:tmpl w:val="D6762E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844527">
    <w:abstractNumId w:val="1"/>
  </w:num>
  <w:num w:numId="2" w16cid:durableId="1807119753">
    <w:abstractNumId w:val="0"/>
  </w:num>
  <w:num w:numId="3" w16cid:durableId="13649770">
    <w:abstractNumId w:val="5"/>
  </w:num>
  <w:num w:numId="4" w16cid:durableId="665475163">
    <w:abstractNumId w:val="10"/>
  </w:num>
  <w:num w:numId="5" w16cid:durableId="1146554494">
    <w:abstractNumId w:val="6"/>
  </w:num>
  <w:num w:numId="6" w16cid:durableId="1907180911">
    <w:abstractNumId w:val="9"/>
  </w:num>
  <w:num w:numId="7" w16cid:durableId="137185277">
    <w:abstractNumId w:val="8"/>
  </w:num>
  <w:num w:numId="8" w16cid:durableId="1246036203">
    <w:abstractNumId w:val="11"/>
  </w:num>
  <w:num w:numId="9" w16cid:durableId="1379016851">
    <w:abstractNumId w:val="7"/>
  </w:num>
  <w:num w:numId="10" w16cid:durableId="682048104">
    <w:abstractNumId w:val="3"/>
  </w:num>
  <w:num w:numId="11" w16cid:durableId="468934891">
    <w:abstractNumId w:val="14"/>
  </w:num>
  <w:num w:numId="12" w16cid:durableId="1143742784">
    <w:abstractNumId w:val="12"/>
  </w:num>
  <w:num w:numId="13" w16cid:durableId="1440874621">
    <w:abstractNumId w:val="2"/>
  </w:num>
  <w:num w:numId="14" w16cid:durableId="2085253905">
    <w:abstractNumId w:val="13"/>
  </w:num>
  <w:num w:numId="15" w16cid:durableId="1564171517">
    <w:abstractNumId w:val="4"/>
  </w:num>
  <w:num w:numId="16" w16cid:durableId="206316745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DB8"/>
    <w:rsid w:val="00001B41"/>
    <w:rsid w:val="00002BD2"/>
    <w:rsid w:val="00005413"/>
    <w:rsid w:val="00010961"/>
    <w:rsid w:val="000113F5"/>
    <w:rsid w:val="00017665"/>
    <w:rsid w:val="00021B15"/>
    <w:rsid w:val="00031B80"/>
    <w:rsid w:val="000363C5"/>
    <w:rsid w:val="000465F3"/>
    <w:rsid w:val="00054372"/>
    <w:rsid w:val="0009054C"/>
    <w:rsid w:val="00094EFF"/>
    <w:rsid w:val="00095B43"/>
    <w:rsid w:val="000B4AFF"/>
    <w:rsid w:val="000B743B"/>
    <w:rsid w:val="00111FC4"/>
    <w:rsid w:val="001663A7"/>
    <w:rsid w:val="001905DA"/>
    <w:rsid w:val="001B69B5"/>
    <w:rsid w:val="001E2604"/>
    <w:rsid w:val="0020648B"/>
    <w:rsid w:val="00212066"/>
    <w:rsid w:val="00222391"/>
    <w:rsid w:val="00231A96"/>
    <w:rsid w:val="00256BF5"/>
    <w:rsid w:val="0026579A"/>
    <w:rsid w:val="00277E25"/>
    <w:rsid w:val="002A075F"/>
    <w:rsid w:val="002A5235"/>
    <w:rsid w:val="002A72EA"/>
    <w:rsid w:val="002B334D"/>
    <w:rsid w:val="002F2937"/>
    <w:rsid w:val="003204C8"/>
    <w:rsid w:val="00340028"/>
    <w:rsid w:val="003550D2"/>
    <w:rsid w:val="00355F49"/>
    <w:rsid w:val="003A0FF6"/>
    <w:rsid w:val="003B08A3"/>
    <w:rsid w:val="003B11F3"/>
    <w:rsid w:val="003F44F0"/>
    <w:rsid w:val="00437888"/>
    <w:rsid w:val="00437998"/>
    <w:rsid w:val="00441063"/>
    <w:rsid w:val="0045517F"/>
    <w:rsid w:val="00461624"/>
    <w:rsid w:val="0047020C"/>
    <w:rsid w:val="00472464"/>
    <w:rsid w:val="004943C4"/>
    <w:rsid w:val="004D42F8"/>
    <w:rsid w:val="004E357A"/>
    <w:rsid w:val="004E429D"/>
    <w:rsid w:val="004F0DBE"/>
    <w:rsid w:val="00535F94"/>
    <w:rsid w:val="0054282A"/>
    <w:rsid w:val="0055058F"/>
    <w:rsid w:val="0055132E"/>
    <w:rsid w:val="00557444"/>
    <w:rsid w:val="00562CBC"/>
    <w:rsid w:val="00574D5A"/>
    <w:rsid w:val="00575DFD"/>
    <w:rsid w:val="005853A5"/>
    <w:rsid w:val="00595405"/>
    <w:rsid w:val="005C750D"/>
    <w:rsid w:val="005D03B5"/>
    <w:rsid w:val="005E6633"/>
    <w:rsid w:val="005F4D57"/>
    <w:rsid w:val="0060223E"/>
    <w:rsid w:val="006231C3"/>
    <w:rsid w:val="00626943"/>
    <w:rsid w:val="006304E7"/>
    <w:rsid w:val="00645710"/>
    <w:rsid w:val="00662C56"/>
    <w:rsid w:val="006B266F"/>
    <w:rsid w:val="006C4DC0"/>
    <w:rsid w:val="006F3B5A"/>
    <w:rsid w:val="006F665C"/>
    <w:rsid w:val="00700E19"/>
    <w:rsid w:val="007060BF"/>
    <w:rsid w:val="007175BD"/>
    <w:rsid w:val="00773126"/>
    <w:rsid w:val="00773A4D"/>
    <w:rsid w:val="007A563F"/>
    <w:rsid w:val="007B1346"/>
    <w:rsid w:val="007D545F"/>
    <w:rsid w:val="007E4AE8"/>
    <w:rsid w:val="00804503"/>
    <w:rsid w:val="00825F66"/>
    <w:rsid w:val="008372FC"/>
    <w:rsid w:val="0086262C"/>
    <w:rsid w:val="00876F53"/>
    <w:rsid w:val="00890B44"/>
    <w:rsid w:val="0089420B"/>
    <w:rsid w:val="008A6055"/>
    <w:rsid w:val="008B6FB0"/>
    <w:rsid w:val="008C3C07"/>
    <w:rsid w:val="008D7B8E"/>
    <w:rsid w:val="008E070E"/>
    <w:rsid w:val="008E3D15"/>
    <w:rsid w:val="00936250"/>
    <w:rsid w:val="0096305F"/>
    <w:rsid w:val="00997848"/>
    <w:rsid w:val="00997D79"/>
    <w:rsid w:val="009B14D7"/>
    <w:rsid w:val="009B19E8"/>
    <w:rsid w:val="009C701D"/>
    <w:rsid w:val="009D1596"/>
    <w:rsid w:val="009D18BB"/>
    <w:rsid w:val="00A2435B"/>
    <w:rsid w:val="00A25251"/>
    <w:rsid w:val="00A67C6B"/>
    <w:rsid w:val="00A96961"/>
    <w:rsid w:val="00AA055F"/>
    <w:rsid w:val="00B017DC"/>
    <w:rsid w:val="00B12E01"/>
    <w:rsid w:val="00B51CEF"/>
    <w:rsid w:val="00B55D54"/>
    <w:rsid w:val="00B7252E"/>
    <w:rsid w:val="00B8004F"/>
    <w:rsid w:val="00B960D8"/>
    <w:rsid w:val="00BA7E7D"/>
    <w:rsid w:val="00BB22D5"/>
    <w:rsid w:val="00BC0F18"/>
    <w:rsid w:val="00BD337E"/>
    <w:rsid w:val="00BD48E4"/>
    <w:rsid w:val="00BD4DB8"/>
    <w:rsid w:val="00BD6269"/>
    <w:rsid w:val="00BE4882"/>
    <w:rsid w:val="00BE7A29"/>
    <w:rsid w:val="00C22CFB"/>
    <w:rsid w:val="00C54B54"/>
    <w:rsid w:val="00C625E9"/>
    <w:rsid w:val="00C83ED9"/>
    <w:rsid w:val="00CA22A7"/>
    <w:rsid w:val="00CA38B9"/>
    <w:rsid w:val="00CC4B21"/>
    <w:rsid w:val="00CD69F4"/>
    <w:rsid w:val="00CF1616"/>
    <w:rsid w:val="00CF426A"/>
    <w:rsid w:val="00D1325A"/>
    <w:rsid w:val="00D15D34"/>
    <w:rsid w:val="00D16F9E"/>
    <w:rsid w:val="00D265B0"/>
    <w:rsid w:val="00D5270A"/>
    <w:rsid w:val="00D613BB"/>
    <w:rsid w:val="00D73763"/>
    <w:rsid w:val="00D934F0"/>
    <w:rsid w:val="00D95A10"/>
    <w:rsid w:val="00DA76AF"/>
    <w:rsid w:val="00DB4624"/>
    <w:rsid w:val="00DB4763"/>
    <w:rsid w:val="00DE3C33"/>
    <w:rsid w:val="00E32DFB"/>
    <w:rsid w:val="00E404A4"/>
    <w:rsid w:val="00E41487"/>
    <w:rsid w:val="00E833B8"/>
    <w:rsid w:val="00E92864"/>
    <w:rsid w:val="00E947F1"/>
    <w:rsid w:val="00EC3507"/>
    <w:rsid w:val="00EF218A"/>
    <w:rsid w:val="00F377D7"/>
    <w:rsid w:val="00F46C88"/>
    <w:rsid w:val="00FA059C"/>
    <w:rsid w:val="00FB5A47"/>
    <w:rsid w:val="00FB6C67"/>
    <w:rsid w:val="00FD4F9F"/>
    <w:rsid w:val="00FD6782"/>
    <w:rsid w:val="00FE1F0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25387"/>
  <w15:chartTrackingRefBased/>
  <w15:docId w15:val="{5F0F2891-DC1A-B44D-BE43-E365F63D7B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1487"/>
    <w:pPr>
      <w:spacing w:line="360" w:lineRule="auto"/>
    </w:pPr>
    <w:rPr>
      <w:rFonts w:asciiTheme="minorBidi" w:hAnsiTheme="minorBidi"/>
      <w:sz w:val="22"/>
    </w:rPr>
  </w:style>
  <w:style w:type="paragraph" w:styleId="Heading1">
    <w:name w:val="heading 1"/>
    <w:basedOn w:val="Normal"/>
    <w:next w:val="Normal"/>
    <w:link w:val="Heading1Char"/>
    <w:uiPriority w:val="9"/>
    <w:qFormat/>
    <w:rsid w:val="00461624"/>
    <w:pPr>
      <w:keepNext/>
      <w:keepLines/>
      <w:spacing w:before="360" w:after="80"/>
      <w:outlineLvl w:val="0"/>
    </w:pPr>
    <w:rPr>
      <w:rFonts w:eastAsiaTheme="majorEastAsia"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FB6C67"/>
    <w:pPr>
      <w:keepNext/>
      <w:keepLines/>
      <w:spacing w:before="160" w:after="80"/>
      <w:outlineLvl w:val="1"/>
    </w:pPr>
    <w:rPr>
      <w:rFonts w:eastAsiaTheme="majorEastAsia" w:cstheme="majorBidi"/>
      <w:b/>
      <w:color w:val="0F4761" w:themeColor="accent1" w:themeShade="BF"/>
      <w:szCs w:val="32"/>
    </w:rPr>
  </w:style>
  <w:style w:type="paragraph" w:styleId="Heading3">
    <w:name w:val="heading 3"/>
    <w:basedOn w:val="Normal"/>
    <w:next w:val="Normal"/>
    <w:link w:val="Heading3Char"/>
    <w:uiPriority w:val="9"/>
    <w:unhideWhenUsed/>
    <w:qFormat/>
    <w:rsid w:val="00BE4882"/>
    <w:pPr>
      <w:keepNext/>
      <w:keepLines/>
      <w:spacing w:before="160" w:after="80"/>
      <w:outlineLvl w:val="2"/>
    </w:pPr>
    <w:rPr>
      <w:rFonts w:eastAsiaTheme="majorEastAsia" w:cstheme="majorBidi"/>
      <w:b/>
      <w:i/>
      <w:color w:val="0F4761" w:themeColor="accent1" w:themeShade="BF"/>
      <w:szCs w:val="28"/>
    </w:rPr>
  </w:style>
  <w:style w:type="paragraph" w:styleId="Heading4">
    <w:name w:val="heading 4"/>
    <w:basedOn w:val="Normal"/>
    <w:next w:val="Normal"/>
    <w:link w:val="Heading4Char"/>
    <w:uiPriority w:val="9"/>
    <w:semiHidden/>
    <w:unhideWhenUsed/>
    <w:qFormat/>
    <w:rsid w:val="00BD4DB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D4DB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D4DB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D4DB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D4DB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D4DB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1624"/>
    <w:rPr>
      <w:rFonts w:asciiTheme="majorBidi" w:eastAsiaTheme="majorEastAsia" w:hAnsiTheme="majorBidi" w:cstheme="majorBidi"/>
      <w:b/>
      <w:color w:val="0F4761" w:themeColor="accent1" w:themeShade="BF"/>
      <w:sz w:val="28"/>
      <w:szCs w:val="40"/>
    </w:rPr>
  </w:style>
  <w:style w:type="character" w:customStyle="1" w:styleId="Heading2Char">
    <w:name w:val="Heading 2 Char"/>
    <w:basedOn w:val="DefaultParagraphFont"/>
    <w:link w:val="Heading2"/>
    <w:uiPriority w:val="9"/>
    <w:rsid w:val="00FB6C67"/>
    <w:rPr>
      <w:rFonts w:asciiTheme="majorBidi" w:eastAsiaTheme="majorEastAsia" w:hAnsiTheme="majorBidi" w:cstheme="majorBidi"/>
      <w:b/>
      <w:color w:val="0F4761" w:themeColor="accent1" w:themeShade="BF"/>
      <w:szCs w:val="32"/>
    </w:rPr>
  </w:style>
  <w:style w:type="character" w:customStyle="1" w:styleId="Heading3Char">
    <w:name w:val="Heading 3 Char"/>
    <w:basedOn w:val="DefaultParagraphFont"/>
    <w:link w:val="Heading3"/>
    <w:uiPriority w:val="9"/>
    <w:rsid w:val="00BE4882"/>
    <w:rPr>
      <w:rFonts w:asciiTheme="majorBidi" w:eastAsiaTheme="majorEastAsia" w:hAnsiTheme="majorBidi" w:cstheme="majorBidi"/>
      <w:b/>
      <w:i/>
      <w:color w:val="0F4761" w:themeColor="accent1" w:themeShade="BF"/>
      <w:szCs w:val="28"/>
    </w:rPr>
  </w:style>
  <w:style w:type="character" w:customStyle="1" w:styleId="Heading4Char">
    <w:name w:val="Heading 4 Char"/>
    <w:basedOn w:val="DefaultParagraphFont"/>
    <w:link w:val="Heading4"/>
    <w:uiPriority w:val="9"/>
    <w:semiHidden/>
    <w:rsid w:val="00BD4D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4D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4D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4D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4D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4DB8"/>
    <w:rPr>
      <w:rFonts w:eastAsiaTheme="majorEastAsia" w:cstheme="majorBidi"/>
      <w:color w:val="272727" w:themeColor="text1" w:themeTint="D8"/>
    </w:rPr>
  </w:style>
  <w:style w:type="paragraph" w:styleId="Title">
    <w:name w:val="Title"/>
    <w:basedOn w:val="Normal"/>
    <w:next w:val="Normal"/>
    <w:link w:val="TitleChar"/>
    <w:uiPriority w:val="10"/>
    <w:qFormat/>
    <w:rsid w:val="00BD4D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4D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4DB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4D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4DB8"/>
    <w:pPr>
      <w:spacing w:before="160"/>
      <w:jc w:val="center"/>
    </w:pPr>
    <w:rPr>
      <w:i/>
      <w:iCs/>
      <w:color w:val="404040" w:themeColor="text1" w:themeTint="BF"/>
    </w:rPr>
  </w:style>
  <w:style w:type="character" w:customStyle="1" w:styleId="QuoteChar">
    <w:name w:val="Quote Char"/>
    <w:basedOn w:val="DefaultParagraphFont"/>
    <w:link w:val="Quote"/>
    <w:uiPriority w:val="29"/>
    <w:rsid w:val="00BD4DB8"/>
    <w:rPr>
      <w:rFonts w:asciiTheme="majorBidi" w:hAnsiTheme="majorBidi"/>
      <w:i/>
      <w:iCs/>
      <w:color w:val="404040" w:themeColor="text1" w:themeTint="BF"/>
    </w:rPr>
  </w:style>
  <w:style w:type="paragraph" w:styleId="ListParagraph">
    <w:name w:val="List Paragraph"/>
    <w:basedOn w:val="Normal"/>
    <w:uiPriority w:val="34"/>
    <w:qFormat/>
    <w:rsid w:val="00BD4DB8"/>
    <w:pPr>
      <w:ind w:left="720"/>
      <w:contextualSpacing/>
    </w:pPr>
  </w:style>
  <w:style w:type="character" w:styleId="IntenseEmphasis">
    <w:name w:val="Intense Emphasis"/>
    <w:basedOn w:val="DefaultParagraphFont"/>
    <w:uiPriority w:val="21"/>
    <w:qFormat/>
    <w:rsid w:val="00BD4DB8"/>
    <w:rPr>
      <w:i/>
      <w:iCs/>
      <w:color w:val="0F4761" w:themeColor="accent1" w:themeShade="BF"/>
    </w:rPr>
  </w:style>
  <w:style w:type="paragraph" w:styleId="IntenseQuote">
    <w:name w:val="Intense Quote"/>
    <w:basedOn w:val="Normal"/>
    <w:next w:val="Normal"/>
    <w:link w:val="IntenseQuoteChar"/>
    <w:uiPriority w:val="30"/>
    <w:qFormat/>
    <w:rsid w:val="00BD4D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4DB8"/>
    <w:rPr>
      <w:rFonts w:asciiTheme="majorBidi" w:hAnsiTheme="majorBidi"/>
      <w:i/>
      <w:iCs/>
      <w:color w:val="0F4761" w:themeColor="accent1" w:themeShade="BF"/>
    </w:rPr>
  </w:style>
  <w:style w:type="character" w:styleId="IntenseReference">
    <w:name w:val="Intense Reference"/>
    <w:basedOn w:val="DefaultParagraphFont"/>
    <w:uiPriority w:val="32"/>
    <w:qFormat/>
    <w:rsid w:val="00BD4DB8"/>
    <w:rPr>
      <w:b/>
      <w:bCs/>
      <w:smallCaps/>
      <w:color w:val="0F4761" w:themeColor="accent1" w:themeShade="BF"/>
      <w:spacing w:val="5"/>
    </w:rPr>
  </w:style>
  <w:style w:type="character" w:styleId="Strong">
    <w:name w:val="Strong"/>
    <w:basedOn w:val="DefaultParagraphFont"/>
    <w:uiPriority w:val="22"/>
    <w:qFormat/>
    <w:rsid w:val="00017665"/>
    <w:rPr>
      <w:b/>
      <w:bCs/>
    </w:rPr>
  </w:style>
  <w:style w:type="paragraph" w:styleId="NormalWeb">
    <w:name w:val="Normal (Web)"/>
    <w:basedOn w:val="Normal"/>
    <w:uiPriority w:val="99"/>
    <w:unhideWhenUsed/>
    <w:rsid w:val="00017665"/>
    <w:pPr>
      <w:spacing w:before="100" w:beforeAutospacing="1" w:after="100" w:afterAutospacing="1" w:line="240" w:lineRule="auto"/>
    </w:pPr>
    <w:rPr>
      <w:rFonts w:ascii="Times New Roman" w:eastAsia="Times New Roman" w:hAnsi="Times New Roman" w:cs="Times New Roman"/>
      <w:kern w:val="0"/>
      <w:sz w:val="24"/>
      <w:lang w:eastAsia="en-GB"/>
      <w14:ligatures w14:val="none"/>
    </w:rPr>
  </w:style>
  <w:style w:type="character" w:styleId="Hyperlink">
    <w:name w:val="Hyperlink"/>
    <w:basedOn w:val="DefaultParagraphFont"/>
    <w:uiPriority w:val="99"/>
    <w:unhideWhenUsed/>
    <w:rsid w:val="00355F49"/>
    <w:rPr>
      <w:color w:val="0000FF"/>
      <w:u w:val="single"/>
    </w:rPr>
  </w:style>
  <w:style w:type="character" w:styleId="FollowedHyperlink">
    <w:name w:val="FollowedHyperlink"/>
    <w:basedOn w:val="DefaultParagraphFont"/>
    <w:uiPriority w:val="99"/>
    <w:semiHidden/>
    <w:unhideWhenUsed/>
    <w:rsid w:val="003B08A3"/>
    <w:rPr>
      <w:color w:val="96607D" w:themeColor="followedHyperlink"/>
      <w:u w:val="single"/>
    </w:rPr>
  </w:style>
  <w:style w:type="paragraph" w:styleId="Header">
    <w:name w:val="header"/>
    <w:basedOn w:val="Normal"/>
    <w:link w:val="HeaderChar"/>
    <w:uiPriority w:val="99"/>
    <w:unhideWhenUsed/>
    <w:rsid w:val="000054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5413"/>
    <w:rPr>
      <w:rFonts w:asciiTheme="minorBidi" w:hAnsiTheme="minorBidi"/>
      <w:sz w:val="22"/>
    </w:rPr>
  </w:style>
  <w:style w:type="paragraph" w:styleId="Footer">
    <w:name w:val="footer"/>
    <w:basedOn w:val="Normal"/>
    <w:link w:val="FooterChar"/>
    <w:uiPriority w:val="99"/>
    <w:unhideWhenUsed/>
    <w:rsid w:val="000054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5413"/>
    <w:rPr>
      <w:rFonts w:asciiTheme="minorBidi" w:hAnsiTheme="minorBidi"/>
      <w:sz w:val="22"/>
    </w:rPr>
  </w:style>
  <w:style w:type="character" w:styleId="PageNumber">
    <w:name w:val="page number"/>
    <w:basedOn w:val="DefaultParagraphFont"/>
    <w:uiPriority w:val="99"/>
    <w:semiHidden/>
    <w:unhideWhenUsed/>
    <w:rsid w:val="00005413"/>
  </w:style>
  <w:style w:type="paragraph" w:styleId="TOCHeading">
    <w:name w:val="TOC Heading"/>
    <w:basedOn w:val="Heading1"/>
    <w:next w:val="Normal"/>
    <w:uiPriority w:val="39"/>
    <w:unhideWhenUsed/>
    <w:qFormat/>
    <w:rsid w:val="00005413"/>
    <w:pPr>
      <w:spacing w:before="480" w:after="0" w:line="276" w:lineRule="auto"/>
      <w:outlineLvl w:val="9"/>
    </w:pPr>
    <w:rPr>
      <w:rFonts w:asciiTheme="majorHAnsi" w:hAnsiTheme="majorHAnsi"/>
      <w:bCs/>
      <w:kern w:val="0"/>
      <w:szCs w:val="28"/>
      <w:lang w:val="en-US"/>
      <w14:ligatures w14:val="none"/>
    </w:rPr>
  </w:style>
  <w:style w:type="paragraph" w:styleId="TOC1">
    <w:name w:val="toc 1"/>
    <w:basedOn w:val="Normal"/>
    <w:next w:val="Normal"/>
    <w:autoRedefine/>
    <w:uiPriority w:val="39"/>
    <w:unhideWhenUsed/>
    <w:rsid w:val="00005413"/>
    <w:pPr>
      <w:spacing w:before="240" w:after="120"/>
    </w:pPr>
    <w:rPr>
      <w:rFonts w:asciiTheme="minorHAnsi" w:hAnsiTheme="minorHAnsi" w:cs="Times New Roman"/>
      <w:b/>
      <w:bCs/>
      <w:sz w:val="20"/>
    </w:rPr>
  </w:style>
  <w:style w:type="paragraph" w:styleId="TOC2">
    <w:name w:val="toc 2"/>
    <w:basedOn w:val="Normal"/>
    <w:next w:val="Normal"/>
    <w:autoRedefine/>
    <w:uiPriority w:val="39"/>
    <w:unhideWhenUsed/>
    <w:rsid w:val="00005413"/>
    <w:pPr>
      <w:spacing w:before="120" w:after="0"/>
      <w:ind w:left="220"/>
    </w:pPr>
    <w:rPr>
      <w:rFonts w:asciiTheme="minorHAnsi" w:hAnsiTheme="minorHAnsi" w:cs="Times New Roman"/>
      <w:i/>
      <w:iCs/>
      <w:sz w:val="20"/>
    </w:rPr>
  </w:style>
  <w:style w:type="paragraph" w:styleId="TOC3">
    <w:name w:val="toc 3"/>
    <w:basedOn w:val="Normal"/>
    <w:next w:val="Normal"/>
    <w:autoRedefine/>
    <w:uiPriority w:val="39"/>
    <w:unhideWhenUsed/>
    <w:rsid w:val="00005413"/>
    <w:pPr>
      <w:spacing w:after="0"/>
      <w:ind w:left="440"/>
    </w:pPr>
    <w:rPr>
      <w:rFonts w:asciiTheme="minorHAnsi" w:hAnsiTheme="minorHAnsi" w:cs="Times New Roman"/>
      <w:sz w:val="20"/>
    </w:rPr>
  </w:style>
  <w:style w:type="paragraph" w:styleId="TOC4">
    <w:name w:val="toc 4"/>
    <w:basedOn w:val="Normal"/>
    <w:next w:val="Normal"/>
    <w:autoRedefine/>
    <w:uiPriority w:val="39"/>
    <w:semiHidden/>
    <w:unhideWhenUsed/>
    <w:rsid w:val="00005413"/>
    <w:pPr>
      <w:spacing w:after="0"/>
      <w:ind w:left="660"/>
    </w:pPr>
    <w:rPr>
      <w:rFonts w:asciiTheme="minorHAnsi" w:hAnsiTheme="minorHAnsi" w:cs="Times New Roman"/>
      <w:sz w:val="20"/>
    </w:rPr>
  </w:style>
  <w:style w:type="paragraph" w:styleId="TOC5">
    <w:name w:val="toc 5"/>
    <w:basedOn w:val="Normal"/>
    <w:next w:val="Normal"/>
    <w:autoRedefine/>
    <w:uiPriority w:val="39"/>
    <w:semiHidden/>
    <w:unhideWhenUsed/>
    <w:rsid w:val="00005413"/>
    <w:pPr>
      <w:spacing w:after="0"/>
      <w:ind w:left="880"/>
    </w:pPr>
    <w:rPr>
      <w:rFonts w:asciiTheme="minorHAnsi" w:hAnsiTheme="minorHAnsi" w:cs="Times New Roman"/>
      <w:sz w:val="20"/>
    </w:rPr>
  </w:style>
  <w:style w:type="paragraph" w:styleId="TOC6">
    <w:name w:val="toc 6"/>
    <w:basedOn w:val="Normal"/>
    <w:next w:val="Normal"/>
    <w:autoRedefine/>
    <w:uiPriority w:val="39"/>
    <w:semiHidden/>
    <w:unhideWhenUsed/>
    <w:rsid w:val="00005413"/>
    <w:pPr>
      <w:spacing w:after="0"/>
      <w:ind w:left="1100"/>
    </w:pPr>
    <w:rPr>
      <w:rFonts w:asciiTheme="minorHAnsi" w:hAnsiTheme="minorHAnsi" w:cs="Times New Roman"/>
      <w:sz w:val="20"/>
    </w:rPr>
  </w:style>
  <w:style w:type="paragraph" w:styleId="TOC7">
    <w:name w:val="toc 7"/>
    <w:basedOn w:val="Normal"/>
    <w:next w:val="Normal"/>
    <w:autoRedefine/>
    <w:uiPriority w:val="39"/>
    <w:semiHidden/>
    <w:unhideWhenUsed/>
    <w:rsid w:val="00005413"/>
    <w:pPr>
      <w:spacing w:after="0"/>
      <w:ind w:left="1320"/>
    </w:pPr>
    <w:rPr>
      <w:rFonts w:asciiTheme="minorHAnsi" w:hAnsiTheme="minorHAnsi" w:cs="Times New Roman"/>
      <w:sz w:val="20"/>
    </w:rPr>
  </w:style>
  <w:style w:type="paragraph" w:styleId="TOC8">
    <w:name w:val="toc 8"/>
    <w:basedOn w:val="Normal"/>
    <w:next w:val="Normal"/>
    <w:autoRedefine/>
    <w:uiPriority w:val="39"/>
    <w:semiHidden/>
    <w:unhideWhenUsed/>
    <w:rsid w:val="00005413"/>
    <w:pPr>
      <w:spacing w:after="0"/>
      <w:ind w:left="1540"/>
    </w:pPr>
    <w:rPr>
      <w:rFonts w:asciiTheme="minorHAnsi" w:hAnsiTheme="minorHAnsi" w:cs="Times New Roman"/>
      <w:sz w:val="20"/>
    </w:rPr>
  </w:style>
  <w:style w:type="paragraph" w:styleId="TOC9">
    <w:name w:val="toc 9"/>
    <w:basedOn w:val="Normal"/>
    <w:next w:val="Normal"/>
    <w:autoRedefine/>
    <w:uiPriority w:val="39"/>
    <w:semiHidden/>
    <w:unhideWhenUsed/>
    <w:rsid w:val="00005413"/>
    <w:pPr>
      <w:spacing w:after="0"/>
      <w:ind w:left="1760"/>
    </w:pPr>
    <w:rPr>
      <w:rFonts w:asciiTheme="minorHAnsi" w:hAnsiTheme="minorHAnsi" w:cs="Times New Roman"/>
      <w:sz w:val="20"/>
    </w:rPr>
  </w:style>
  <w:style w:type="paragraph" w:styleId="Caption">
    <w:name w:val="caption"/>
    <w:basedOn w:val="Normal"/>
    <w:next w:val="Normal"/>
    <w:uiPriority w:val="35"/>
    <w:unhideWhenUsed/>
    <w:qFormat/>
    <w:rsid w:val="00054372"/>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2.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B9F6E2-090A-D54D-8E8E-1FAE1D1FCAA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3375</Words>
  <Characters>19240</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WORD FILE</dc:creator>
  <cp:keywords/>
  <dc:description/>
  <cp:lastModifiedBy>Noreen Akhtar</cp:lastModifiedBy>
  <cp:revision>2</cp:revision>
  <dcterms:created xsi:type="dcterms:W3CDTF">2026-03-22T03:28:00Z</dcterms:created>
  <dcterms:modified xsi:type="dcterms:W3CDTF">2026-03-22T03:28:00Z</dcterms:modified>
</cp:coreProperties>
</file>