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F20" w:rsidRDefault="00DC655F">
      <w:pPr>
        <w:rPr>
          <w:b/>
          <w:u w:val="single"/>
        </w:rPr>
      </w:pPr>
      <w:r w:rsidRPr="00DC655F">
        <w:rPr>
          <w:b/>
          <w:u w:val="single"/>
        </w:rPr>
        <w:t xml:space="preserve">Explain the differences in the portrayal of Philip II in Demosthenes and </w:t>
      </w:r>
      <w:proofErr w:type="spellStart"/>
      <w:r w:rsidRPr="00DC655F">
        <w:rPr>
          <w:b/>
          <w:u w:val="single"/>
        </w:rPr>
        <w:t>Aeschines</w:t>
      </w:r>
      <w:proofErr w:type="spellEnd"/>
      <w:r w:rsidRPr="00DC655F">
        <w:rPr>
          <w:b/>
          <w:u w:val="single"/>
        </w:rPr>
        <w:t>.</w:t>
      </w:r>
    </w:p>
    <w:p w:rsidR="00C115CC" w:rsidRDefault="00377BBA">
      <w:r>
        <w:t xml:space="preserve">Multiple examples of efforts have been worked to examine the life of Philip II of </w:t>
      </w:r>
      <w:r w:rsidR="0078377E">
        <w:t xml:space="preserve">Macedon, although his son’s achievements far overshadowed him, and drawn greater attention from scholars both modern and ancient. However, due to the attention drawn to his son, several attempts at biography and sources have been preserved to be published on his life. The most complete of these contemporary ancient sources being the rhetoric speeches composed by the Athenians in opposition to the reign of Philip at the time. </w:t>
      </w:r>
      <w:r w:rsidR="007E3961">
        <w:t xml:space="preserve">The chief most examples of these being Demosthenes and </w:t>
      </w:r>
      <w:proofErr w:type="spellStart"/>
      <w:r w:rsidR="007E3961">
        <w:t>Aeschines</w:t>
      </w:r>
      <w:proofErr w:type="spellEnd"/>
      <w:r w:rsidR="007E3961">
        <w:t xml:space="preserve">, and within this piece </w:t>
      </w:r>
      <w:r w:rsidR="0079796D">
        <w:t xml:space="preserve">there will be in-depth research into the speeches composed upon Philip II, this will look into the timeline of events that lead towards the speeches, why they were composed in the way they were, and when, </w:t>
      </w:r>
      <w:r w:rsidR="00A90CB8">
        <w:t>and also the relationship and rivalry ongoing between these two orators at the time of these speeches.</w:t>
      </w:r>
    </w:p>
    <w:p w:rsidR="00DC655F" w:rsidRDefault="00A90CB8">
      <w:r>
        <w:t xml:space="preserve"> This is due to the fact that while all these instances may not seem to run parallel or connect, but they do in fact intertwine with the narrative of the speeches and why Philip II is given the characterization within the speeches that they write.</w:t>
      </w:r>
      <w:r w:rsidR="00163F0F">
        <w:t xml:space="preserve"> Due to lack of other contemporary works which describe Philip II during his reign it is necessary to use this sparsest collection of information, but even then we can draw conclusions upon Philip II and his life through these speeches</w:t>
      </w:r>
      <w:r w:rsidR="00603D9B">
        <w:t xml:space="preserve"> and thus historians and scholars both ancient and modern can make basic assumptions of the date, provenance, and characterization of Ph</w:t>
      </w:r>
      <w:r w:rsidR="00C115CC">
        <w:t xml:space="preserve">ilip through this, however by nature the ancient historical scholarship  is more or less speculation, assumption, inference and hearsay, including what is most likely rather than certain. This is why it is important to outline that surviving source material on the subject is sparse and why we need to discuss whether using ‘enemy’ texts to infer Philip’s </w:t>
      </w:r>
      <w:r w:rsidR="002E3395">
        <w:t>character is</w:t>
      </w:r>
      <w:r w:rsidR="00C115CC">
        <w:t xml:space="preserve"> worthy of drawing lengthier debate and studies on the subject to give genuine insight on Philip’s personality as a whole.</w:t>
      </w:r>
    </w:p>
    <w:p w:rsidR="002E3395" w:rsidRDefault="002E3395">
      <w:r>
        <w:t>To start, this quote on the nature of Orators</w:t>
      </w:r>
      <w:r w:rsidR="00CF1410">
        <w:t xml:space="preserve"> </w:t>
      </w:r>
      <w:r w:rsidR="009A0524">
        <w:t xml:space="preserve">by Nancy </w:t>
      </w:r>
      <w:proofErr w:type="spellStart"/>
      <w:r w:rsidR="009A0524">
        <w:t>Worman</w:t>
      </w:r>
      <w:proofErr w:type="spellEnd"/>
      <w:r>
        <w:t xml:space="preserve"> seems like the best way to describe the process in which </w:t>
      </w:r>
      <w:r w:rsidR="005D70CA">
        <w:t xml:space="preserve">Athenian orators, such as </w:t>
      </w:r>
      <w:r>
        <w:t xml:space="preserve">Demosthenes and </w:t>
      </w:r>
      <w:proofErr w:type="spellStart"/>
      <w:r>
        <w:t>Aeschines</w:t>
      </w:r>
      <w:proofErr w:type="spellEnd"/>
      <w:r>
        <w:t xml:space="preserve"> compose: “</w:t>
      </w:r>
      <w:r w:rsidR="00B004D6">
        <w:t>It is abundantly evident that Athenian orators made frequent and quite creative use of character assassination, both in forensic cases and the Assembly. They claimed things about their opponents</w:t>
      </w:r>
      <w:r w:rsidR="00400B40">
        <w:t xml:space="preserve"> that were not only openly slanderous but often hilariously exaggerated, drawing upon gossip and hearsay and deploying it </w:t>
      </w:r>
      <w:r w:rsidR="00CF1410">
        <w:t>strategically until</w:t>
      </w:r>
      <w:r w:rsidR="00400B40">
        <w:t xml:space="preserve"> it mounted incrementally </w:t>
      </w:r>
      <w:r w:rsidR="00BB072C">
        <w:t>to the most serious accusation</w:t>
      </w:r>
      <w:r w:rsidR="00400B40">
        <w:t>.”</w:t>
      </w:r>
      <w:r w:rsidR="00BB072C">
        <w:rPr>
          <w:rStyle w:val="FootnoteReference"/>
        </w:rPr>
        <w:footnoteReference w:id="1"/>
      </w:r>
      <w:r w:rsidR="001F062F">
        <w:t xml:space="preserve">  This quote is just one of many that are composed by modern scholars when referring to Athenian Orators on speeches and their value as historical evidence/sources in their own right, this is even without looking into the backgrounds and purposes of the speeches themselves as a whole, which are key factors to distinguish why they portray their</w:t>
      </w:r>
      <w:r w:rsidR="0079555C">
        <w:t xml:space="preserve"> victims in such ways, however we must also take into account that when wider ancient sources are not available, we must use character assassinations in order to draw truths and lies about an individual through them. In the case of Demosthenes and </w:t>
      </w:r>
      <w:proofErr w:type="spellStart"/>
      <w:r w:rsidR="008530B5">
        <w:t>Aeschines</w:t>
      </w:r>
      <w:proofErr w:type="spellEnd"/>
      <w:r w:rsidR="0079555C">
        <w:t xml:space="preserve"> in particular she refers to both in this manner, stating they were unbecoming of behaviour of Athenians when referring to their cases.</w:t>
      </w:r>
      <w:r w:rsidR="0079555C">
        <w:rPr>
          <w:rStyle w:val="FootnoteReference"/>
        </w:rPr>
        <w:footnoteReference w:id="2"/>
      </w:r>
      <w:r w:rsidR="006072FD">
        <w:t xml:space="preserve"> She describes Demosthenes as a “piping chatterbox” and </w:t>
      </w:r>
      <w:proofErr w:type="spellStart"/>
      <w:r w:rsidR="008530B5">
        <w:t>Aeschines</w:t>
      </w:r>
      <w:proofErr w:type="spellEnd"/>
      <w:r w:rsidR="006072FD">
        <w:t xml:space="preserve"> as a “</w:t>
      </w:r>
      <w:proofErr w:type="spellStart"/>
      <w:r w:rsidR="006072FD">
        <w:t>voluable</w:t>
      </w:r>
      <w:proofErr w:type="spellEnd"/>
      <w:r w:rsidR="006072FD">
        <w:t xml:space="preserve"> shouter” in the extremes</w:t>
      </w:r>
      <w:r w:rsidR="006072FD">
        <w:rPr>
          <w:rStyle w:val="FootnoteReference"/>
        </w:rPr>
        <w:footnoteReference w:id="3"/>
      </w:r>
      <w:r w:rsidR="006072FD">
        <w:t>, but does mention that both must use their character themselves when orating their speeches for their audience</w:t>
      </w:r>
      <w:r w:rsidR="006072FD">
        <w:rPr>
          <w:rStyle w:val="FootnoteReference"/>
        </w:rPr>
        <w:footnoteReference w:id="4"/>
      </w:r>
      <w:r w:rsidR="006072FD">
        <w:t>, which brings in fact to question the nature of the speeches, the question of the audience, and also the characterization of themselves due to both also playing their own acting roles.</w:t>
      </w:r>
    </w:p>
    <w:p w:rsidR="00C60462" w:rsidRDefault="00C60462">
      <w:r>
        <w:lastRenderedPageBreak/>
        <w:t>For further background on the orators themselves, there appears to be a rivalry</w:t>
      </w:r>
      <w:r w:rsidR="009F203B">
        <w:t xml:space="preserve"> </w:t>
      </w:r>
      <w:r>
        <w:t xml:space="preserve">between them which stems back to their speeches on Against </w:t>
      </w:r>
      <w:proofErr w:type="spellStart"/>
      <w:r>
        <w:t>Timarchus</w:t>
      </w:r>
      <w:proofErr w:type="spellEnd"/>
      <w:r>
        <w:t xml:space="preserve"> and their use of rhetoric, they publicly condemn and counter each other, as we see in the example of </w:t>
      </w:r>
      <w:proofErr w:type="spellStart"/>
      <w:r w:rsidR="008530B5">
        <w:t>Aeschines</w:t>
      </w:r>
      <w:proofErr w:type="spellEnd"/>
      <w:r>
        <w:t xml:space="preserve"> and his rhetoric when referring to Demosthenes after the latter had received civic awards for his portrayal of Philip II and the discussion of the embassy of Philip.</w:t>
      </w:r>
      <w:r>
        <w:rPr>
          <w:rStyle w:val="FootnoteReference"/>
        </w:rPr>
        <w:footnoteReference w:id="5"/>
      </w:r>
      <w:r w:rsidR="00CE4C46">
        <w:t xml:space="preserve"> This is due to a difference in oratory styles, while Demosthenes is particularly (Apparently) outspoken against the dangers of techniques in inappropriate tone, language, and literary devices which capitalise on humour to get the speech and characterization across, </w:t>
      </w:r>
      <w:proofErr w:type="spellStart"/>
      <w:r w:rsidR="008530B5">
        <w:t>Aeschines</w:t>
      </w:r>
      <w:proofErr w:type="spellEnd"/>
      <w:r w:rsidR="00CE4C46">
        <w:t xml:space="preserve"> is proficient in these devices and capitalises on them much in his rhetoric</w:t>
      </w:r>
      <w:r w:rsidR="00D80861">
        <w:rPr>
          <w:rStyle w:val="FootnoteReference"/>
        </w:rPr>
        <w:footnoteReference w:id="6"/>
      </w:r>
      <w:r w:rsidR="00CE4C46">
        <w:t>, hence the longstanding dispute between both ancient scholars des</w:t>
      </w:r>
      <w:r w:rsidR="0048727E">
        <w:t>pite the same topics of oration: this is without mentioning the court cases between the two orators.</w:t>
      </w:r>
      <w:r w:rsidR="00CE4C46">
        <w:t xml:space="preserve"> Both, however scrupulous in their rhetoric still employ their devices in order to portray Philip in their own orations.</w:t>
      </w:r>
      <w:r w:rsidR="0048727E">
        <w:t xml:space="preserve"> To add to the ambiguity between the two orators, there is ongoing debate whether they were supplied with bribes and falsehoods</w:t>
      </w:r>
      <w:r w:rsidR="0048727E">
        <w:rPr>
          <w:rStyle w:val="FootnoteReference"/>
        </w:rPr>
        <w:footnoteReference w:id="7"/>
      </w:r>
      <w:r w:rsidR="0048727E">
        <w:t xml:space="preserve">, Demosthenes accuses </w:t>
      </w:r>
      <w:proofErr w:type="spellStart"/>
      <w:r w:rsidR="008530B5">
        <w:t>Aeschines</w:t>
      </w:r>
      <w:proofErr w:type="spellEnd"/>
      <w:r w:rsidR="0048727E">
        <w:t xml:space="preserve"> of taking bribes</w:t>
      </w:r>
      <w:r w:rsidR="00260B50">
        <w:rPr>
          <w:rStyle w:val="FootnoteReference"/>
        </w:rPr>
        <w:footnoteReference w:id="8"/>
      </w:r>
      <w:r w:rsidR="0048727E">
        <w:t xml:space="preserve">, yet to juxtapose it is mentioned in Plutarch’s </w:t>
      </w:r>
      <w:r w:rsidR="00260B50">
        <w:t>Demosthenes 18</w:t>
      </w:r>
      <w:r w:rsidR="00260B50">
        <w:rPr>
          <w:rStyle w:val="FootnoteReference"/>
        </w:rPr>
        <w:footnoteReference w:id="9"/>
      </w:r>
      <w:r w:rsidR="00260B50">
        <w:t xml:space="preserve"> that despite the criticisms of </w:t>
      </w:r>
      <w:proofErr w:type="spellStart"/>
      <w:r w:rsidR="008530B5">
        <w:t>Aeschines</w:t>
      </w:r>
      <w:proofErr w:type="spellEnd"/>
      <w:r w:rsidR="008530B5">
        <w:t xml:space="preserve"> </w:t>
      </w:r>
      <w:r w:rsidR="00260B50">
        <w:t>taking bribes, these were also offered to Demosthenes by the King of Persia to write more about him as a figure in Athenian Politics.</w:t>
      </w:r>
      <w:r w:rsidR="001056DE">
        <w:t xml:space="preserve"> This sheds some light upon the Athenian orators and how they are perceived in the Ancient Worlds, and by modern scholarship in particular and outlines the issues in which their value as sources are read; not only that but also gives us a background on the ongoing rivalry in which Demosthenes and </w:t>
      </w:r>
      <w:proofErr w:type="spellStart"/>
      <w:r w:rsidR="008530B5">
        <w:t>Aeschines</w:t>
      </w:r>
      <w:proofErr w:type="spellEnd"/>
      <w:r w:rsidR="001056DE">
        <w:t xml:space="preserve"> orate, and how their opinions will differ</w:t>
      </w:r>
      <w:r w:rsidR="00EE61B5">
        <w:t xml:space="preserve"> </w:t>
      </w:r>
      <w:r w:rsidR="001056DE">
        <w:t xml:space="preserve">due to this throughout the comparison. This calls into question whether they have a write to be taken as sources as a whole, and how their differing views will affect </w:t>
      </w:r>
      <w:r w:rsidR="00EE61B5">
        <w:t>the outcome</w:t>
      </w:r>
      <w:r w:rsidR="001056DE">
        <w:t xml:space="preserve"> of their orations and the portrayal of Philip II in their speeches.</w:t>
      </w:r>
    </w:p>
    <w:p w:rsidR="00460E6A" w:rsidRDefault="00294640">
      <w:r>
        <w:t xml:space="preserve">Secondly, to comment on the speeches and portrayal within, we need to discuss the timeline of events juxtaposing the orations of the speeches, to give clues as to how and why the </w:t>
      </w:r>
      <w:r w:rsidR="00050C3F">
        <w:t>portrayals</w:t>
      </w:r>
      <w:r>
        <w:t xml:space="preserve"> of Philip will be given.</w:t>
      </w:r>
      <w:r w:rsidR="00CC58F4">
        <w:t xml:space="preserve"> Firstly, after Philip II’s involvement with in </w:t>
      </w:r>
      <w:proofErr w:type="spellStart"/>
      <w:r w:rsidR="00CC58F4">
        <w:t>Olythia</w:t>
      </w:r>
      <w:proofErr w:type="spellEnd"/>
      <w:r w:rsidR="00CC58F4">
        <w:t xml:space="preserve"> and the power struggle that followed</w:t>
      </w:r>
      <w:r w:rsidR="00EA1977">
        <w:t xml:space="preserve"> with the betrayal, and then counter betrayal of those who aided Philip, by Philip</w:t>
      </w:r>
      <w:r w:rsidR="001E6A31">
        <w:t>, and the problem of Generals and their actions against Philip</w:t>
      </w:r>
      <w:r w:rsidR="000D7339">
        <w:rPr>
          <w:rStyle w:val="FootnoteReference"/>
        </w:rPr>
        <w:footnoteReference w:id="10"/>
      </w:r>
      <w:r w:rsidR="001E6A31">
        <w:t xml:space="preserve"> which</w:t>
      </w:r>
      <w:r w:rsidR="00EA1977">
        <w:t xml:space="preserve"> then sparked the speech </w:t>
      </w:r>
      <w:proofErr w:type="spellStart"/>
      <w:r w:rsidR="00EA1977">
        <w:t>Philipic</w:t>
      </w:r>
      <w:proofErr w:type="spellEnd"/>
      <w:r w:rsidR="00EA1977">
        <w:t xml:space="preserve"> I by Demosth</w:t>
      </w:r>
      <w:r w:rsidR="00312080">
        <w:t>enes in 351-350</w:t>
      </w:r>
      <w:r w:rsidR="00835926">
        <w:t xml:space="preserve">, which slandered the character of the King of Macedon, referring to him in inflammatory ways.  </w:t>
      </w:r>
      <w:r w:rsidR="00312080">
        <w:t xml:space="preserve">He proposed counter-attacks and urged his countrymen against Philip and the true nature of their enemy. This was countered by </w:t>
      </w:r>
      <w:proofErr w:type="spellStart"/>
      <w:r w:rsidR="008530B5">
        <w:t>Aeschines</w:t>
      </w:r>
      <w:proofErr w:type="spellEnd"/>
      <w:r w:rsidR="00312080">
        <w:t xml:space="preserve"> whom was part of the Peace Embassy, and contradictory to Demosthenes he defended Philip against the slanderous terms Demosthenes used, in his speech</w:t>
      </w:r>
      <w:r w:rsidR="00434A7B">
        <w:t xml:space="preserve"> his speech to the </w:t>
      </w:r>
      <w:r w:rsidR="00190A03">
        <w:t>assembly in 346-347</w:t>
      </w:r>
      <w:r w:rsidR="00F9725B">
        <w:rPr>
          <w:rStyle w:val="FootnoteReference"/>
        </w:rPr>
        <w:footnoteReference w:id="11"/>
      </w:r>
      <w:r w:rsidR="00190A03">
        <w:t>.</w:t>
      </w:r>
      <w:r w:rsidR="00D92FB3">
        <w:t xml:space="preserve"> He claimed that </w:t>
      </w:r>
      <w:proofErr w:type="spellStart"/>
      <w:r w:rsidR="00D92FB3">
        <w:t>Timarchus</w:t>
      </w:r>
      <w:proofErr w:type="spellEnd"/>
      <w:r w:rsidR="00D92FB3">
        <w:t xml:space="preserve"> had forfeited the right to speak and spoke of the problems of generals, where </w:t>
      </w:r>
      <w:r w:rsidR="001E6A31">
        <w:t>Demosthenes</w:t>
      </w:r>
      <w:r w:rsidR="00E21A6D">
        <w:rPr>
          <w:rStyle w:val="FootnoteReference"/>
        </w:rPr>
        <w:footnoteReference w:id="12"/>
      </w:r>
      <w:r w:rsidR="001E6A31">
        <w:t xml:space="preserve"> had</w:t>
      </w:r>
      <w:r w:rsidR="00D92FB3">
        <w:t xml:space="preserve"> </w:t>
      </w:r>
      <w:r w:rsidR="001E6A31">
        <w:t>written</w:t>
      </w:r>
      <w:r w:rsidR="00D92FB3">
        <w:t xml:space="preserve"> of the problems of blaming generals when the true enemy was Philip II of Macedon.</w:t>
      </w:r>
      <w:r w:rsidR="001E6A31">
        <w:t xml:space="preserve"> </w:t>
      </w:r>
      <w:r w:rsidR="00491E1D">
        <w:t xml:space="preserve"> These juxtaposing views are what lead the portrayal of Philip, as both sides are argued </w:t>
      </w:r>
      <w:r w:rsidR="00460E6A">
        <w:t xml:space="preserve">against each other for the portrayal of Philip II.  </w:t>
      </w:r>
    </w:p>
    <w:p w:rsidR="00460E6A" w:rsidRDefault="00460E6A"/>
    <w:p w:rsidR="00294640" w:rsidRDefault="00460E6A">
      <w:r>
        <w:lastRenderedPageBreak/>
        <w:t xml:space="preserve">Secondly, after the Embassy in 343, both Demosthenes </w:t>
      </w:r>
      <w:r w:rsidR="001B56CD">
        <w:t>and</w:t>
      </w:r>
      <w:r w:rsidR="001B56CD" w:rsidRPr="001B56CD">
        <w:t xml:space="preserve"> </w:t>
      </w:r>
      <w:proofErr w:type="spellStart"/>
      <w:r w:rsidR="001B56CD">
        <w:t>Aeschines</w:t>
      </w:r>
      <w:proofErr w:type="spellEnd"/>
      <w:r w:rsidR="001B56CD">
        <w:t xml:space="preserve"> </w:t>
      </w:r>
      <w:r>
        <w:t>release speeches in the same year following Philip’s actions in the North</w:t>
      </w:r>
      <w:r w:rsidR="00FE343A">
        <w:t xml:space="preserve"> with the razing of </w:t>
      </w:r>
      <w:proofErr w:type="spellStart"/>
      <w:r w:rsidR="00FE343A">
        <w:t>Olynthia</w:t>
      </w:r>
      <w:proofErr w:type="spellEnd"/>
      <w:r w:rsidR="00FE343A">
        <w:t>, and the conquering of Chalcidice</w:t>
      </w:r>
      <w:r>
        <w:t>, and the pea</w:t>
      </w:r>
      <w:r w:rsidR="00FE343A">
        <w:t>ce is discussed and then broken with Philip’s campaigning.</w:t>
      </w:r>
      <w:r>
        <w:t xml:space="preserve"> Demosthenes comments in the assembly</w:t>
      </w:r>
      <w:r w:rsidR="00FE343A">
        <w:t xml:space="preserve"> </w:t>
      </w:r>
      <w:r w:rsidR="009B5636">
        <w:t xml:space="preserve">of Philip’s character yet again with the comments of treachery, false diplomacy and being a war-lord, an attack on his character. Following this he writes a speech against </w:t>
      </w:r>
      <w:proofErr w:type="spellStart"/>
      <w:r w:rsidR="001B56CD">
        <w:t>Aeschines</w:t>
      </w:r>
      <w:proofErr w:type="spellEnd"/>
      <w:r w:rsidR="009B5636">
        <w:t xml:space="preserve"> and the ‘False Embassy’ and a court case ensues.  </w:t>
      </w:r>
      <w:proofErr w:type="spellStart"/>
      <w:r w:rsidR="001B56CD">
        <w:t>Aeschines</w:t>
      </w:r>
      <w:proofErr w:type="spellEnd"/>
      <w:r w:rsidR="004C0AEB">
        <w:t xml:space="preserve"> is not idle in this time and orates his own speech to the </w:t>
      </w:r>
      <w:r w:rsidR="009F6A25">
        <w:t>People’s Court with ‘On the Embassy’</w:t>
      </w:r>
      <w:r w:rsidR="00E21A6D">
        <w:rPr>
          <w:rStyle w:val="FootnoteReference"/>
        </w:rPr>
        <w:footnoteReference w:id="13"/>
      </w:r>
      <w:r w:rsidR="009F6A25">
        <w:t xml:space="preserve">, he starts with the accusations of Demosthenes of treason, and defends Philip’s character, as well as the third member of the Peace Embassy </w:t>
      </w:r>
      <w:proofErr w:type="spellStart"/>
      <w:r w:rsidR="00A375BF">
        <w:t>Philocrates</w:t>
      </w:r>
      <w:proofErr w:type="spellEnd"/>
      <w:r w:rsidR="00A375BF">
        <w:t xml:space="preserve"> whom was accused of being bribed by Philip by Demosthenes without evidence for the crime, this speech mainly is to counterattack the court claim and accusations rather than a defence by Philip but he does use the same terminology when referring to Philip as he did prior</w:t>
      </w:r>
      <w:r w:rsidR="00E21A6D">
        <w:rPr>
          <w:rStyle w:val="FootnoteReference"/>
        </w:rPr>
        <w:footnoteReference w:id="14"/>
      </w:r>
      <w:r w:rsidR="00A375BF">
        <w:t xml:space="preserve">. </w:t>
      </w:r>
      <w:r w:rsidR="00300466">
        <w:t>This yet again outlines the debate between the two orators on their key subject but also emphasises the rivalry between the two is ongoing, hence their differing views in the portrayal itself, this helps us to understand later why the portrayals of the two differ so greatly.</w:t>
      </w:r>
    </w:p>
    <w:p w:rsidR="00712546" w:rsidRDefault="009A5468">
      <w:r>
        <w:t xml:space="preserve">During this year of the court case, Demosthenes realised another oration oh Philip II (343-344) called </w:t>
      </w:r>
      <w:proofErr w:type="spellStart"/>
      <w:r>
        <w:t>Philipic</w:t>
      </w:r>
      <w:proofErr w:type="spellEnd"/>
      <w:r>
        <w:t xml:space="preserve"> II, during which he condemned Philip’s actions of conquering, further insulting the character of the Macedon King.  He spoke of misconduct, designs for Greek states, and increased wrongs towards the Greeks and their democracy</w:t>
      </w:r>
      <w:r w:rsidR="00D65C98">
        <w:t xml:space="preserve"> however during this year there were calls from the </w:t>
      </w:r>
      <w:proofErr w:type="spellStart"/>
      <w:r w:rsidR="00D65C98">
        <w:t>Lacaedonians</w:t>
      </w:r>
      <w:proofErr w:type="spellEnd"/>
      <w:r w:rsidR="00D65C98">
        <w:t xml:space="preserve"> about Demosthenes conduc</w:t>
      </w:r>
      <w:r w:rsidR="00A93EEC">
        <w:t>t</w:t>
      </w:r>
      <w:r w:rsidR="00E23077">
        <w:rPr>
          <w:rStyle w:val="FootnoteReference"/>
        </w:rPr>
        <w:footnoteReference w:id="15"/>
      </w:r>
      <w:r w:rsidR="00A93EEC">
        <w:t>.</w:t>
      </w:r>
      <w:r w:rsidR="00170B2C">
        <w:t xml:space="preserve"> After this, in 341 he released his speech On the </w:t>
      </w:r>
      <w:proofErr w:type="spellStart"/>
      <w:r w:rsidR="00170B2C">
        <w:t>Cheronese</w:t>
      </w:r>
      <w:proofErr w:type="spellEnd"/>
      <w:r w:rsidR="00170B2C">
        <w:t xml:space="preserve"> in the People’s Court</w:t>
      </w:r>
      <w:r w:rsidR="00980802">
        <w:t xml:space="preserve"> in response to Philip’s Formal Complaint against the Athenians, he commented on Philip’s conduct in Cardia and referred back to the previous case against the generals as well as commenting on the infighting between politicians and orators, and how Philip </w:t>
      </w:r>
      <w:r w:rsidR="00D83E0F">
        <w:t>i</w:t>
      </w:r>
      <w:r w:rsidR="00980802">
        <w:t>s the true enemy</w:t>
      </w:r>
      <w:r w:rsidR="00EA04AE">
        <w:t>, he further slates Philip’s character throughout.</w:t>
      </w:r>
      <w:r w:rsidR="00317CCA">
        <w:t xml:space="preserve"> While, as the same year he also released </w:t>
      </w:r>
      <w:proofErr w:type="spellStart"/>
      <w:r w:rsidR="00317CCA">
        <w:t>Philipic</w:t>
      </w:r>
      <w:proofErr w:type="spellEnd"/>
      <w:r w:rsidR="00317CCA">
        <w:t xml:space="preserve"> III, which he tied into On the </w:t>
      </w:r>
      <w:proofErr w:type="spellStart"/>
      <w:r w:rsidR="00317CCA">
        <w:t>Cheronese</w:t>
      </w:r>
      <w:proofErr w:type="spellEnd"/>
      <w:r w:rsidR="00317CCA">
        <w:t xml:space="preserve">, and into the previous speeches and the conduct of other Orators such as </w:t>
      </w:r>
      <w:proofErr w:type="spellStart"/>
      <w:r w:rsidR="001B56CD">
        <w:t>Aeschines</w:t>
      </w:r>
      <w:proofErr w:type="spellEnd"/>
      <w:r w:rsidR="00317CCA">
        <w:t xml:space="preserve">, and the </w:t>
      </w:r>
      <w:r w:rsidR="00712546">
        <w:t>cases against Athenian Generals being brought to Court for actions against Philip</w:t>
      </w:r>
      <w:r w:rsidR="009C6356">
        <w:rPr>
          <w:rStyle w:val="FootnoteReference"/>
        </w:rPr>
        <w:footnoteReference w:id="16"/>
      </w:r>
      <w:r w:rsidR="00712546">
        <w:t xml:space="preserve">.  </w:t>
      </w:r>
    </w:p>
    <w:p w:rsidR="009A5468" w:rsidRDefault="00200D93">
      <w:r>
        <w:t xml:space="preserve">Lastly, </w:t>
      </w:r>
      <w:proofErr w:type="spellStart"/>
      <w:r w:rsidR="001B56CD">
        <w:t>Aeschines</w:t>
      </w:r>
      <w:proofErr w:type="spellEnd"/>
      <w:r w:rsidR="009F3307">
        <w:t xml:space="preserve"> fought back against </w:t>
      </w:r>
      <w:r w:rsidR="009F3307" w:rsidRPr="00E25186">
        <w:t xml:space="preserve">these with the release of his speeches </w:t>
      </w:r>
      <w:r w:rsidR="009F3307" w:rsidRPr="00E25186">
        <w:rPr>
          <w:rFonts w:cstheme="minorHAnsi"/>
        </w:rPr>
        <w:t>ag</w:t>
      </w:r>
      <w:r w:rsidR="009F3307" w:rsidRPr="00E25186">
        <w:rPr>
          <w:rFonts w:cstheme="minorHAnsi"/>
          <w:iCs/>
          <w:shd w:val="clear" w:color="auto" w:fill="FFFFFF"/>
        </w:rPr>
        <w:t>ainst Ctesiphon</w:t>
      </w:r>
      <w:r w:rsidR="009F3307" w:rsidRPr="00E25186">
        <w:rPr>
          <w:rFonts w:cstheme="minorHAnsi"/>
          <w:shd w:val="clear" w:color="auto" w:fill="FFFFFF"/>
        </w:rPr>
        <w:t> and </w:t>
      </w:r>
      <w:r w:rsidR="009F3307" w:rsidRPr="00E25186">
        <w:rPr>
          <w:rFonts w:cstheme="minorHAnsi"/>
          <w:iCs/>
          <w:shd w:val="clear" w:color="auto" w:fill="FFFFFF"/>
        </w:rPr>
        <w:t>On the Crown</w:t>
      </w:r>
      <w:r w:rsidR="00E23077">
        <w:rPr>
          <w:rStyle w:val="FootnoteReference"/>
          <w:rFonts w:cstheme="minorHAnsi"/>
          <w:iCs/>
          <w:shd w:val="clear" w:color="auto" w:fill="FFFFFF"/>
        </w:rPr>
        <w:footnoteReference w:id="17"/>
      </w:r>
      <w:r w:rsidR="009F3307" w:rsidRPr="00E25186">
        <w:rPr>
          <w:rFonts w:cstheme="minorHAnsi"/>
          <w:iCs/>
          <w:shd w:val="clear" w:color="auto" w:fill="FFFFFF"/>
        </w:rPr>
        <w:t xml:space="preserve">, on which he comments </w:t>
      </w:r>
      <w:r w:rsidR="00E25186" w:rsidRPr="00E25186">
        <w:rPr>
          <w:rFonts w:cstheme="minorHAnsi"/>
          <w:iCs/>
          <w:shd w:val="clear" w:color="auto" w:fill="FFFFFF"/>
        </w:rPr>
        <w:t xml:space="preserve">on the awarding of a golden crowd towards </w:t>
      </w:r>
      <w:proofErr w:type="spellStart"/>
      <w:r w:rsidR="00E25186" w:rsidRPr="00E25186">
        <w:rPr>
          <w:rFonts w:cstheme="minorHAnsi"/>
          <w:iCs/>
          <w:shd w:val="clear" w:color="auto" w:fill="FFFFFF"/>
        </w:rPr>
        <w:t>Demothenes</w:t>
      </w:r>
      <w:proofErr w:type="spellEnd"/>
      <w:r w:rsidR="00E25186" w:rsidRPr="00E25186">
        <w:rPr>
          <w:rFonts w:cstheme="minorHAnsi"/>
          <w:iCs/>
          <w:shd w:val="clear" w:color="auto" w:fill="FFFFFF"/>
        </w:rPr>
        <w:t xml:space="preserve"> and how this should not be given to the orator due to crimes towards the state</w:t>
      </w:r>
      <w:r w:rsidR="00E23077">
        <w:rPr>
          <w:rStyle w:val="FootnoteReference"/>
          <w:rFonts w:cstheme="minorHAnsi"/>
          <w:iCs/>
          <w:shd w:val="clear" w:color="auto" w:fill="FFFFFF"/>
        </w:rPr>
        <w:footnoteReference w:id="18"/>
      </w:r>
      <w:r w:rsidR="00E25186" w:rsidRPr="00E25186">
        <w:rPr>
          <w:rFonts w:cstheme="minorHAnsi"/>
          <w:iCs/>
          <w:shd w:val="clear" w:color="auto" w:fill="FFFFFF"/>
        </w:rPr>
        <w:t xml:space="preserve">, of which he received overwhelming support for, resulting in a ‘win’ per se. </w:t>
      </w:r>
      <w:r w:rsidR="00712546">
        <w:t>So, even without mentioning explicit context within the speech itself we see a pattern of context, and connection throughout, a series of action and reaction by both orators in their rivalry and the actions taken towards each</w:t>
      </w:r>
      <w:r w:rsidR="00E25186">
        <w:t xml:space="preserve"> </w:t>
      </w:r>
      <w:r w:rsidR="00712546">
        <w:t>other.</w:t>
      </w:r>
      <w:r w:rsidR="00E25186">
        <w:t xml:space="preserve"> And how, even with the portrayal of Philip II in their speeches, the context of the speeches was down to an oratory rivalry which had no place within politics and clearly clouded both their portrayals of the characterization of Philip II in their literature. We see also how Philip’s actions in the states around Athens clouds their judgement, without this context however, we cannot go on to further analyse their speeches and draw comparison correctly. </w:t>
      </w:r>
    </w:p>
    <w:p w:rsidR="0083099B" w:rsidRDefault="00AC63B0">
      <w:r>
        <w:lastRenderedPageBreak/>
        <w:t xml:space="preserve">On Demosthenes, we see recurring words throughout his speeches, with references to </w:t>
      </w:r>
      <w:r w:rsidR="0041096F">
        <w:t>the word “tyrant”</w:t>
      </w:r>
      <w:r w:rsidR="007C49B1" w:rsidRPr="007C49B1">
        <w:rPr>
          <w:rStyle w:val="FootnoteReference"/>
        </w:rPr>
        <w:t xml:space="preserve"> </w:t>
      </w:r>
      <w:r w:rsidR="007C49B1">
        <w:rPr>
          <w:rStyle w:val="FootnoteReference"/>
        </w:rPr>
        <w:footnoteReference w:id="19"/>
      </w:r>
      <w:r w:rsidR="0041096F">
        <w:t>, “tyranny”</w:t>
      </w:r>
      <w:r w:rsidR="007C49B1">
        <w:rPr>
          <w:rStyle w:val="FootnoteReference"/>
        </w:rPr>
        <w:footnoteReference w:id="20"/>
      </w:r>
      <w:r w:rsidR="0041096F">
        <w:t xml:space="preserve"> and being associated with “tyrants”</w:t>
      </w:r>
      <w:r w:rsidR="007C49B1">
        <w:rPr>
          <w:rStyle w:val="FootnoteReference"/>
        </w:rPr>
        <w:footnoteReference w:id="21"/>
      </w:r>
      <w:r w:rsidR="0041096F">
        <w:t xml:space="preserve"> in both On the </w:t>
      </w:r>
      <w:proofErr w:type="spellStart"/>
      <w:r w:rsidR="0041096F">
        <w:t>Chersones</w:t>
      </w:r>
      <w:proofErr w:type="spellEnd"/>
      <w:r w:rsidR="0041096F">
        <w:t xml:space="preserve"> and </w:t>
      </w:r>
      <w:proofErr w:type="spellStart"/>
      <w:r w:rsidR="0041096F">
        <w:t>Philipic</w:t>
      </w:r>
      <w:proofErr w:type="spellEnd"/>
      <w:r w:rsidR="0041096F">
        <w:t xml:space="preserve"> III, and throughout w</w:t>
      </w:r>
      <w:r w:rsidR="002F07FE">
        <w:t>e get the description of a war-l</w:t>
      </w:r>
      <w:r w:rsidR="0041096F">
        <w:t>ord</w:t>
      </w:r>
      <w:r w:rsidR="002F07FE">
        <w:rPr>
          <w:rStyle w:val="FootnoteReference"/>
        </w:rPr>
        <w:footnoteReference w:id="22"/>
      </w:r>
      <w:r w:rsidR="0041096F">
        <w:t xml:space="preserve"> as events are recounted through Demosthenes gaze, </w:t>
      </w:r>
      <w:r w:rsidR="007C49B1">
        <w:t>within he also references the words “evil”, “hostile”</w:t>
      </w:r>
      <w:r w:rsidR="00323936">
        <w:rPr>
          <w:rStyle w:val="FootnoteReference"/>
        </w:rPr>
        <w:footnoteReference w:id="23"/>
      </w:r>
      <w:r w:rsidR="007C49B1">
        <w:t>, “ill-disposed”</w:t>
      </w:r>
      <w:r w:rsidR="00323936">
        <w:rPr>
          <w:rStyle w:val="FootnoteReference"/>
        </w:rPr>
        <w:footnoteReference w:id="24"/>
      </w:r>
      <w:r w:rsidR="007C49B1">
        <w:t>, “troublesome”, “treacherous”</w:t>
      </w:r>
      <w:r w:rsidR="00890C85">
        <w:rPr>
          <w:rStyle w:val="FootnoteReference"/>
        </w:rPr>
        <w:footnoteReference w:id="25"/>
      </w:r>
      <w:r w:rsidR="007C49B1">
        <w:t>, “destructive”</w:t>
      </w:r>
      <w:r w:rsidR="002F07FE">
        <w:rPr>
          <w:rStyle w:val="FootnoteReference"/>
        </w:rPr>
        <w:footnoteReference w:id="26"/>
      </w:r>
      <w:r w:rsidR="007C49B1">
        <w:t>, “plunder”, and “without peace”</w:t>
      </w:r>
      <w:r w:rsidR="00323936">
        <w:rPr>
          <w:rStyle w:val="FootnoteReference"/>
        </w:rPr>
        <w:footnoteReference w:id="27"/>
      </w:r>
      <w:r w:rsidR="007C49B1">
        <w:t xml:space="preserve"> when commenting on Philip’s character</w:t>
      </w:r>
      <w:r w:rsidR="002F07FE">
        <w:t>, he describes him as being bent on ruin and destruction of democracy which is both an insult and a political device to turn those against him, as this is also used when referring to the Persians and Spartans in earlier literary texts when Athens faces a foe</w:t>
      </w:r>
    </w:p>
    <w:p w:rsidR="00C417DB" w:rsidRDefault="002F07FE">
      <w:r>
        <w:t>.</w:t>
      </w:r>
      <w:r w:rsidR="00AD79B7">
        <w:t xml:space="preserve"> His narrative presents Philip II as an almost fictitious sort of villain in his description, with no scruples on any other features accept the destructive nature in which he describes. </w:t>
      </w:r>
      <w:r w:rsidR="009C6356">
        <w:t xml:space="preserve"> </w:t>
      </w:r>
      <w:r w:rsidR="0087182C">
        <w:t xml:space="preserve">He even describes Philip II as a “petulant knave” in </w:t>
      </w:r>
      <w:proofErr w:type="spellStart"/>
      <w:r w:rsidR="0087182C">
        <w:t>Philipic</w:t>
      </w:r>
      <w:proofErr w:type="spellEnd"/>
      <w:r w:rsidR="0087182C">
        <w:t xml:space="preserve"> III</w:t>
      </w:r>
      <w:r w:rsidR="0087182C">
        <w:rPr>
          <w:rStyle w:val="FootnoteReference"/>
        </w:rPr>
        <w:footnoteReference w:id="28"/>
      </w:r>
      <w:r w:rsidR="001964FC">
        <w:t xml:space="preserve"> which seems slightly unprofessional as a historical source, or even in a political sense entirely. It appears that despite the earlier argument that occurred about the differences in oratory style between</w:t>
      </w:r>
      <w:r w:rsidR="0021326B" w:rsidRPr="0021326B">
        <w:t xml:space="preserve"> </w:t>
      </w:r>
      <w:proofErr w:type="spellStart"/>
      <w:r w:rsidR="0021326B">
        <w:t>Aeschines</w:t>
      </w:r>
      <w:proofErr w:type="spellEnd"/>
      <w:r w:rsidR="0021326B">
        <w:t xml:space="preserve"> </w:t>
      </w:r>
      <w:r w:rsidR="001964FC">
        <w:t>and Demosthenes and their use of laughable language</w:t>
      </w:r>
      <w:r w:rsidR="001964FC">
        <w:rPr>
          <w:rStyle w:val="FootnoteReference"/>
        </w:rPr>
        <w:footnoteReference w:id="29"/>
      </w:r>
      <w:r w:rsidR="001964FC">
        <w:t>, even Demosthen</w:t>
      </w:r>
      <w:r w:rsidR="00100C2F">
        <w:t>es is a hypocrite in that sense and offers no valuable insight into the characterisation of Philip in a historical sense at all.</w:t>
      </w:r>
      <w:r w:rsidR="00A9002B">
        <w:t xml:space="preserve"> </w:t>
      </w:r>
      <w:proofErr w:type="spellStart"/>
      <w:r w:rsidR="00A9002B">
        <w:t>Demosthanes</w:t>
      </w:r>
      <w:proofErr w:type="spellEnd"/>
      <w:r w:rsidR="00A9002B">
        <w:t xml:space="preserve"> would have us see Philip II as a barbarian monarch with no place in Greek society as a whole</w:t>
      </w:r>
      <w:r w:rsidR="00E8020D">
        <w:t xml:space="preserve"> with the sole ambition to enslave the Greeks</w:t>
      </w:r>
      <w:r w:rsidR="000467C5">
        <w:t>,</w:t>
      </w:r>
      <w:r w:rsidR="00E8020D">
        <w:rPr>
          <w:rStyle w:val="FootnoteReference"/>
        </w:rPr>
        <w:footnoteReference w:id="30"/>
      </w:r>
      <w:r w:rsidR="000467C5">
        <w:t xml:space="preserve"> which entirely contrasts </w:t>
      </w:r>
      <w:proofErr w:type="spellStart"/>
      <w:r w:rsidR="0021326B">
        <w:t>Aeschines</w:t>
      </w:r>
      <w:proofErr w:type="spellEnd"/>
      <w:r w:rsidR="000467C5">
        <w:t>’ depiction of Philip II in a more moderate sense, he does not demonise the character oh Philip but rather uses words such as “humanity” and moderation”</w:t>
      </w:r>
      <w:r w:rsidR="000467C5">
        <w:rPr>
          <w:rStyle w:val="FootnoteReference"/>
        </w:rPr>
        <w:footnoteReference w:id="31"/>
      </w:r>
      <w:r w:rsidR="0083099B">
        <w:t xml:space="preserve"> being used to describe the portrayal of Philip. This is a complete opposition to what Demosth</w:t>
      </w:r>
      <w:r w:rsidR="0021326B">
        <w:t xml:space="preserve">enes writes as a whole.  </w:t>
      </w:r>
      <w:proofErr w:type="spellStart"/>
      <w:r w:rsidR="0021326B">
        <w:t>Aeschin</w:t>
      </w:r>
      <w:r w:rsidR="0083099B">
        <w:t>es</w:t>
      </w:r>
      <w:proofErr w:type="spellEnd"/>
      <w:r w:rsidR="0083099B">
        <w:t xml:space="preserve"> continues with mentions of</w:t>
      </w:r>
      <w:r w:rsidR="00727353">
        <w:t xml:space="preserve"> Philip II as moderate in view of the defeat at </w:t>
      </w:r>
      <w:proofErr w:type="spellStart"/>
      <w:r w:rsidR="00727353">
        <w:t>Chaeroneia</w:t>
      </w:r>
      <w:proofErr w:type="spellEnd"/>
      <w:r w:rsidR="00727353">
        <w:t xml:space="preserve"> in lieu of Macedonia</w:t>
      </w:r>
      <w:r w:rsidR="00727353">
        <w:rPr>
          <w:rStyle w:val="FootnoteReference"/>
        </w:rPr>
        <w:footnoteReference w:id="32"/>
      </w:r>
      <w:r w:rsidR="001478DD">
        <w:t xml:space="preserve"> and goes on to mention that the treatment of the Macedonians and Philip II by Demosthenes was incorrect and improper, which as previously mentioned was a chief complaint mentioned by </w:t>
      </w:r>
      <w:r w:rsidR="001033BC">
        <w:t xml:space="preserve">the </w:t>
      </w:r>
      <w:proofErr w:type="spellStart"/>
      <w:r w:rsidR="001033BC">
        <w:t>Lacaedonians</w:t>
      </w:r>
      <w:proofErr w:type="spellEnd"/>
      <w:r w:rsidR="001033BC">
        <w:t xml:space="preserve"> also. </w:t>
      </w:r>
      <w:r w:rsidR="006E176B">
        <w:t xml:space="preserve"> </w:t>
      </w:r>
      <w:proofErr w:type="spellStart"/>
      <w:r w:rsidR="006E176B">
        <w:t>Aechides</w:t>
      </w:r>
      <w:proofErr w:type="spellEnd"/>
      <w:r w:rsidR="006E176B">
        <w:t xml:space="preserve"> is also more critical when mentioning the engagements with Philip being the fault of the Athenians, their Generals, their lack of initiative when politicking with other Greek states rather than the fault of Philip as a whole also</w:t>
      </w:r>
      <w:r w:rsidR="000E5C5C">
        <w:rPr>
          <w:rStyle w:val="FootnoteReference"/>
        </w:rPr>
        <w:footnoteReference w:id="33"/>
      </w:r>
      <w:r w:rsidR="006E176B">
        <w:t>, which is more fair</w:t>
      </w:r>
      <w:r w:rsidR="00CA6BAE">
        <w:t xml:space="preserve"> while </w:t>
      </w:r>
      <w:r w:rsidR="003C6C60">
        <w:t>Demosthenes</w:t>
      </w:r>
      <w:r w:rsidR="006E176B">
        <w:t xml:space="preserve"> rather</w:t>
      </w:r>
      <w:r w:rsidR="00CA6BAE">
        <w:t xml:space="preserve"> blames Philip for merely being first on the field</w:t>
      </w:r>
      <w:r w:rsidR="00C417DB">
        <w:t xml:space="preserve">. </w:t>
      </w:r>
    </w:p>
    <w:p w:rsidR="00A73C1A" w:rsidRDefault="00B85904">
      <w:r>
        <w:t>In conclusion, t</w:t>
      </w:r>
      <w:r w:rsidR="00C417DB">
        <w:t>he only thing which both orators can agree on is the opportunistic nature of Philip II</w:t>
      </w:r>
      <w:r w:rsidR="00C417DB">
        <w:rPr>
          <w:rStyle w:val="FootnoteReference"/>
        </w:rPr>
        <w:footnoteReference w:id="34"/>
      </w:r>
      <w:r w:rsidR="00C417DB">
        <w:t xml:space="preserve">, </w:t>
      </w:r>
      <w:r w:rsidR="00506D5F">
        <w:t xml:space="preserve"> and also of the political intrigue that Philip Ii would use to disguise peace and politics as underhanded war strategies which led to conflict as shown by the isolation of Thrace by allying with Athens.</w:t>
      </w:r>
      <w:r w:rsidR="00506D5F">
        <w:rPr>
          <w:rStyle w:val="FootnoteReference"/>
        </w:rPr>
        <w:footnoteReference w:id="35"/>
      </w:r>
      <w:r w:rsidR="00506D5F">
        <w:t xml:space="preserve"> However, unlike Demosthenes, this is shown as almost a positive qu</w:t>
      </w:r>
      <w:r w:rsidR="00860F17">
        <w:t xml:space="preserve">ality when referring to </w:t>
      </w:r>
      <w:r w:rsidR="00860F17">
        <w:lastRenderedPageBreak/>
        <w:t>Philip, and his ability to seem like he wishes to make peace yet continues to act with aggression.</w:t>
      </w:r>
      <w:r w:rsidR="00860F17">
        <w:rPr>
          <w:rStyle w:val="FootnoteReference"/>
        </w:rPr>
        <w:footnoteReference w:id="36"/>
      </w:r>
      <w:r w:rsidR="00A73C1A">
        <w:t xml:space="preserve">  </w:t>
      </w:r>
      <w:r w:rsidR="00A733A1">
        <w:t>This more analytical approach to t</w:t>
      </w:r>
      <w:r w:rsidR="0021326B">
        <w:t xml:space="preserve">he language used in both </w:t>
      </w:r>
      <w:proofErr w:type="spellStart"/>
      <w:r w:rsidR="0021326B">
        <w:t>Aeschin</w:t>
      </w:r>
      <w:r w:rsidR="00A733A1">
        <w:t>es</w:t>
      </w:r>
      <w:proofErr w:type="spellEnd"/>
      <w:r w:rsidR="00A733A1">
        <w:t xml:space="preserve"> and Demosthenes shows a complete opposition to the characterisation of Philip Ii in both, on one hand Philip is a powerful and undefeatable threat, only hostile, always the first to make the moves politically and not opposed to using treachery and underhanded politics to get his way- Yet, on the other, he is an unexpected safety, able to move in both martial and political fields, able to convince enemies of peace while still being aggressive (in a positive way), and also gracious to his enemy when he wins and prone to moderation and humanity.  These are completely different people, it seems. The only comparison between the two being the ability to manoeuvre politically in catspaws and manipulative ways. But ongoing within the narrative there is still the air of hostility between the two </w:t>
      </w:r>
      <w:r w:rsidR="00BF6C75">
        <w:t>orators completely</w:t>
      </w:r>
      <w:r w:rsidR="00A44BBB">
        <w:t xml:space="preserve"> encasing Philip II within the subject of their hatred for each other and the ongoing disputes in court between them both. </w:t>
      </w:r>
      <w:r w:rsidR="00A733A1">
        <w:t xml:space="preserve"> </w:t>
      </w:r>
      <w:r w:rsidR="00BF6C75">
        <w:t>This should in fact negate both orators as a source for historical comparison, but due to the sparsity of material, this actually gives more insight into the different minds of the Greeks, both for and aga</w:t>
      </w:r>
      <w:r w:rsidR="00F50988">
        <w:t xml:space="preserve">inst Philip amongst his enemies and therefore gives at least a small characterization of the man without the interference of later texts associating with Philip and Alexander as almost heroes post-Alexander. </w:t>
      </w:r>
      <w:r w:rsidR="008D64E0">
        <w:t>The public rhetoric does give us a timeline, and how the diverging opinions were swayed over the course of time, and the slow decline of Athens as a military power and political rival, as well as a small glimpse into the political factions</w:t>
      </w:r>
      <w:r w:rsidR="00991B80">
        <w:t xml:space="preserve"> within Athens at the times and the views they held, and how the Assembly and People’s Court were used for propaganda and politics rather than judicial proceedings alone.</w:t>
      </w:r>
      <w:r w:rsidR="00111B3E">
        <w:t xml:space="preserve"> The Modern Scholarship, as mentioned before is very sceptical in the belief that Orators are a good historical source to use, and very scathing in their opinion, </w:t>
      </w:r>
      <w:r w:rsidR="008B7A1B">
        <w:t xml:space="preserve">if not a </w:t>
      </w:r>
      <w:r w:rsidR="008B7A1B">
        <w:t xml:space="preserve">giving </w:t>
      </w:r>
      <w:r w:rsidR="008B7A1B">
        <w:t>characterisation of Philip II at least</w:t>
      </w:r>
      <w:r w:rsidR="00111B3E">
        <w:t xml:space="preserve"> it does give an idea of the importance of Orators as a whole in the societ</w:t>
      </w:r>
      <w:r w:rsidR="008B7A1B">
        <w:t>y</w:t>
      </w:r>
      <w:r w:rsidR="004F73DE">
        <w:t>.</w:t>
      </w:r>
    </w:p>
    <w:p w:rsidR="00B31358" w:rsidRDefault="00B31358"/>
    <w:p w:rsidR="00B31358" w:rsidRDefault="00B31358">
      <w:pPr>
        <w:rPr>
          <w:b/>
          <w:u w:val="single"/>
        </w:rPr>
      </w:pPr>
      <w:r w:rsidRPr="00B31358">
        <w:rPr>
          <w:b/>
          <w:u w:val="single"/>
        </w:rPr>
        <w:t>BIBLIOGRAPHY:</w:t>
      </w:r>
    </w:p>
    <w:p w:rsidR="00401A1A" w:rsidRDefault="00401A1A" w:rsidP="00F63AEF">
      <w:pPr>
        <w:shd w:val="clear" w:color="auto" w:fill="FFFFFF"/>
        <w:spacing w:after="0" w:line="240" w:lineRule="auto"/>
        <w:outlineLvl w:val="0"/>
        <w:rPr>
          <w:rFonts w:eastAsia="Times New Roman" w:cstheme="minorHAnsi"/>
          <w:color w:val="333333"/>
          <w:kern w:val="36"/>
          <w:sz w:val="20"/>
          <w:szCs w:val="20"/>
          <w:lang w:eastAsia="en-GB"/>
        </w:rPr>
      </w:pPr>
      <w:proofErr w:type="spellStart"/>
      <w:r>
        <w:rPr>
          <w:rFonts w:eastAsia="Times New Roman" w:cstheme="minorHAnsi"/>
          <w:color w:val="333333"/>
          <w:kern w:val="36"/>
          <w:sz w:val="20"/>
          <w:szCs w:val="20"/>
          <w:lang w:eastAsia="en-GB"/>
        </w:rPr>
        <w:t>Aeschines</w:t>
      </w:r>
      <w:proofErr w:type="spellEnd"/>
      <w:r>
        <w:rPr>
          <w:rFonts w:eastAsia="Times New Roman" w:cstheme="minorHAnsi"/>
          <w:color w:val="333333"/>
          <w:kern w:val="36"/>
          <w:sz w:val="20"/>
          <w:szCs w:val="20"/>
          <w:lang w:eastAsia="en-GB"/>
        </w:rPr>
        <w:t xml:space="preserve">. </w:t>
      </w:r>
      <w:proofErr w:type="gramStart"/>
      <w:r>
        <w:rPr>
          <w:rFonts w:eastAsia="Times New Roman" w:cstheme="minorHAnsi"/>
          <w:color w:val="333333"/>
          <w:kern w:val="36"/>
          <w:sz w:val="20"/>
          <w:szCs w:val="20"/>
          <w:lang w:eastAsia="en-GB"/>
        </w:rPr>
        <w:t>Trans .</w:t>
      </w:r>
      <w:proofErr w:type="gramEnd"/>
      <w:r w:rsidRPr="00401A1A">
        <w:rPr>
          <w:rFonts w:eastAsia="Times New Roman" w:cstheme="minorHAnsi"/>
          <w:color w:val="333333"/>
          <w:kern w:val="36"/>
          <w:sz w:val="20"/>
          <w:szCs w:val="20"/>
          <w:lang w:eastAsia="en-GB"/>
        </w:rPr>
        <w:t xml:space="preserve"> </w:t>
      </w:r>
      <w:r>
        <w:rPr>
          <w:rFonts w:eastAsia="Times New Roman" w:cstheme="minorHAnsi"/>
          <w:color w:val="333333"/>
          <w:kern w:val="36"/>
          <w:sz w:val="20"/>
          <w:szCs w:val="20"/>
          <w:lang w:eastAsia="en-GB"/>
        </w:rPr>
        <w:t>C. D.</w:t>
      </w:r>
      <w:r w:rsidRPr="00401A1A">
        <w:rPr>
          <w:rFonts w:eastAsia="Times New Roman" w:cstheme="minorHAnsi"/>
          <w:color w:val="333333"/>
          <w:kern w:val="36"/>
          <w:sz w:val="20"/>
          <w:szCs w:val="20"/>
          <w:lang w:eastAsia="en-GB"/>
        </w:rPr>
        <w:t xml:space="preserve"> Adams</w:t>
      </w:r>
      <w:r w:rsidRPr="00401A1A">
        <w:rPr>
          <w:rFonts w:eastAsia="Times New Roman" w:cstheme="minorHAnsi"/>
          <w:color w:val="333333"/>
          <w:kern w:val="36"/>
          <w:sz w:val="20"/>
          <w:szCs w:val="20"/>
          <w:lang w:eastAsia="en-GB"/>
        </w:rPr>
        <w:t xml:space="preserve"> </w:t>
      </w:r>
      <w:r>
        <w:rPr>
          <w:rFonts w:eastAsia="Times New Roman" w:cstheme="minorHAnsi"/>
          <w:color w:val="333333"/>
          <w:kern w:val="36"/>
          <w:sz w:val="20"/>
          <w:szCs w:val="20"/>
          <w:lang w:eastAsia="en-GB"/>
        </w:rPr>
        <w:t>.</w:t>
      </w:r>
      <w:r w:rsidR="009F7CD5">
        <w:rPr>
          <w:rFonts w:eastAsia="Times New Roman" w:cstheme="minorHAnsi"/>
          <w:color w:val="333333"/>
          <w:kern w:val="36"/>
          <w:sz w:val="20"/>
          <w:szCs w:val="20"/>
          <w:lang w:eastAsia="en-GB"/>
        </w:rPr>
        <w:t>1919.</w:t>
      </w:r>
      <w:r>
        <w:rPr>
          <w:rFonts w:eastAsia="Times New Roman" w:cstheme="minorHAnsi"/>
          <w:color w:val="333333"/>
          <w:kern w:val="36"/>
          <w:sz w:val="20"/>
          <w:szCs w:val="20"/>
          <w:lang w:eastAsia="en-GB"/>
        </w:rPr>
        <w:t xml:space="preserve"> </w:t>
      </w:r>
      <w:r w:rsidRPr="00401A1A">
        <w:rPr>
          <w:rFonts w:eastAsia="Times New Roman" w:cstheme="minorHAnsi"/>
          <w:color w:val="333333"/>
          <w:kern w:val="36"/>
          <w:sz w:val="20"/>
          <w:szCs w:val="20"/>
          <w:lang w:eastAsia="en-GB"/>
        </w:rPr>
        <w:t xml:space="preserve">The speeches: against </w:t>
      </w:r>
      <w:proofErr w:type="spellStart"/>
      <w:r w:rsidRPr="00401A1A">
        <w:rPr>
          <w:rFonts w:eastAsia="Times New Roman" w:cstheme="minorHAnsi"/>
          <w:color w:val="333333"/>
          <w:kern w:val="36"/>
          <w:sz w:val="20"/>
          <w:szCs w:val="20"/>
          <w:lang w:eastAsia="en-GB"/>
        </w:rPr>
        <w:t>Timarchus</w:t>
      </w:r>
      <w:proofErr w:type="spellEnd"/>
      <w:r w:rsidRPr="00401A1A">
        <w:rPr>
          <w:rFonts w:eastAsia="Times New Roman" w:cstheme="minorHAnsi"/>
          <w:color w:val="333333"/>
          <w:kern w:val="36"/>
          <w:sz w:val="20"/>
          <w:szCs w:val="20"/>
          <w:lang w:eastAsia="en-GB"/>
        </w:rPr>
        <w:t xml:space="preserve">, on the embassy, against Ctesiphon. </w:t>
      </w:r>
      <w:r w:rsidR="00F63AEF">
        <w:rPr>
          <w:rFonts w:eastAsia="Times New Roman" w:cstheme="minorHAnsi"/>
          <w:color w:val="333333"/>
          <w:kern w:val="36"/>
          <w:sz w:val="20"/>
          <w:szCs w:val="20"/>
          <w:lang w:eastAsia="en-GB"/>
        </w:rPr>
        <w:t xml:space="preserve">London </w:t>
      </w:r>
      <w:proofErr w:type="spellStart"/>
      <w:r w:rsidR="00F63AEF">
        <w:rPr>
          <w:rFonts w:eastAsia="Times New Roman" w:cstheme="minorHAnsi"/>
          <w:color w:val="333333"/>
          <w:kern w:val="36"/>
          <w:sz w:val="20"/>
          <w:szCs w:val="20"/>
          <w:lang w:eastAsia="en-GB"/>
        </w:rPr>
        <w:t>Heinermann</w:t>
      </w:r>
      <w:proofErr w:type="spellEnd"/>
      <w:r w:rsidR="00F63AEF">
        <w:rPr>
          <w:rFonts w:eastAsia="Times New Roman" w:cstheme="minorHAnsi"/>
          <w:color w:val="333333"/>
          <w:kern w:val="36"/>
          <w:sz w:val="20"/>
          <w:szCs w:val="20"/>
          <w:lang w:eastAsia="en-GB"/>
        </w:rPr>
        <w:t>.</w:t>
      </w:r>
    </w:p>
    <w:p w:rsidR="00F63AEF" w:rsidRPr="00F63AEF" w:rsidRDefault="00F63AEF" w:rsidP="00F63AEF">
      <w:pPr>
        <w:shd w:val="clear" w:color="auto" w:fill="FFFFFF"/>
        <w:spacing w:after="0" w:line="240" w:lineRule="auto"/>
        <w:outlineLvl w:val="0"/>
        <w:rPr>
          <w:rFonts w:eastAsia="Times New Roman" w:cstheme="minorHAnsi"/>
          <w:color w:val="333333"/>
          <w:kern w:val="36"/>
          <w:sz w:val="20"/>
          <w:szCs w:val="20"/>
          <w:lang w:eastAsia="en-GB"/>
        </w:rPr>
      </w:pPr>
    </w:p>
    <w:p w:rsidR="00EF0688" w:rsidRDefault="00EF0688">
      <w:r>
        <w:t xml:space="preserve">Demosthenes. Trans. </w:t>
      </w:r>
      <w:proofErr w:type="gramStart"/>
      <w:r>
        <w:t>J .</w:t>
      </w:r>
      <w:proofErr w:type="gramEnd"/>
      <w:r>
        <w:t xml:space="preserve">H. Vince. Orations. </w:t>
      </w:r>
      <w:r w:rsidR="00811AA7">
        <w:t xml:space="preserve">2015. Harvard University Press. </w:t>
      </w:r>
      <w:proofErr w:type="spellStart"/>
      <w:r w:rsidR="00811AA7">
        <w:t>Caimbridge</w:t>
      </w:r>
      <w:proofErr w:type="spellEnd"/>
      <w:r w:rsidR="00811AA7">
        <w:t>.</w:t>
      </w:r>
    </w:p>
    <w:p w:rsidR="00B31E52" w:rsidRDefault="00B31E52">
      <w:r>
        <w:t xml:space="preserve">N. </w:t>
      </w:r>
      <w:proofErr w:type="spellStart"/>
      <w:r>
        <w:t>Worman</w:t>
      </w:r>
      <w:proofErr w:type="spellEnd"/>
      <w:r>
        <w:t xml:space="preserve">. 2004. Insult and Oral Excess in the disputes between </w:t>
      </w:r>
      <w:proofErr w:type="spellStart"/>
      <w:r>
        <w:t>Aeschides</w:t>
      </w:r>
      <w:proofErr w:type="spellEnd"/>
      <w:r>
        <w:t xml:space="preserve"> and Demosthenes. </w:t>
      </w:r>
      <w:r w:rsidR="0089223F">
        <w:t xml:space="preserve">The American Journal of Philology. Vol 125. No.1 (Spring 2004). </w:t>
      </w:r>
    </w:p>
    <w:p w:rsidR="001C1003" w:rsidRPr="00EF0688" w:rsidRDefault="001C1003">
      <w:r>
        <w:t xml:space="preserve">T. Buckley. 2010. </w:t>
      </w:r>
      <w:r>
        <w:rPr>
          <w:rFonts w:ascii="Arial" w:hAnsi="Arial" w:cs="Arial"/>
          <w:color w:val="333333"/>
          <w:sz w:val="21"/>
          <w:szCs w:val="21"/>
          <w:shd w:val="clear" w:color="auto" w:fill="FFFFFF"/>
        </w:rPr>
        <w:t>Aspects of Greek History 750- 323 BC: A Source-Based Approach</w:t>
      </w:r>
      <w:r>
        <w:rPr>
          <w:rFonts w:ascii="Arial" w:hAnsi="Arial" w:cs="Arial"/>
          <w:color w:val="333333"/>
          <w:sz w:val="21"/>
          <w:szCs w:val="21"/>
          <w:shd w:val="clear" w:color="auto" w:fill="FFFFFF"/>
        </w:rPr>
        <w:t xml:space="preserve">. </w:t>
      </w:r>
      <w:r w:rsidR="001560BA">
        <w:rPr>
          <w:rFonts w:ascii="Arial" w:hAnsi="Arial" w:cs="Arial"/>
          <w:color w:val="333333"/>
          <w:sz w:val="21"/>
          <w:szCs w:val="21"/>
          <w:shd w:val="clear" w:color="auto" w:fill="FFFFFF"/>
        </w:rPr>
        <w:t>Routledge. London.</w:t>
      </w:r>
    </w:p>
    <w:p w:rsidR="00B31358" w:rsidRDefault="007E565C">
      <w:r>
        <w:t xml:space="preserve">H </w:t>
      </w:r>
      <w:proofErr w:type="spellStart"/>
      <w:r>
        <w:t>Chrisholm</w:t>
      </w:r>
      <w:proofErr w:type="spellEnd"/>
      <w:r>
        <w:t>. 1911. Encyclopaedia Britannica. Vol 1. 11</w:t>
      </w:r>
      <w:r w:rsidRPr="007E565C">
        <w:rPr>
          <w:vertAlign w:val="superscript"/>
        </w:rPr>
        <w:t>th</w:t>
      </w:r>
      <w:r>
        <w:t xml:space="preserve"> ed. </w:t>
      </w:r>
      <w:r w:rsidR="00EB3414">
        <w:t>Cambridge University Press</w:t>
      </w:r>
    </w:p>
    <w:p w:rsidR="00EB3414" w:rsidRDefault="00EB3414">
      <w:hyperlink r:id="rId8" w:history="1">
        <w:r>
          <w:rPr>
            <w:rStyle w:val="Hyperlink"/>
          </w:rPr>
          <w:t>http://penelope.uchicago.edu/Thayer/E/Roman/Texts/Plutarch/Lives/Demosthenes*.html</w:t>
        </w:r>
      </w:hyperlink>
      <w:r>
        <w:t xml:space="preserve"> (Accessed 12/4/2019 12:03)</w:t>
      </w:r>
      <w:bookmarkStart w:id="0" w:name="_GoBack"/>
      <w:bookmarkEnd w:id="0"/>
    </w:p>
    <w:p w:rsidR="00452D9D" w:rsidRDefault="00452D9D" w:rsidP="007943CB"/>
    <w:p w:rsidR="00307821" w:rsidRDefault="00307821"/>
    <w:p w:rsidR="00C60462" w:rsidRDefault="00C60462"/>
    <w:p w:rsidR="002E3395" w:rsidRDefault="002E3395"/>
    <w:p w:rsidR="002E3395" w:rsidRPr="00DC655F" w:rsidRDefault="002E3395"/>
    <w:sectPr w:rsidR="002E3395" w:rsidRPr="00DC6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CBA" w:rsidRDefault="00FC2CBA" w:rsidP="00BB072C">
      <w:pPr>
        <w:spacing w:after="0" w:line="240" w:lineRule="auto"/>
      </w:pPr>
      <w:r>
        <w:separator/>
      </w:r>
    </w:p>
  </w:endnote>
  <w:endnote w:type="continuationSeparator" w:id="0">
    <w:p w:rsidR="00FC2CBA" w:rsidRDefault="00FC2CBA" w:rsidP="00BB0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CBA" w:rsidRDefault="00FC2CBA" w:rsidP="00BB072C">
      <w:pPr>
        <w:spacing w:after="0" w:line="240" w:lineRule="auto"/>
      </w:pPr>
      <w:r>
        <w:separator/>
      </w:r>
    </w:p>
  </w:footnote>
  <w:footnote w:type="continuationSeparator" w:id="0">
    <w:p w:rsidR="00FC2CBA" w:rsidRDefault="00FC2CBA" w:rsidP="00BB072C">
      <w:pPr>
        <w:spacing w:after="0" w:line="240" w:lineRule="auto"/>
      </w:pPr>
      <w:r>
        <w:continuationSeparator/>
      </w:r>
    </w:p>
  </w:footnote>
  <w:footnote w:id="1">
    <w:p w:rsidR="00BB072C" w:rsidRDefault="00BB072C">
      <w:pPr>
        <w:pStyle w:val="FootnoteText"/>
      </w:pPr>
      <w:r>
        <w:rPr>
          <w:rStyle w:val="FootnoteReference"/>
        </w:rPr>
        <w:footnoteRef/>
      </w:r>
      <w:r>
        <w:t xml:space="preserve"> N. </w:t>
      </w:r>
      <w:proofErr w:type="spellStart"/>
      <w:r>
        <w:t>Worman</w:t>
      </w:r>
      <w:proofErr w:type="spellEnd"/>
      <w:r>
        <w:t>. (2004). Pp1-2.</w:t>
      </w:r>
    </w:p>
  </w:footnote>
  <w:footnote w:id="2">
    <w:p w:rsidR="0079555C" w:rsidRDefault="0079555C">
      <w:pPr>
        <w:pStyle w:val="FootnoteText"/>
      </w:pPr>
      <w:r>
        <w:rPr>
          <w:rStyle w:val="FootnoteReference"/>
        </w:rPr>
        <w:footnoteRef/>
      </w:r>
      <w:r>
        <w:t xml:space="preserve"> N. </w:t>
      </w:r>
      <w:proofErr w:type="spellStart"/>
      <w:r>
        <w:t>Worman</w:t>
      </w:r>
      <w:proofErr w:type="spellEnd"/>
      <w:r>
        <w:t>. (2004). Pp1-2.</w:t>
      </w:r>
    </w:p>
  </w:footnote>
  <w:footnote w:id="3">
    <w:p w:rsidR="006072FD" w:rsidRDefault="006072FD">
      <w:pPr>
        <w:pStyle w:val="FootnoteText"/>
      </w:pPr>
      <w:r>
        <w:rPr>
          <w:rStyle w:val="FootnoteReference"/>
        </w:rPr>
        <w:footnoteRef/>
      </w:r>
      <w:r>
        <w:t xml:space="preserve"> N. </w:t>
      </w:r>
      <w:proofErr w:type="spellStart"/>
      <w:r>
        <w:t>Worman</w:t>
      </w:r>
      <w:proofErr w:type="spellEnd"/>
      <w:r>
        <w:t>. (2004). Pp1-2.</w:t>
      </w:r>
    </w:p>
  </w:footnote>
  <w:footnote w:id="4">
    <w:p w:rsidR="006072FD" w:rsidRDefault="006072FD">
      <w:pPr>
        <w:pStyle w:val="FootnoteText"/>
      </w:pPr>
      <w:r>
        <w:rPr>
          <w:rStyle w:val="FootnoteReference"/>
        </w:rPr>
        <w:footnoteRef/>
      </w:r>
      <w:r>
        <w:t xml:space="preserve"> N. </w:t>
      </w:r>
      <w:proofErr w:type="spellStart"/>
      <w:r>
        <w:t>Worman</w:t>
      </w:r>
      <w:proofErr w:type="spellEnd"/>
      <w:r>
        <w:t>. (2004). Pp1-2.</w:t>
      </w:r>
    </w:p>
  </w:footnote>
  <w:footnote w:id="5">
    <w:p w:rsidR="00C60462" w:rsidRDefault="00C60462">
      <w:pPr>
        <w:pStyle w:val="FootnoteText"/>
      </w:pPr>
      <w:r>
        <w:rPr>
          <w:rStyle w:val="FootnoteReference"/>
        </w:rPr>
        <w:footnoteRef/>
      </w:r>
      <w:r>
        <w:t xml:space="preserve"> N. </w:t>
      </w:r>
      <w:proofErr w:type="spellStart"/>
      <w:r>
        <w:t>Worman</w:t>
      </w:r>
      <w:proofErr w:type="spellEnd"/>
      <w:r>
        <w:t>. (2004). Pp3-4.</w:t>
      </w:r>
    </w:p>
  </w:footnote>
  <w:footnote w:id="6">
    <w:p w:rsidR="00D80861" w:rsidRDefault="00D80861">
      <w:pPr>
        <w:pStyle w:val="FootnoteText"/>
      </w:pPr>
      <w:r>
        <w:rPr>
          <w:rStyle w:val="FootnoteReference"/>
        </w:rPr>
        <w:footnoteRef/>
      </w:r>
      <w:r>
        <w:t xml:space="preserve"> N. </w:t>
      </w:r>
      <w:proofErr w:type="spellStart"/>
      <w:r>
        <w:t>Worman</w:t>
      </w:r>
      <w:proofErr w:type="spellEnd"/>
      <w:r>
        <w:t>. (2004). Pp1-2.</w:t>
      </w:r>
    </w:p>
  </w:footnote>
  <w:footnote w:id="7">
    <w:p w:rsidR="0048727E" w:rsidRDefault="0048727E">
      <w:pPr>
        <w:pStyle w:val="FootnoteText"/>
      </w:pPr>
      <w:r>
        <w:rPr>
          <w:rStyle w:val="FootnoteReference"/>
        </w:rPr>
        <w:footnoteRef/>
      </w:r>
      <w:r>
        <w:t xml:space="preserve"> N. </w:t>
      </w:r>
      <w:proofErr w:type="spellStart"/>
      <w:r>
        <w:t>Worman</w:t>
      </w:r>
      <w:proofErr w:type="spellEnd"/>
      <w:r>
        <w:t>. (2004). Pp8-10.</w:t>
      </w:r>
    </w:p>
  </w:footnote>
  <w:footnote w:id="8">
    <w:p w:rsidR="00260B50" w:rsidRDefault="00260B50">
      <w:pPr>
        <w:pStyle w:val="FootnoteText"/>
      </w:pPr>
      <w:r>
        <w:rPr>
          <w:rStyle w:val="FootnoteReference"/>
        </w:rPr>
        <w:footnoteRef/>
      </w:r>
      <w:r>
        <w:t xml:space="preserve"> N. </w:t>
      </w:r>
      <w:proofErr w:type="spellStart"/>
      <w:r>
        <w:t>Worman</w:t>
      </w:r>
      <w:proofErr w:type="spellEnd"/>
      <w:r>
        <w:t>. (2004). Pp8-10.</w:t>
      </w:r>
    </w:p>
  </w:footnote>
  <w:footnote w:id="9">
    <w:p w:rsidR="00260B50" w:rsidRDefault="00260B50">
      <w:pPr>
        <w:pStyle w:val="FootnoteText"/>
      </w:pPr>
      <w:r>
        <w:rPr>
          <w:rStyle w:val="FootnoteReference"/>
        </w:rPr>
        <w:footnoteRef/>
      </w:r>
      <w:r>
        <w:t xml:space="preserve"> </w:t>
      </w:r>
      <w:hyperlink r:id="rId1" w:history="1">
        <w:r w:rsidR="00E63B0E">
          <w:rPr>
            <w:rStyle w:val="Hyperlink"/>
          </w:rPr>
          <w:t>http://penelope.uchicago.edu/Thayer/E/Roman/Texts/Plutarch/Lives/Demosthenes*.html</w:t>
        </w:r>
      </w:hyperlink>
      <w:r w:rsidR="00E63B0E">
        <w:t xml:space="preserve"> </w:t>
      </w:r>
    </w:p>
  </w:footnote>
  <w:footnote w:id="10">
    <w:p w:rsidR="000D7339" w:rsidRDefault="000D7339">
      <w:pPr>
        <w:pStyle w:val="FootnoteText"/>
      </w:pPr>
      <w:r>
        <w:rPr>
          <w:rStyle w:val="FootnoteReference"/>
        </w:rPr>
        <w:footnoteRef/>
      </w:r>
      <w:r>
        <w:t xml:space="preserve"> T Buckley. (2010). Pp480.</w:t>
      </w:r>
    </w:p>
  </w:footnote>
  <w:footnote w:id="11">
    <w:p w:rsidR="00F9725B" w:rsidRPr="00E21A6D" w:rsidRDefault="00F9725B" w:rsidP="00E21A6D">
      <w:pPr>
        <w:rPr>
          <w:rFonts w:cstheme="minorHAnsi"/>
          <w:sz w:val="20"/>
          <w:szCs w:val="20"/>
        </w:rPr>
      </w:pPr>
      <w:r>
        <w:rPr>
          <w:rStyle w:val="FootnoteReference"/>
        </w:rPr>
        <w:footnoteRef/>
      </w:r>
      <w:r>
        <w:t xml:space="preserve"> </w:t>
      </w:r>
      <w:r>
        <w:rPr>
          <w:rFonts w:cstheme="minorHAnsi"/>
          <w:color w:val="222222"/>
          <w:sz w:val="20"/>
          <w:szCs w:val="20"/>
          <w:shd w:val="clear" w:color="auto" w:fill="FFFFFF"/>
        </w:rPr>
        <w:t>Chisholm &amp; Hugh.</w:t>
      </w:r>
      <w:r w:rsidRPr="00307821">
        <w:rPr>
          <w:rFonts w:cstheme="minorHAnsi"/>
          <w:color w:val="222222"/>
          <w:sz w:val="20"/>
          <w:szCs w:val="20"/>
          <w:shd w:val="clear" w:color="auto" w:fill="FFFFFF"/>
        </w:rPr>
        <w:t xml:space="preserve"> (1911</w:t>
      </w:r>
      <w:r w:rsidRPr="00307821">
        <w:rPr>
          <w:rFonts w:cstheme="minorHAnsi"/>
          <w:sz w:val="20"/>
          <w:szCs w:val="20"/>
          <w:shd w:val="clear" w:color="auto" w:fill="FFFFFF"/>
        </w:rPr>
        <w:t>).</w:t>
      </w:r>
      <w:r>
        <w:rPr>
          <w:rFonts w:cstheme="minorHAnsi"/>
          <w:sz w:val="20"/>
          <w:szCs w:val="20"/>
          <w:shd w:val="clear" w:color="auto" w:fill="FFFFFF"/>
        </w:rPr>
        <w:t xml:space="preserve"> P</w:t>
      </w:r>
      <w:r w:rsidRPr="00307821">
        <w:rPr>
          <w:rFonts w:cstheme="minorHAnsi"/>
          <w:color w:val="222222"/>
          <w:sz w:val="20"/>
          <w:szCs w:val="20"/>
          <w:shd w:val="clear" w:color="auto" w:fill="FFFFFF"/>
        </w:rPr>
        <w:t>p. 271</w:t>
      </w:r>
    </w:p>
  </w:footnote>
  <w:footnote w:id="12">
    <w:p w:rsidR="00E21A6D" w:rsidRDefault="00E21A6D">
      <w:pPr>
        <w:pStyle w:val="FootnoteText"/>
      </w:pPr>
      <w:r>
        <w:rPr>
          <w:rStyle w:val="FootnoteReference"/>
        </w:rPr>
        <w:footnoteRef/>
      </w:r>
      <w:r>
        <w:t xml:space="preserve"> </w:t>
      </w:r>
      <w:r>
        <w:rPr>
          <w:rFonts w:cstheme="minorHAnsi"/>
          <w:color w:val="222222"/>
          <w:shd w:val="clear" w:color="auto" w:fill="FFFFFF"/>
        </w:rPr>
        <w:t>Chisholm &amp; Hugh.</w:t>
      </w:r>
      <w:r w:rsidRPr="00307821">
        <w:rPr>
          <w:rFonts w:cstheme="minorHAnsi"/>
          <w:color w:val="222222"/>
          <w:shd w:val="clear" w:color="auto" w:fill="FFFFFF"/>
        </w:rPr>
        <w:t xml:space="preserve"> (1911</w:t>
      </w:r>
      <w:r w:rsidRPr="00307821">
        <w:rPr>
          <w:rFonts w:cstheme="minorHAnsi"/>
          <w:shd w:val="clear" w:color="auto" w:fill="FFFFFF"/>
        </w:rPr>
        <w:t>).</w:t>
      </w:r>
      <w:r>
        <w:rPr>
          <w:rFonts w:cstheme="minorHAnsi"/>
          <w:shd w:val="clear" w:color="auto" w:fill="FFFFFF"/>
        </w:rPr>
        <w:t xml:space="preserve"> P</w:t>
      </w:r>
      <w:r>
        <w:rPr>
          <w:rFonts w:cstheme="minorHAnsi"/>
          <w:color w:val="222222"/>
          <w:shd w:val="clear" w:color="auto" w:fill="FFFFFF"/>
        </w:rPr>
        <w:t>p</w:t>
      </w:r>
      <w:r w:rsidRPr="00307821">
        <w:rPr>
          <w:rFonts w:cstheme="minorHAnsi"/>
          <w:color w:val="222222"/>
          <w:shd w:val="clear" w:color="auto" w:fill="FFFFFF"/>
        </w:rPr>
        <w:t>271</w:t>
      </w:r>
    </w:p>
  </w:footnote>
  <w:footnote w:id="13">
    <w:p w:rsidR="00E21A6D" w:rsidRDefault="00E21A6D">
      <w:pPr>
        <w:pStyle w:val="FootnoteText"/>
      </w:pPr>
      <w:r>
        <w:rPr>
          <w:rStyle w:val="FootnoteReference"/>
        </w:rPr>
        <w:footnoteRef/>
      </w:r>
      <w:r>
        <w:t xml:space="preserve"> </w:t>
      </w:r>
      <w:r w:rsidR="005B7079">
        <w:t xml:space="preserve">H </w:t>
      </w:r>
      <w:r>
        <w:rPr>
          <w:rFonts w:cstheme="minorHAnsi"/>
          <w:color w:val="222222"/>
          <w:shd w:val="clear" w:color="auto" w:fill="FFFFFF"/>
        </w:rPr>
        <w:t>Chisholm.</w:t>
      </w:r>
      <w:r w:rsidRPr="00307821">
        <w:rPr>
          <w:rFonts w:cstheme="minorHAnsi"/>
          <w:color w:val="222222"/>
          <w:shd w:val="clear" w:color="auto" w:fill="FFFFFF"/>
        </w:rPr>
        <w:t xml:space="preserve"> (1911</w:t>
      </w:r>
      <w:r w:rsidRPr="00307821">
        <w:rPr>
          <w:rFonts w:cstheme="minorHAnsi"/>
          <w:shd w:val="clear" w:color="auto" w:fill="FFFFFF"/>
        </w:rPr>
        <w:t>).</w:t>
      </w:r>
      <w:r>
        <w:rPr>
          <w:rFonts w:cstheme="minorHAnsi"/>
          <w:shd w:val="clear" w:color="auto" w:fill="FFFFFF"/>
        </w:rPr>
        <w:t xml:space="preserve"> P</w:t>
      </w:r>
      <w:r>
        <w:rPr>
          <w:rFonts w:cstheme="minorHAnsi"/>
          <w:color w:val="222222"/>
          <w:shd w:val="clear" w:color="auto" w:fill="FFFFFF"/>
        </w:rPr>
        <w:t>p</w:t>
      </w:r>
      <w:r w:rsidRPr="00307821">
        <w:rPr>
          <w:rFonts w:cstheme="minorHAnsi"/>
          <w:color w:val="222222"/>
          <w:shd w:val="clear" w:color="auto" w:fill="FFFFFF"/>
        </w:rPr>
        <w:t>271</w:t>
      </w:r>
    </w:p>
  </w:footnote>
  <w:footnote w:id="14">
    <w:p w:rsidR="00E21A6D" w:rsidRDefault="00E21A6D">
      <w:pPr>
        <w:pStyle w:val="FootnoteText"/>
      </w:pPr>
      <w:r>
        <w:rPr>
          <w:rStyle w:val="FootnoteReference"/>
        </w:rPr>
        <w:footnoteRef/>
      </w:r>
      <w:r>
        <w:t xml:space="preserve"> </w:t>
      </w:r>
      <w:r w:rsidR="005B7079">
        <w:t xml:space="preserve">H </w:t>
      </w:r>
      <w:r>
        <w:rPr>
          <w:rFonts w:cstheme="minorHAnsi"/>
          <w:color w:val="222222"/>
          <w:shd w:val="clear" w:color="auto" w:fill="FFFFFF"/>
        </w:rPr>
        <w:t>Chisholm.</w:t>
      </w:r>
      <w:r w:rsidRPr="00307821">
        <w:rPr>
          <w:rFonts w:cstheme="minorHAnsi"/>
          <w:color w:val="222222"/>
          <w:shd w:val="clear" w:color="auto" w:fill="FFFFFF"/>
        </w:rPr>
        <w:t xml:space="preserve"> (1911</w:t>
      </w:r>
      <w:r w:rsidRPr="00307821">
        <w:rPr>
          <w:rFonts w:cstheme="minorHAnsi"/>
          <w:shd w:val="clear" w:color="auto" w:fill="FFFFFF"/>
        </w:rPr>
        <w:t>).</w:t>
      </w:r>
      <w:r>
        <w:rPr>
          <w:rFonts w:cstheme="minorHAnsi"/>
          <w:shd w:val="clear" w:color="auto" w:fill="FFFFFF"/>
        </w:rPr>
        <w:t xml:space="preserve"> P</w:t>
      </w:r>
      <w:r>
        <w:rPr>
          <w:rFonts w:cstheme="minorHAnsi"/>
          <w:color w:val="222222"/>
          <w:shd w:val="clear" w:color="auto" w:fill="FFFFFF"/>
        </w:rPr>
        <w:t>p</w:t>
      </w:r>
      <w:r w:rsidRPr="00307821">
        <w:rPr>
          <w:rFonts w:cstheme="minorHAnsi"/>
          <w:color w:val="222222"/>
          <w:shd w:val="clear" w:color="auto" w:fill="FFFFFF"/>
        </w:rPr>
        <w:t>271</w:t>
      </w:r>
    </w:p>
  </w:footnote>
  <w:footnote w:id="15">
    <w:p w:rsidR="00E23077" w:rsidRDefault="00E23077">
      <w:pPr>
        <w:pStyle w:val="FootnoteText"/>
      </w:pPr>
      <w:r>
        <w:rPr>
          <w:rStyle w:val="FootnoteReference"/>
        </w:rPr>
        <w:footnoteRef/>
      </w:r>
      <w:r>
        <w:t xml:space="preserve"> T Buckley. (2010).  Pp. 480.</w:t>
      </w:r>
    </w:p>
  </w:footnote>
  <w:footnote w:id="16">
    <w:p w:rsidR="009C6356" w:rsidRDefault="009C6356" w:rsidP="009C6356">
      <w:pPr>
        <w:pStyle w:val="FootnoteText"/>
      </w:pPr>
      <w:r>
        <w:rPr>
          <w:rStyle w:val="FootnoteReference"/>
        </w:rPr>
        <w:footnoteRef/>
      </w:r>
      <w:r>
        <w:t xml:space="preserve"> Demosthenes. On </w:t>
      </w:r>
      <w:proofErr w:type="spellStart"/>
      <w:r>
        <w:t>Chersones</w:t>
      </w:r>
      <w:proofErr w:type="spellEnd"/>
      <w:r>
        <w:t>. 30-31.</w:t>
      </w:r>
    </w:p>
  </w:footnote>
  <w:footnote w:id="17">
    <w:p w:rsidR="00E23077" w:rsidRDefault="00E23077">
      <w:pPr>
        <w:pStyle w:val="FootnoteText"/>
      </w:pPr>
      <w:r>
        <w:rPr>
          <w:rStyle w:val="FootnoteReference"/>
        </w:rPr>
        <w:footnoteRef/>
      </w:r>
      <w:r>
        <w:t xml:space="preserve"> </w:t>
      </w:r>
      <w:r w:rsidR="005B7079">
        <w:t xml:space="preserve">H </w:t>
      </w:r>
      <w:r>
        <w:rPr>
          <w:rFonts w:cstheme="minorHAnsi"/>
          <w:color w:val="222222"/>
          <w:shd w:val="clear" w:color="auto" w:fill="FFFFFF"/>
        </w:rPr>
        <w:t>Chisholm.</w:t>
      </w:r>
      <w:r w:rsidRPr="00307821">
        <w:rPr>
          <w:rFonts w:cstheme="minorHAnsi"/>
          <w:color w:val="222222"/>
          <w:shd w:val="clear" w:color="auto" w:fill="FFFFFF"/>
        </w:rPr>
        <w:t xml:space="preserve"> (1911</w:t>
      </w:r>
      <w:r w:rsidRPr="00307821">
        <w:rPr>
          <w:rFonts w:cstheme="minorHAnsi"/>
          <w:shd w:val="clear" w:color="auto" w:fill="FFFFFF"/>
        </w:rPr>
        <w:t>).</w:t>
      </w:r>
      <w:r>
        <w:rPr>
          <w:rFonts w:cstheme="minorHAnsi"/>
          <w:shd w:val="clear" w:color="auto" w:fill="FFFFFF"/>
        </w:rPr>
        <w:t xml:space="preserve"> P</w:t>
      </w:r>
      <w:r>
        <w:rPr>
          <w:rFonts w:cstheme="minorHAnsi"/>
          <w:color w:val="222222"/>
          <w:shd w:val="clear" w:color="auto" w:fill="FFFFFF"/>
        </w:rPr>
        <w:t>p</w:t>
      </w:r>
      <w:r w:rsidRPr="00307821">
        <w:rPr>
          <w:rFonts w:cstheme="minorHAnsi"/>
          <w:color w:val="222222"/>
          <w:shd w:val="clear" w:color="auto" w:fill="FFFFFF"/>
        </w:rPr>
        <w:t>271</w:t>
      </w:r>
    </w:p>
  </w:footnote>
  <w:footnote w:id="18">
    <w:p w:rsidR="00E23077" w:rsidRDefault="00E23077">
      <w:pPr>
        <w:pStyle w:val="FootnoteText"/>
      </w:pPr>
      <w:r>
        <w:rPr>
          <w:rStyle w:val="FootnoteReference"/>
        </w:rPr>
        <w:footnoteRef/>
      </w:r>
      <w:r w:rsidR="00EB3414">
        <w:t>H Chisholm</w:t>
      </w:r>
      <w:r>
        <w:rPr>
          <w:rFonts w:cstheme="minorHAnsi"/>
          <w:color w:val="222222"/>
          <w:shd w:val="clear" w:color="auto" w:fill="FFFFFF"/>
        </w:rPr>
        <w:t>.</w:t>
      </w:r>
      <w:r w:rsidRPr="00307821">
        <w:rPr>
          <w:rFonts w:cstheme="minorHAnsi"/>
          <w:color w:val="222222"/>
          <w:shd w:val="clear" w:color="auto" w:fill="FFFFFF"/>
        </w:rPr>
        <w:t xml:space="preserve"> (1911</w:t>
      </w:r>
      <w:r w:rsidRPr="00307821">
        <w:rPr>
          <w:rFonts w:cstheme="minorHAnsi"/>
          <w:shd w:val="clear" w:color="auto" w:fill="FFFFFF"/>
        </w:rPr>
        <w:t>).</w:t>
      </w:r>
      <w:r>
        <w:rPr>
          <w:rFonts w:cstheme="minorHAnsi"/>
          <w:shd w:val="clear" w:color="auto" w:fill="FFFFFF"/>
        </w:rPr>
        <w:t xml:space="preserve"> P</w:t>
      </w:r>
      <w:r>
        <w:rPr>
          <w:rFonts w:cstheme="minorHAnsi"/>
          <w:color w:val="222222"/>
          <w:shd w:val="clear" w:color="auto" w:fill="FFFFFF"/>
        </w:rPr>
        <w:t>p</w:t>
      </w:r>
      <w:r w:rsidRPr="00307821">
        <w:rPr>
          <w:rFonts w:cstheme="minorHAnsi"/>
          <w:color w:val="222222"/>
          <w:shd w:val="clear" w:color="auto" w:fill="FFFFFF"/>
        </w:rPr>
        <w:t>271</w:t>
      </w:r>
    </w:p>
  </w:footnote>
  <w:footnote w:id="19">
    <w:p w:rsidR="007C49B1" w:rsidRDefault="007C49B1" w:rsidP="007C49B1">
      <w:pPr>
        <w:pStyle w:val="FootnoteText"/>
      </w:pPr>
      <w:r>
        <w:rPr>
          <w:rStyle w:val="FootnoteReference"/>
        </w:rPr>
        <w:footnoteRef/>
      </w:r>
      <w:r>
        <w:t xml:space="preserve"> Demosthenes. Phil 3. 26-27.</w:t>
      </w:r>
    </w:p>
  </w:footnote>
  <w:footnote w:id="20">
    <w:p w:rsidR="007C49B1" w:rsidRDefault="007C49B1">
      <w:pPr>
        <w:pStyle w:val="FootnoteText"/>
      </w:pPr>
      <w:r>
        <w:rPr>
          <w:rStyle w:val="FootnoteReference"/>
        </w:rPr>
        <w:footnoteRef/>
      </w:r>
      <w:r>
        <w:t xml:space="preserve"> Demosthenes. Phil 3. 26-27.</w:t>
      </w:r>
    </w:p>
  </w:footnote>
  <w:footnote w:id="21">
    <w:p w:rsidR="007C49B1" w:rsidRDefault="007C49B1">
      <w:pPr>
        <w:pStyle w:val="FootnoteText"/>
      </w:pPr>
      <w:r>
        <w:rPr>
          <w:rStyle w:val="FootnoteReference"/>
        </w:rPr>
        <w:footnoteRef/>
      </w:r>
      <w:r>
        <w:t xml:space="preserve"> Demosthenes. On </w:t>
      </w:r>
      <w:proofErr w:type="spellStart"/>
      <w:r>
        <w:t>Chersones</w:t>
      </w:r>
      <w:proofErr w:type="spellEnd"/>
      <w:r>
        <w:t>. 36-37.</w:t>
      </w:r>
    </w:p>
  </w:footnote>
  <w:footnote w:id="22">
    <w:p w:rsidR="002F07FE" w:rsidRDefault="002F07FE">
      <w:pPr>
        <w:pStyle w:val="FootnoteText"/>
      </w:pPr>
      <w:r>
        <w:rPr>
          <w:rStyle w:val="FootnoteReference"/>
        </w:rPr>
        <w:footnoteRef/>
      </w:r>
      <w:r>
        <w:t xml:space="preserve"> </w:t>
      </w:r>
      <w:proofErr w:type="spellStart"/>
      <w:r>
        <w:t>Demostphenes</w:t>
      </w:r>
      <w:proofErr w:type="spellEnd"/>
      <w:r>
        <w:t xml:space="preserve">. On </w:t>
      </w:r>
      <w:proofErr w:type="spellStart"/>
      <w:r>
        <w:t>Chersones</w:t>
      </w:r>
      <w:proofErr w:type="spellEnd"/>
      <w:r>
        <w:t>. 30-31.</w:t>
      </w:r>
    </w:p>
  </w:footnote>
  <w:footnote w:id="23">
    <w:p w:rsidR="00323936" w:rsidRDefault="00323936" w:rsidP="00323936">
      <w:pPr>
        <w:pStyle w:val="FootnoteText"/>
      </w:pPr>
      <w:r>
        <w:rPr>
          <w:rStyle w:val="FootnoteReference"/>
        </w:rPr>
        <w:footnoteRef/>
      </w:r>
      <w:r>
        <w:t xml:space="preserve"> Demosthenes. On </w:t>
      </w:r>
      <w:proofErr w:type="spellStart"/>
      <w:r>
        <w:t>Chersones</w:t>
      </w:r>
      <w:proofErr w:type="spellEnd"/>
      <w:r>
        <w:t>. 39.</w:t>
      </w:r>
    </w:p>
  </w:footnote>
  <w:footnote w:id="24">
    <w:p w:rsidR="00323936" w:rsidRDefault="00323936" w:rsidP="00323936">
      <w:pPr>
        <w:pStyle w:val="FootnoteText"/>
      </w:pPr>
      <w:r>
        <w:rPr>
          <w:rStyle w:val="FootnoteReference"/>
        </w:rPr>
        <w:footnoteRef/>
      </w:r>
      <w:r>
        <w:t xml:space="preserve"> Demosthenes. On </w:t>
      </w:r>
      <w:proofErr w:type="spellStart"/>
      <w:r>
        <w:t>Chersones</w:t>
      </w:r>
      <w:proofErr w:type="spellEnd"/>
      <w:r>
        <w:t>. 39.</w:t>
      </w:r>
    </w:p>
  </w:footnote>
  <w:footnote w:id="25">
    <w:p w:rsidR="00890C85" w:rsidRDefault="00890C85" w:rsidP="00890C85">
      <w:pPr>
        <w:pStyle w:val="FootnoteText"/>
      </w:pPr>
      <w:r>
        <w:rPr>
          <w:rStyle w:val="FootnoteReference"/>
        </w:rPr>
        <w:footnoteRef/>
      </w:r>
      <w:r>
        <w:t xml:space="preserve"> Demosthenes. On </w:t>
      </w:r>
      <w:proofErr w:type="spellStart"/>
      <w:r>
        <w:t>Chersones</w:t>
      </w:r>
      <w:proofErr w:type="spellEnd"/>
      <w:r>
        <w:t>. 65.</w:t>
      </w:r>
    </w:p>
  </w:footnote>
  <w:footnote w:id="26">
    <w:p w:rsidR="002F07FE" w:rsidRDefault="002F07FE" w:rsidP="002F07FE">
      <w:pPr>
        <w:pStyle w:val="FootnoteText"/>
      </w:pPr>
      <w:r>
        <w:rPr>
          <w:rStyle w:val="FootnoteReference"/>
        </w:rPr>
        <w:footnoteRef/>
      </w:r>
      <w:r>
        <w:t xml:space="preserve"> Demosthenes. On </w:t>
      </w:r>
      <w:proofErr w:type="spellStart"/>
      <w:r>
        <w:t>Chersones</w:t>
      </w:r>
      <w:proofErr w:type="spellEnd"/>
      <w:r>
        <w:t>. 41.</w:t>
      </w:r>
    </w:p>
  </w:footnote>
  <w:footnote w:id="27">
    <w:p w:rsidR="00323936" w:rsidRDefault="00323936" w:rsidP="00323936">
      <w:pPr>
        <w:pStyle w:val="FootnoteText"/>
      </w:pPr>
      <w:r>
        <w:rPr>
          <w:rStyle w:val="FootnoteReference"/>
        </w:rPr>
        <w:footnoteRef/>
      </w:r>
      <w:r>
        <w:t xml:space="preserve"> Demosthenes. On </w:t>
      </w:r>
      <w:proofErr w:type="spellStart"/>
      <w:r>
        <w:t>Chersones</w:t>
      </w:r>
      <w:proofErr w:type="spellEnd"/>
      <w:r>
        <w:t>. 30-31.</w:t>
      </w:r>
    </w:p>
  </w:footnote>
  <w:footnote w:id="28">
    <w:p w:rsidR="0087182C" w:rsidRDefault="0087182C">
      <w:pPr>
        <w:pStyle w:val="FootnoteText"/>
      </w:pPr>
      <w:r>
        <w:rPr>
          <w:rStyle w:val="FootnoteReference"/>
        </w:rPr>
        <w:footnoteRef/>
      </w:r>
      <w:r>
        <w:t xml:space="preserve"> Demosthenes. Phil 3. 293-335. 141-146. 19. 9. 31.</w:t>
      </w:r>
    </w:p>
  </w:footnote>
  <w:footnote w:id="29">
    <w:p w:rsidR="001964FC" w:rsidRDefault="001964FC">
      <w:pPr>
        <w:pStyle w:val="FootnoteText"/>
      </w:pPr>
      <w:r>
        <w:rPr>
          <w:rStyle w:val="FootnoteReference"/>
        </w:rPr>
        <w:footnoteRef/>
      </w:r>
      <w:r>
        <w:t xml:space="preserve"> N. </w:t>
      </w:r>
      <w:proofErr w:type="spellStart"/>
      <w:r>
        <w:t>Worman</w:t>
      </w:r>
      <w:proofErr w:type="spellEnd"/>
      <w:r>
        <w:t>. (2004). Pp8-10.</w:t>
      </w:r>
    </w:p>
  </w:footnote>
  <w:footnote w:id="30">
    <w:p w:rsidR="00E8020D" w:rsidRDefault="00E8020D">
      <w:pPr>
        <w:pStyle w:val="FootnoteText"/>
      </w:pPr>
      <w:r>
        <w:rPr>
          <w:rStyle w:val="FootnoteReference"/>
        </w:rPr>
        <w:footnoteRef/>
      </w:r>
      <w:r>
        <w:t xml:space="preserve"> Demosthenes. Phil 3. 20-25.</w:t>
      </w:r>
    </w:p>
  </w:footnote>
  <w:footnote w:id="31">
    <w:p w:rsidR="000467C5" w:rsidRDefault="000467C5">
      <w:pPr>
        <w:pStyle w:val="FootnoteText"/>
      </w:pPr>
      <w:r>
        <w:rPr>
          <w:rStyle w:val="FootnoteReference"/>
        </w:rPr>
        <w:footnoteRef/>
      </w:r>
      <w:r>
        <w:t xml:space="preserve"> </w:t>
      </w:r>
      <w:proofErr w:type="spellStart"/>
      <w:r w:rsidR="0021326B">
        <w:t>Aeschines</w:t>
      </w:r>
      <w:proofErr w:type="spellEnd"/>
      <w:r w:rsidR="0021326B">
        <w:t xml:space="preserve">. Against </w:t>
      </w:r>
      <w:proofErr w:type="spellStart"/>
      <w:r w:rsidR="0021326B">
        <w:t>Ctespian</w:t>
      </w:r>
      <w:proofErr w:type="spellEnd"/>
      <w:r>
        <w:t>. 57.</w:t>
      </w:r>
    </w:p>
  </w:footnote>
  <w:footnote w:id="32">
    <w:p w:rsidR="00727353" w:rsidRDefault="00727353">
      <w:pPr>
        <w:pStyle w:val="FootnoteText"/>
      </w:pPr>
      <w:r>
        <w:rPr>
          <w:rStyle w:val="FootnoteReference"/>
        </w:rPr>
        <w:footnoteRef/>
      </w:r>
      <w:r>
        <w:t xml:space="preserve"> </w:t>
      </w:r>
      <w:proofErr w:type="spellStart"/>
      <w:r w:rsidR="0021326B">
        <w:t>Aeschines</w:t>
      </w:r>
      <w:proofErr w:type="spellEnd"/>
      <w:r w:rsidR="0021326B">
        <w:t xml:space="preserve">. Against </w:t>
      </w:r>
      <w:proofErr w:type="spellStart"/>
      <w:r w:rsidR="0021326B">
        <w:t>Ctespian</w:t>
      </w:r>
      <w:proofErr w:type="spellEnd"/>
      <w:r>
        <w:t>. 57.</w:t>
      </w:r>
    </w:p>
  </w:footnote>
  <w:footnote w:id="33">
    <w:p w:rsidR="000E5C5C" w:rsidRDefault="000E5C5C">
      <w:pPr>
        <w:pStyle w:val="FootnoteText"/>
      </w:pPr>
      <w:r>
        <w:rPr>
          <w:rStyle w:val="FootnoteReference"/>
        </w:rPr>
        <w:footnoteRef/>
      </w:r>
      <w:r>
        <w:t xml:space="preserve"> </w:t>
      </w:r>
      <w:proofErr w:type="spellStart"/>
      <w:r w:rsidR="0021326B">
        <w:t>Aeschines</w:t>
      </w:r>
      <w:proofErr w:type="spellEnd"/>
      <w:r w:rsidR="0021326B">
        <w:t xml:space="preserve">. Against </w:t>
      </w:r>
      <w:proofErr w:type="spellStart"/>
      <w:r w:rsidR="0021326B">
        <w:t>Ctespian</w:t>
      </w:r>
      <w:proofErr w:type="spellEnd"/>
      <w:r w:rsidR="0021326B">
        <w:t xml:space="preserve"> </w:t>
      </w:r>
      <w:r>
        <w:t>58.</w:t>
      </w:r>
    </w:p>
  </w:footnote>
  <w:footnote w:id="34">
    <w:p w:rsidR="00C417DB" w:rsidRDefault="00C417DB">
      <w:pPr>
        <w:pStyle w:val="FootnoteText"/>
      </w:pPr>
      <w:r>
        <w:rPr>
          <w:rStyle w:val="FootnoteReference"/>
        </w:rPr>
        <w:footnoteRef/>
      </w:r>
      <w:r>
        <w:t xml:space="preserve"> </w:t>
      </w:r>
      <w:proofErr w:type="spellStart"/>
      <w:r w:rsidR="0021326B">
        <w:t>Aeschines</w:t>
      </w:r>
      <w:proofErr w:type="spellEnd"/>
      <w:r w:rsidR="0021326B">
        <w:t xml:space="preserve">. Against </w:t>
      </w:r>
      <w:proofErr w:type="spellStart"/>
      <w:r w:rsidR="0021326B">
        <w:t>Ctespian</w:t>
      </w:r>
      <w:proofErr w:type="spellEnd"/>
      <w:r>
        <w:t>. 65/</w:t>
      </w:r>
      <w:r w:rsidRPr="00C417DB">
        <w:t xml:space="preserve"> </w:t>
      </w:r>
      <w:r>
        <w:t xml:space="preserve">Demosthenes. On </w:t>
      </w:r>
      <w:proofErr w:type="spellStart"/>
      <w:r>
        <w:t>Chersones</w:t>
      </w:r>
      <w:proofErr w:type="spellEnd"/>
      <w:r>
        <w:t>. 65.</w:t>
      </w:r>
    </w:p>
  </w:footnote>
  <w:footnote w:id="35">
    <w:p w:rsidR="00506D5F" w:rsidRDefault="00506D5F">
      <w:pPr>
        <w:pStyle w:val="FootnoteText"/>
      </w:pPr>
      <w:r>
        <w:rPr>
          <w:rStyle w:val="FootnoteReference"/>
        </w:rPr>
        <w:footnoteRef/>
      </w:r>
      <w:r>
        <w:t xml:space="preserve"> </w:t>
      </w:r>
      <w:proofErr w:type="spellStart"/>
      <w:r w:rsidR="0021326B">
        <w:t>Aeschin</w:t>
      </w:r>
      <w:r>
        <w:t>es</w:t>
      </w:r>
      <w:proofErr w:type="spellEnd"/>
      <w:r>
        <w:t xml:space="preserve">. Against </w:t>
      </w:r>
      <w:proofErr w:type="spellStart"/>
      <w:r>
        <w:t>Ctespian</w:t>
      </w:r>
      <w:proofErr w:type="spellEnd"/>
      <w:r>
        <w:t>. 65/</w:t>
      </w:r>
      <w:r w:rsidRPr="00C417DB">
        <w:t xml:space="preserve"> </w:t>
      </w:r>
      <w:r>
        <w:t xml:space="preserve">Demosthenes. On </w:t>
      </w:r>
      <w:proofErr w:type="spellStart"/>
      <w:r>
        <w:t>Chersones</w:t>
      </w:r>
      <w:proofErr w:type="spellEnd"/>
      <w:r>
        <w:t>. 65.</w:t>
      </w:r>
    </w:p>
  </w:footnote>
  <w:footnote w:id="36">
    <w:p w:rsidR="00860F17" w:rsidRDefault="00860F17">
      <w:pPr>
        <w:pStyle w:val="FootnoteText"/>
      </w:pPr>
      <w:r>
        <w:rPr>
          <w:rStyle w:val="FootnoteReference"/>
        </w:rPr>
        <w:footnoteRef/>
      </w:r>
      <w:r>
        <w:t xml:space="preserve"> </w:t>
      </w:r>
      <w:proofErr w:type="spellStart"/>
      <w:r>
        <w:t>Aeschides</w:t>
      </w:r>
      <w:proofErr w:type="spellEnd"/>
      <w:r>
        <w:t xml:space="preserve">. Against </w:t>
      </w:r>
      <w:proofErr w:type="spellStart"/>
      <w:r>
        <w:t>Ctespian</w:t>
      </w:r>
      <w:proofErr w:type="spellEnd"/>
      <w:r>
        <w:t>. 148.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BF095E"/>
    <w:multiLevelType w:val="hybridMultilevel"/>
    <w:tmpl w:val="08A0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B68C1"/>
    <w:multiLevelType w:val="hybridMultilevel"/>
    <w:tmpl w:val="82D46392"/>
    <w:lvl w:ilvl="0" w:tplc="08090015">
      <w:start w:val="20"/>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931E7F"/>
    <w:multiLevelType w:val="multilevel"/>
    <w:tmpl w:val="2A64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E26B3E"/>
    <w:multiLevelType w:val="hybridMultilevel"/>
    <w:tmpl w:val="928A47C2"/>
    <w:lvl w:ilvl="0" w:tplc="A11AE278">
      <w:start w:val="20"/>
      <w:numFmt w:val="upperLetter"/>
      <w:lvlText w:val="%1."/>
      <w:lvlJc w:val="left"/>
      <w:pPr>
        <w:ind w:left="744" w:hanging="360"/>
      </w:pPr>
      <w:rPr>
        <w:rFonts w:hint="default"/>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55F"/>
    <w:rsid w:val="000467C5"/>
    <w:rsid w:val="00050C3F"/>
    <w:rsid w:val="000D2942"/>
    <w:rsid w:val="000D7339"/>
    <w:rsid w:val="000E5C5C"/>
    <w:rsid w:val="00100C2F"/>
    <w:rsid w:val="001033BC"/>
    <w:rsid w:val="001056DE"/>
    <w:rsid w:val="00111B3E"/>
    <w:rsid w:val="00135D0A"/>
    <w:rsid w:val="001478DD"/>
    <w:rsid w:val="001560BA"/>
    <w:rsid w:val="00163F0F"/>
    <w:rsid w:val="00170B2C"/>
    <w:rsid w:val="00190A03"/>
    <w:rsid w:val="001964FC"/>
    <w:rsid w:val="001B56CD"/>
    <w:rsid w:val="001C1003"/>
    <w:rsid w:val="001E6A31"/>
    <w:rsid w:val="001F062F"/>
    <w:rsid w:val="00200B45"/>
    <w:rsid w:val="00200D93"/>
    <w:rsid w:val="0021326B"/>
    <w:rsid w:val="00260B50"/>
    <w:rsid w:val="00294640"/>
    <w:rsid w:val="002E3395"/>
    <w:rsid w:val="002F07FE"/>
    <w:rsid w:val="00300466"/>
    <w:rsid w:val="00307821"/>
    <w:rsid w:val="00311F20"/>
    <w:rsid w:val="00312080"/>
    <w:rsid w:val="00317CCA"/>
    <w:rsid w:val="00323936"/>
    <w:rsid w:val="0032781D"/>
    <w:rsid w:val="00377BBA"/>
    <w:rsid w:val="003B099C"/>
    <w:rsid w:val="003C6C60"/>
    <w:rsid w:val="00400B40"/>
    <w:rsid w:val="00401A1A"/>
    <w:rsid w:val="0041096F"/>
    <w:rsid w:val="00434A7B"/>
    <w:rsid w:val="00452D9D"/>
    <w:rsid w:val="00460E6A"/>
    <w:rsid w:val="0048727E"/>
    <w:rsid w:val="00491E1D"/>
    <w:rsid w:val="004C0AEB"/>
    <w:rsid w:val="004F73DE"/>
    <w:rsid w:val="00506D5F"/>
    <w:rsid w:val="00574AF8"/>
    <w:rsid w:val="00581E92"/>
    <w:rsid w:val="005905C9"/>
    <w:rsid w:val="005B7079"/>
    <w:rsid w:val="005D70CA"/>
    <w:rsid w:val="00603D9B"/>
    <w:rsid w:val="006072FD"/>
    <w:rsid w:val="006C0C3E"/>
    <w:rsid w:val="006E176B"/>
    <w:rsid w:val="00712546"/>
    <w:rsid w:val="00727353"/>
    <w:rsid w:val="0078377E"/>
    <w:rsid w:val="007943CB"/>
    <w:rsid w:val="0079555C"/>
    <w:rsid w:val="0079796D"/>
    <w:rsid w:val="007C49B1"/>
    <w:rsid w:val="007E3961"/>
    <w:rsid w:val="007E565C"/>
    <w:rsid w:val="00811AA7"/>
    <w:rsid w:val="0083099B"/>
    <w:rsid w:val="00835926"/>
    <w:rsid w:val="008435F6"/>
    <w:rsid w:val="008530B5"/>
    <w:rsid w:val="00860F17"/>
    <w:rsid w:val="0087182C"/>
    <w:rsid w:val="00890C85"/>
    <w:rsid w:val="0089223F"/>
    <w:rsid w:val="008B7A1B"/>
    <w:rsid w:val="008D57A8"/>
    <w:rsid w:val="008D64E0"/>
    <w:rsid w:val="00980802"/>
    <w:rsid w:val="00991B80"/>
    <w:rsid w:val="009A0524"/>
    <w:rsid w:val="009A5468"/>
    <w:rsid w:val="009B5636"/>
    <w:rsid w:val="009C4A02"/>
    <w:rsid w:val="009C6356"/>
    <w:rsid w:val="009F203B"/>
    <w:rsid w:val="009F3307"/>
    <w:rsid w:val="009F6A25"/>
    <w:rsid w:val="009F7CD5"/>
    <w:rsid w:val="00A3455D"/>
    <w:rsid w:val="00A375BF"/>
    <w:rsid w:val="00A44BBB"/>
    <w:rsid w:val="00A733A1"/>
    <w:rsid w:val="00A73C1A"/>
    <w:rsid w:val="00A9002B"/>
    <w:rsid w:val="00A90CB8"/>
    <w:rsid w:val="00A93EEC"/>
    <w:rsid w:val="00AC63B0"/>
    <w:rsid w:val="00AD79B7"/>
    <w:rsid w:val="00B004D6"/>
    <w:rsid w:val="00B31358"/>
    <w:rsid w:val="00B31E52"/>
    <w:rsid w:val="00B85904"/>
    <w:rsid w:val="00BB072C"/>
    <w:rsid w:val="00BF6C75"/>
    <w:rsid w:val="00C115CC"/>
    <w:rsid w:val="00C417DB"/>
    <w:rsid w:val="00C51323"/>
    <w:rsid w:val="00C60462"/>
    <w:rsid w:val="00CA6BAE"/>
    <w:rsid w:val="00CC58F4"/>
    <w:rsid w:val="00CE4C46"/>
    <w:rsid w:val="00CF1410"/>
    <w:rsid w:val="00D65C98"/>
    <w:rsid w:val="00D80861"/>
    <w:rsid w:val="00D83E0F"/>
    <w:rsid w:val="00D92FB3"/>
    <w:rsid w:val="00DC655F"/>
    <w:rsid w:val="00E02EBF"/>
    <w:rsid w:val="00E21A6D"/>
    <w:rsid w:val="00E23077"/>
    <w:rsid w:val="00E25186"/>
    <w:rsid w:val="00E63B0E"/>
    <w:rsid w:val="00E643BE"/>
    <w:rsid w:val="00E8020D"/>
    <w:rsid w:val="00EA04AE"/>
    <w:rsid w:val="00EA1977"/>
    <w:rsid w:val="00EB3414"/>
    <w:rsid w:val="00EE61B5"/>
    <w:rsid w:val="00EF024A"/>
    <w:rsid w:val="00EF0688"/>
    <w:rsid w:val="00F50988"/>
    <w:rsid w:val="00F56DBB"/>
    <w:rsid w:val="00F63AEF"/>
    <w:rsid w:val="00F9725B"/>
    <w:rsid w:val="00FC2CBA"/>
    <w:rsid w:val="00FE3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34F7E"/>
  <w15:chartTrackingRefBased/>
  <w15:docId w15:val="{FCA8B907-CB19-47C6-A588-9C738D15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01A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B07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072C"/>
    <w:rPr>
      <w:sz w:val="20"/>
      <w:szCs w:val="20"/>
    </w:rPr>
  </w:style>
  <w:style w:type="character" w:styleId="FootnoteReference">
    <w:name w:val="footnote reference"/>
    <w:basedOn w:val="DefaultParagraphFont"/>
    <w:uiPriority w:val="99"/>
    <w:semiHidden/>
    <w:unhideWhenUsed/>
    <w:rsid w:val="00BB072C"/>
    <w:rPr>
      <w:vertAlign w:val="superscript"/>
    </w:rPr>
  </w:style>
  <w:style w:type="character" w:styleId="Hyperlink">
    <w:name w:val="Hyperlink"/>
    <w:basedOn w:val="DefaultParagraphFont"/>
    <w:uiPriority w:val="99"/>
    <w:semiHidden/>
    <w:unhideWhenUsed/>
    <w:rsid w:val="00E63B0E"/>
    <w:rPr>
      <w:color w:val="0000FF"/>
      <w:u w:val="single"/>
    </w:rPr>
  </w:style>
  <w:style w:type="character" w:customStyle="1" w:styleId="cs1-ws-icon">
    <w:name w:val="cs1-ws-icon"/>
    <w:basedOn w:val="DefaultParagraphFont"/>
    <w:rsid w:val="00307821"/>
  </w:style>
  <w:style w:type="paragraph" w:styleId="ListParagraph">
    <w:name w:val="List Paragraph"/>
    <w:basedOn w:val="Normal"/>
    <w:uiPriority w:val="34"/>
    <w:qFormat/>
    <w:rsid w:val="00452D9D"/>
    <w:pPr>
      <w:ind w:left="720"/>
      <w:contextualSpacing/>
    </w:pPr>
  </w:style>
  <w:style w:type="character" w:customStyle="1" w:styleId="Heading1Char">
    <w:name w:val="Heading 1 Char"/>
    <w:basedOn w:val="DefaultParagraphFont"/>
    <w:link w:val="Heading1"/>
    <w:uiPriority w:val="9"/>
    <w:rsid w:val="00401A1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19514">
      <w:bodyDiv w:val="1"/>
      <w:marLeft w:val="0"/>
      <w:marRight w:val="0"/>
      <w:marTop w:val="0"/>
      <w:marBottom w:val="0"/>
      <w:divBdr>
        <w:top w:val="none" w:sz="0" w:space="0" w:color="auto"/>
        <w:left w:val="none" w:sz="0" w:space="0" w:color="auto"/>
        <w:bottom w:val="none" w:sz="0" w:space="0" w:color="auto"/>
        <w:right w:val="none" w:sz="0" w:space="0" w:color="auto"/>
      </w:divBdr>
    </w:div>
    <w:div w:id="98339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nelope.uchicago.edu/Thayer/E/Roman/Texts/Plutarch/Lives/Demosthene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penelope.uchicago.edu/Thayer/E/Roman/Texts/Plutarch/Lives/Demosthen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ADF24-2BA3-49EA-B215-91BA7E176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Pages>
  <Words>2480</Words>
  <Characters>14140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Kerslake (1501314)</dc:creator>
  <cp:keywords/>
  <dc:description/>
  <cp:lastModifiedBy>Charlotte Kerslake (1501314)</cp:lastModifiedBy>
  <cp:revision>121</cp:revision>
  <dcterms:created xsi:type="dcterms:W3CDTF">2019-04-12T08:49:00Z</dcterms:created>
  <dcterms:modified xsi:type="dcterms:W3CDTF">2019-04-12T14:48:00Z</dcterms:modified>
</cp:coreProperties>
</file>