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EBF3F" w14:textId="77777777" w:rsidR="00FE2B0D" w:rsidRDefault="00FE2B0D" w:rsidP="00FE2B0D">
      <w:pPr>
        <w:pStyle w:val="Heading1"/>
        <w:numPr>
          <w:ilvl w:val="0"/>
          <w:numId w:val="1"/>
        </w:numPr>
        <w:tabs>
          <w:tab w:val="num" w:pos="360"/>
        </w:tabs>
        <w:ind w:left="0" w:firstLine="0"/>
        <w:rPr>
          <w:rFonts w:eastAsiaTheme="minorHAnsi"/>
          <w:b/>
          <w:color w:val="000000" w:themeColor="text1"/>
        </w:rPr>
      </w:pPr>
      <w:bookmarkStart w:id="0" w:name="_Toc162208547"/>
      <w:bookmarkStart w:id="1" w:name="_Toc163310224"/>
      <w:bookmarkStart w:id="2" w:name="_Toc163428063"/>
      <w:r>
        <w:rPr>
          <w:rFonts w:eastAsiaTheme="minorHAnsi"/>
          <w:b/>
          <w:color w:val="000000" w:themeColor="text1"/>
        </w:rPr>
        <w:t>Part B /</w:t>
      </w:r>
      <w:r w:rsidRPr="006E3436">
        <w:rPr>
          <w:rFonts w:eastAsiaTheme="minorHAnsi"/>
          <w:b/>
          <w:color w:val="000000" w:themeColor="text1"/>
        </w:rPr>
        <w:t>Calculation of financial ratios</w:t>
      </w:r>
      <w:bookmarkEnd w:id="0"/>
      <w:bookmarkEnd w:id="1"/>
      <w:bookmarkEnd w:id="2"/>
    </w:p>
    <w:p w14:paraId="713BB01F" w14:textId="77777777" w:rsidR="00FE2B0D" w:rsidRPr="006E3436" w:rsidRDefault="00FE2B0D" w:rsidP="00FE2B0D"/>
    <w:p w14:paraId="19E0861B" w14:textId="77777777" w:rsidR="00FE2B0D" w:rsidRDefault="00FE2B0D" w:rsidP="00FE2B0D">
      <w:pPr>
        <w:spacing w:line="276" w:lineRule="auto"/>
        <w:jc w:val="both"/>
        <w:rPr>
          <w:sz w:val="24"/>
          <w:szCs w:val="24"/>
        </w:rPr>
      </w:pPr>
      <w:r w:rsidRPr="006E3436">
        <w:rPr>
          <w:sz w:val="24"/>
          <w:szCs w:val="24"/>
        </w:rPr>
        <w:t>The following is an in-depth critical review of Walmart's financial performance for the most recent financial year. This will cover profitability, liquidity, gearing, and efficiency ratios:</w:t>
      </w:r>
    </w:p>
    <w:p w14:paraId="55858290" w14:textId="77777777" w:rsidR="00FE2B0D" w:rsidRDefault="00FE2B0D" w:rsidP="00FE2B0D">
      <w:pPr>
        <w:spacing w:line="276" w:lineRule="auto"/>
        <w:jc w:val="both"/>
        <w:rPr>
          <w:sz w:val="24"/>
          <w:szCs w:val="24"/>
        </w:rPr>
      </w:pPr>
    </w:p>
    <w:p w14:paraId="7DEEB676" w14:textId="77777777" w:rsidR="00FE2B0D" w:rsidRPr="006E3436" w:rsidRDefault="00FE2B0D" w:rsidP="00FE2B0D">
      <w:pPr>
        <w:spacing w:line="276" w:lineRule="auto"/>
        <w:jc w:val="both"/>
        <w:rPr>
          <w:sz w:val="24"/>
          <w:szCs w:val="24"/>
        </w:rPr>
      </w:pPr>
      <w:r>
        <w:rPr>
          <w:sz w:val="24"/>
          <w:szCs w:val="24"/>
        </w:rPr>
        <w:t xml:space="preserve"> Financial details:</w:t>
      </w:r>
    </w:p>
    <w:tbl>
      <w:tblPr>
        <w:tblStyle w:val="GridTable4-Accent6"/>
        <w:tblW w:w="0" w:type="auto"/>
        <w:tblLook w:val="04A0" w:firstRow="1" w:lastRow="0" w:firstColumn="1" w:lastColumn="0" w:noHBand="0" w:noVBand="1"/>
      </w:tblPr>
      <w:tblGrid>
        <w:gridCol w:w="5885"/>
        <w:gridCol w:w="3131"/>
      </w:tblGrid>
      <w:tr w:rsidR="00FE2B0D" w:rsidRPr="006E3436" w14:paraId="214CB2F7" w14:textId="77777777" w:rsidTr="00E8456E">
        <w:trPr>
          <w:cnfStyle w:val="100000000000" w:firstRow="1" w:lastRow="0" w:firstColumn="0" w:lastColumn="0" w:oddVBand="0" w:evenVBand="0" w:oddHBand="0" w:evenHBand="0" w:firstRowFirstColumn="0" w:firstRowLastColumn="0" w:lastRowFirstColumn="0" w:lastRowLastColumn="0"/>
          <w:trHeight w:val="109"/>
        </w:trPr>
        <w:tc>
          <w:tcPr>
            <w:cnfStyle w:val="001000000000" w:firstRow="0" w:lastRow="0" w:firstColumn="1" w:lastColumn="0" w:oddVBand="0" w:evenVBand="0" w:oddHBand="0" w:evenHBand="0" w:firstRowFirstColumn="0" w:firstRowLastColumn="0" w:lastRowFirstColumn="0" w:lastRowLastColumn="0"/>
            <w:tcW w:w="5885" w:type="dxa"/>
            <w:shd w:val="clear" w:color="auto" w:fill="4472C4" w:themeFill="accent1"/>
          </w:tcPr>
          <w:p w14:paraId="49DAB923" w14:textId="77777777" w:rsidR="00FE2B0D" w:rsidRPr="006E3436" w:rsidRDefault="00FE2B0D" w:rsidP="00E8456E">
            <w:pPr>
              <w:spacing w:after="160" w:line="276" w:lineRule="auto"/>
              <w:jc w:val="both"/>
              <w:rPr>
                <w:sz w:val="24"/>
                <w:szCs w:val="24"/>
                <w:lang w:val="en-GB"/>
              </w:rPr>
            </w:pPr>
            <w:r w:rsidRPr="006E3436">
              <w:rPr>
                <w:sz w:val="24"/>
                <w:szCs w:val="24"/>
                <w:lang w:val="en-GB"/>
              </w:rPr>
              <w:t>NO</w:t>
            </w:r>
          </w:p>
        </w:tc>
        <w:tc>
          <w:tcPr>
            <w:tcW w:w="3131" w:type="dxa"/>
            <w:shd w:val="clear" w:color="auto" w:fill="4472C4" w:themeFill="accent1"/>
          </w:tcPr>
          <w:p w14:paraId="66FD5FAF" w14:textId="77777777" w:rsidR="00FE2B0D" w:rsidRPr="006E3436" w:rsidRDefault="00FE2B0D" w:rsidP="00E8456E">
            <w:pPr>
              <w:spacing w:after="160" w:line="276" w:lineRule="auto"/>
              <w:jc w:val="both"/>
              <w:cnfStyle w:val="100000000000" w:firstRow="1" w:lastRow="0" w:firstColumn="0" w:lastColumn="0" w:oddVBand="0" w:evenVBand="0" w:oddHBand="0" w:evenHBand="0" w:firstRowFirstColumn="0" w:firstRowLastColumn="0" w:lastRowFirstColumn="0" w:lastRowLastColumn="0"/>
              <w:rPr>
                <w:sz w:val="24"/>
                <w:szCs w:val="24"/>
                <w:lang w:val="en-GB"/>
              </w:rPr>
            </w:pPr>
            <w:r w:rsidRPr="006E3436">
              <w:rPr>
                <w:sz w:val="24"/>
                <w:szCs w:val="24"/>
                <w:lang w:val="en-GB"/>
              </w:rPr>
              <w:t xml:space="preserve">$ in Millions </w:t>
            </w:r>
          </w:p>
        </w:tc>
      </w:tr>
      <w:tr w:rsidR="00FE2B0D" w:rsidRPr="006E3436" w14:paraId="2C2058ED" w14:textId="77777777" w:rsidTr="00E8456E">
        <w:trPr>
          <w:cnfStyle w:val="000000100000" w:firstRow="0" w:lastRow="0" w:firstColumn="0" w:lastColumn="0" w:oddVBand="0" w:evenVBand="0" w:oddHBand="1" w:evenHBand="0" w:firstRowFirstColumn="0" w:firstRowLastColumn="0" w:lastRowFirstColumn="0" w:lastRowLastColumn="0"/>
          <w:trHeight w:val="102"/>
        </w:trPr>
        <w:tc>
          <w:tcPr>
            <w:cnfStyle w:val="001000000000" w:firstRow="0" w:lastRow="0" w:firstColumn="1" w:lastColumn="0" w:oddVBand="0" w:evenVBand="0" w:oddHBand="0" w:evenHBand="0" w:firstRowFirstColumn="0" w:firstRowLastColumn="0" w:lastRowFirstColumn="0" w:lastRowLastColumn="0"/>
            <w:tcW w:w="5885" w:type="dxa"/>
          </w:tcPr>
          <w:p w14:paraId="167A60E9" w14:textId="77777777" w:rsidR="00FE2B0D" w:rsidRPr="006E3436" w:rsidRDefault="00FE2B0D" w:rsidP="00E8456E">
            <w:pPr>
              <w:spacing w:after="160" w:line="276" w:lineRule="auto"/>
              <w:jc w:val="both"/>
              <w:rPr>
                <w:sz w:val="24"/>
                <w:szCs w:val="24"/>
                <w:lang w:val="en-GB"/>
              </w:rPr>
            </w:pPr>
            <w:r w:rsidRPr="006E3436">
              <w:rPr>
                <w:sz w:val="24"/>
                <w:szCs w:val="24"/>
                <w:lang w:val="en-GB"/>
              </w:rPr>
              <w:t xml:space="preserve">Net Income </w:t>
            </w:r>
          </w:p>
        </w:tc>
        <w:tc>
          <w:tcPr>
            <w:tcW w:w="3131" w:type="dxa"/>
          </w:tcPr>
          <w:p w14:paraId="6FE48071" w14:textId="77777777" w:rsidR="00FE2B0D" w:rsidRPr="006E3436" w:rsidRDefault="00FE2B0D" w:rsidP="00E8456E">
            <w:pPr>
              <w:spacing w:after="160" w:line="276" w:lineRule="auto"/>
              <w:jc w:val="center"/>
              <w:cnfStyle w:val="000000100000" w:firstRow="0" w:lastRow="0" w:firstColumn="0" w:lastColumn="0" w:oddVBand="0" w:evenVBand="0" w:oddHBand="1" w:evenHBand="0" w:firstRowFirstColumn="0" w:firstRowLastColumn="0" w:lastRowFirstColumn="0" w:lastRowLastColumn="0"/>
              <w:rPr>
                <w:b/>
                <w:sz w:val="24"/>
                <w:szCs w:val="24"/>
                <w:lang w:val="en-GB"/>
              </w:rPr>
            </w:pPr>
            <w:r w:rsidRPr="006E3436">
              <w:rPr>
                <w:b/>
                <w:sz w:val="24"/>
                <w:szCs w:val="24"/>
                <w:lang w:val="en-GB"/>
              </w:rPr>
              <w:t>13910</w:t>
            </w:r>
          </w:p>
        </w:tc>
      </w:tr>
      <w:tr w:rsidR="00FE2B0D" w:rsidRPr="006E3436" w14:paraId="5FBE3D56" w14:textId="77777777" w:rsidTr="00E8456E">
        <w:trPr>
          <w:trHeight w:val="109"/>
        </w:trPr>
        <w:tc>
          <w:tcPr>
            <w:cnfStyle w:val="001000000000" w:firstRow="0" w:lastRow="0" w:firstColumn="1" w:lastColumn="0" w:oddVBand="0" w:evenVBand="0" w:oddHBand="0" w:evenHBand="0" w:firstRowFirstColumn="0" w:firstRowLastColumn="0" w:lastRowFirstColumn="0" w:lastRowLastColumn="0"/>
            <w:tcW w:w="5885" w:type="dxa"/>
          </w:tcPr>
          <w:p w14:paraId="700048E6" w14:textId="77777777" w:rsidR="00FE2B0D" w:rsidRPr="006E3436" w:rsidRDefault="00FE2B0D" w:rsidP="00E8456E">
            <w:pPr>
              <w:spacing w:after="160" w:line="276" w:lineRule="auto"/>
              <w:jc w:val="both"/>
              <w:rPr>
                <w:sz w:val="24"/>
                <w:szCs w:val="24"/>
                <w:lang w:val="en-GB"/>
              </w:rPr>
            </w:pPr>
            <w:r w:rsidRPr="006E3436">
              <w:rPr>
                <w:sz w:val="24"/>
                <w:szCs w:val="24"/>
                <w:lang w:val="en-GB"/>
              </w:rPr>
              <w:t xml:space="preserve">Revenue </w:t>
            </w:r>
          </w:p>
        </w:tc>
        <w:tc>
          <w:tcPr>
            <w:tcW w:w="3131" w:type="dxa"/>
          </w:tcPr>
          <w:p w14:paraId="55F9805C" w14:textId="77777777" w:rsidR="00FE2B0D" w:rsidRPr="006E3436" w:rsidRDefault="00FE2B0D" w:rsidP="00E8456E">
            <w:pPr>
              <w:spacing w:after="160" w:line="276" w:lineRule="auto"/>
              <w:jc w:val="center"/>
              <w:cnfStyle w:val="000000000000" w:firstRow="0" w:lastRow="0" w:firstColumn="0" w:lastColumn="0" w:oddVBand="0" w:evenVBand="0" w:oddHBand="0" w:evenHBand="0" w:firstRowFirstColumn="0" w:firstRowLastColumn="0" w:lastRowFirstColumn="0" w:lastRowLastColumn="0"/>
              <w:rPr>
                <w:b/>
                <w:sz w:val="24"/>
                <w:szCs w:val="24"/>
                <w:lang w:val="en-GB"/>
              </w:rPr>
            </w:pPr>
            <w:r w:rsidRPr="006E3436">
              <w:rPr>
                <w:b/>
                <w:sz w:val="24"/>
                <w:szCs w:val="24"/>
                <w:lang w:val="en-GB"/>
              </w:rPr>
              <w:t>572750</w:t>
            </w:r>
          </w:p>
        </w:tc>
      </w:tr>
      <w:tr w:rsidR="00FE2B0D" w:rsidRPr="006E3436" w14:paraId="70664A78" w14:textId="77777777" w:rsidTr="00E8456E">
        <w:trPr>
          <w:cnfStyle w:val="000000100000" w:firstRow="0" w:lastRow="0" w:firstColumn="0" w:lastColumn="0" w:oddVBand="0" w:evenVBand="0" w:oddHBand="1" w:evenHBand="0" w:firstRowFirstColumn="0" w:firstRowLastColumn="0" w:lastRowFirstColumn="0" w:lastRowLastColumn="0"/>
          <w:trHeight w:val="109"/>
        </w:trPr>
        <w:tc>
          <w:tcPr>
            <w:cnfStyle w:val="001000000000" w:firstRow="0" w:lastRow="0" w:firstColumn="1" w:lastColumn="0" w:oddVBand="0" w:evenVBand="0" w:oddHBand="0" w:evenHBand="0" w:firstRowFirstColumn="0" w:firstRowLastColumn="0" w:lastRowFirstColumn="0" w:lastRowLastColumn="0"/>
            <w:tcW w:w="5885" w:type="dxa"/>
          </w:tcPr>
          <w:p w14:paraId="2043E602" w14:textId="77777777" w:rsidR="00FE2B0D" w:rsidRPr="006E3436" w:rsidRDefault="00FE2B0D" w:rsidP="00E8456E">
            <w:pPr>
              <w:spacing w:after="160" w:line="276" w:lineRule="auto"/>
              <w:jc w:val="both"/>
              <w:rPr>
                <w:sz w:val="24"/>
                <w:szCs w:val="24"/>
                <w:lang w:val="en-GB"/>
              </w:rPr>
            </w:pPr>
            <w:r w:rsidRPr="006E3436">
              <w:rPr>
                <w:sz w:val="24"/>
                <w:szCs w:val="24"/>
                <w:lang w:val="en-GB"/>
              </w:rPr>
              <w:t xml:space="preserve">Current Assets </w:t>
            </w:r>
          </w:p>
        </w:tc>
        <w:tc>
          <w:tcPr>
            <w:tcW w:w="3131" w:type="dxa"/>
          </w:tcPr>
          <w:p w14:paraId="67DBA56E" w14:textId="77777777" w:rsidR="00FE2B0D" w:rsidRPr="006E3436" w:rsidRDefault="00FE2B0D" w:rsidP="00E8456E">
            <w:pPr>
              <w:spacing w:after="160" w:line="276" w:lineRule="auto"/>
              <w:jc w:val="center"/>
              <w:cnfStyle w:val="000000100000" w:firstRow="0" w:lastRow="0" w:firstColumn="0" w:lastColumn="0" w:oddVBand="0" w:evenVBand="0" w:oddHBand="1" w:evenHBand="0" w:firstRowFirstColumn="0" w:firstRowLastColumn="0" w:lastRowFirstColumn="0" w:lastRowLastColumn="0"/>
              <w:rPr>
                <w:b/>
                <w:sz w:val="24"/>
                <w:szCs w:val="24"/>
                <w:lang w:val="en-GB"/>
              </w:rPr>
            </w:pPr>
            <w:r w:rsidRPr="006E3436">
              <w:rPr>
                <w:b/>
                <w:sz w:val="24"/>
                <w:szCs w:val="24"/>
                <w:lang w:val="en-GB"/>
              </w:rPr>
              <w:t>81070</w:t>
            </w:r>
          </w:p>
        </w:tc>
      </w:tr>
      <w:tr w:rsidR="00FE2B0D" w:rsidRPr="006E3436" w14:paraId="0811FF6A" w14:textId="77777777" w:rsidTr="00E8456E">
        <w:trPr>
          <w:trHeight w:val="147"/>
        </w:trPr>
        <w:tc>
          <w:tcPr>
            <w:cnfStyle w:val="001000000000" w:firstRow="0" w:lastRow="0" w:firstColumn="1" w:lastColumn="0" w:oddVBand="0" w:evenVBand="0" w:oddHBand="0" w:evenHBand="0" w:firstRowFirstColumn="0" w:firstRowLastColumn="0" w:lastRowFirstColumn="0" w:lastRowLastColumn="0"/>
            <w:tcW w:w="5885" w:type="dxa"/>
          </w:tcPr>
          <w:p w14:paraId="1F43D1CF" w14:textId="77777777" w:rsidR="00FE2B0D" w:rsidRPr="006E3436" w:rsidRDefault="00FE2B0D" w:rsidP="00E8456E">
            <w:pPr>
              <w:spacing w:after="160" w:line="276" w:lineRule="auto"/>
              <w:jc w:val="both"/>
              <w:rPr>
                <w:sz w:val="24"/>
                <w:szCs w:val="24"/>
                <w:lang w:val="en-GB"/>
              </w:rPr>
            </w:pPr>
            <w:r w:rsidRPr="006E3436">
              <w:rPr>
                <w:sz w:val="24"/>
                <w:szCs w:val="24"/>
                <w:lang w:val="en-GB"/>
              </w:rPr>
              <w:t xml:space="preserve">Current Liabilities </w:t>
            </w:r>
          </w:p>
        </w:tc>
        <w:tc>
          <w:tcPr>
            <w:tcW w:w="3131" w:type="dxa"/>
          </w:tcPr>
          <w:p w14:paraId="07D4C18D" w14:textId="77777777" w:rsidR="00FE2B0D" w:rsidRPr="006E3436" w:rsidRDefault="00FE2B0D" w:rsidP="00E8456E">
            <w:pPr>
              <w:spacing w:after="160" w:line="276" w:lineRule="auto"/>
              <w:jc w:val="center"/>
              <w:cnfStyle w:val="000000000000" w:firstRow="0" w:lastRow="0" w:firstColumn="0" w:lastColumn="0" w:oddVBand="0" w:evenVBand="0" w:oddHBand="0" w:evenHBand="0" w:firstRowFirstColumn="0" w:firstRowLastColumn="0" w:lastRowFirstColumn="0" w:lastRowLastColumn="0"/>
              <w:rPr>
                <w:b/>
                <w:sz w:val="24"/>
                <w:szCs w:val="24"/>
                <w:lang w:val="en-GB"/>
              </w:rPr>
            </w:pPr>
            <w:r w:rsidRPr="006E3436">
              <w:rPr>
                <w:b/>
                <w:sz w:val="24"/>
                <w:szCs w:val="24"/>
              </w:rPr>
              <w:t>87,379</w:t>
            </w:r>
          </w:p>
        </w:tc>
      </w:tr>
      <w:tr w:rsidR="00FE2B0D" w:rsidRPr="006E3436" w14:paraId="79712133" w14:textId="77777777" w:rsidTr="00E8456E">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5885" w:type="dxa"/>
          </w:tcPr>
          <w:p w14:paraId="35803A09" w14:textId="77777777" w:rsidR="00FE2B0D" w:rsidRPr="006E3436" w:rsidRDefault="00FE2B0D" w:rsidP="00E8456E">
            <w:pPr>
              <w:spacing w:after="160" w:line="276" w:lineRule="auto"/>
              <w:jc w:val="both"/>
              <w:rPr>
                <w:sz w:val="24"/>
                <w:szCs w:val="24"/>
                <w:lang w:val="en-GB"/>
              </w:rPr>
            </w:pPr>
            <w:r w:rsidRPr="006E3436">
              <w:rPr>
                <w:sz w:val="24"/>
                <w:szCs w:val="24"/>
                <w:lang w:val="en-GB"/>
              </w:rPr>
              <w:t xml:space="preserve">Total Debts </w:t>
            </w:r>
          </w:p>
        </w:tc>
        <w:tc>
          <w:tcPr>
            <w:tcW w:w="3131" w:type="dxa"/>
          </w:tcPr>
          <w:p w14:paraId="133F2B69" w14:textId="77777777" w:rsidR="00FE2B0D" w:rsidRPr="006E3436" w:rsidRDefault="00FE2B0D" w:rsidP="00E8456E">
            <w:pPr>
              <w:spacing w:after="160" w:line="276" w:lineRule="auto"/>
              <w:jc w:val="center"/>
              <w:cnfStyle w:val="000000100000" w:firstRow="0" w:lastRow="0" w:firstColumn="0" w:lastColumn="0" w:oddVBand="0" w:evenVBand="0" w:oddHBand="1" w:evenHBand="0" w:firstRowFirstColumn="0" w:firstRowLastColumn="0" w:lastRowFirstColumn="0" w:lastRowLastColumn="0"/>
              <w:rPr>
                <w:b/>
                <w:sz w:val="24"/>
                <w:szCs w:val="24"/>
                <w:lang w:val="en-GB"/>
              </w:rPr>
            </w:pPr>
            <w:r w:rsidRPr="006E3436">
              <w:rPr>
                <w:b/>
                <w:sz w:val="24"/>
                <w:szCs w:val="24"/>
                <w:lang w:val="en-GB"/>
              </w:rPr>
              <w:t>58418</w:t>
            </w:r>
          </w:p>
        </w:tc>
      </w:tr>
      <w:tr w:rsidR="00FE2B0D" w:rsidRPr="006E3436" w14:paraId="3BCF2EBC" w14:textId="77777777" w:rsidTr="00E8456E">
        <w:trPr>
          <w:trHeight w:val="102"/>
        </w:trPr>
        <w:tc>
          <w:tcPr>
            <w:cnfStyle w:val="001000000000" w:firstRow="0" w:lastRow="0" w:firstColumn="1" w:lastColumn="0" w:oddVBand="0" w:evenVBand="0" w:oddHBand="0" w:evenHBand="0" w:firstRowFirstColumn="0" w:firstRowLastColumn="0" w:lastRowFirstColumn="0" w:lastRowLastColumn="0"/>
            <w:tcW w:w="5885" w:type="dxa"/>
          </w:tcPr>
          <w:p w14:paraId="04139B5D" w14:textId="77777777" w:rsidR="00FE2B0D" w:rsidRPr="006E3436" w:rsidRDefault="00FE2B0D" w:rsidP="00E8456E">
            <w:pPr>
              <w:spacing w:after="160" w:line="276" w:lineRule="auto"/>
              <w:jc w:val="both"/>
              <w:rPr>
                <w:sz w:val="24"/>
                <w:szCs w:val="24"/>
                <w:lang w:val="en-GB"/>
              </w:rPr>
            </w:pPr>
            <w:r w:rsidRPr="006E3436">
              <w:rPr>
                <w:sz w:val="24"/>
                <w:szCs w:val="24"/>
                <w:lang w:val="en-GB"/>
              </w:rPr>
              <w:t xml:space="preserve">Shareholders’ Equity </w:t>
            </w:r>
          </w:p>
        </w:tc>
        <w:tc>
          <w:tcPr>
            <w:tcW w:w="3131" w:type="dxa"/>
          </w:tcPr>
          <w:p w14:paraId="7F3BFFBF" w14:textId="77777777" w:rsidR="00FE2B0D" w:rsidRPr="006E3436" w:rsidRDefault="00FE2B0D" w:rsidP="00E8456E">
            <w:pPr>
              <w:spacing w:after="160" w:line="276" w:lineRule="auto"/>
              <w:jc w:val="center"/>
              <w:cnfStyle w:val="000000000000" w:firstRow="0" w:lastRow="0" w:firstColumn="0" w:lastColumn="0" w:oddVBand="0" w:evenVBand="0" w:oddHBand="0" w:evenHBand="0" w:firstRowFirstColumn="0" w:firstRowLastColumn="0" w:lastRowFirstColumn="0" w:lastRowLastColumn="0"/>
              <w:rPr>
                <w:b/>
                <w:sz w:val="24"/>
                <w:szCs w:val="24"/>
                <w:lang w:val="en-GB"/>
              </w:rPr>
            </w:pPr>
            <w:r w:rsidRPr="006E3436">
              <w:rPr>
                <w:b/>
                <w:sz w:val="24"/>
                <w:szCs w:val="24"/>
                <w:lang w:val="en-GB"/>
              </w:rPr>
              <w:t>91891</w:t>
            </w:r>
          </w:p>
        </w:tc>
      </w:tr>
      <w:tr w:rsidR="00FE2B0D" w:rsidRPr="006E3436" w14:paraId="56424E99" w14:textId="77777777" w:rsidTr="00E8456E">
        <w:trPr>
          <w:cnfStyle w:val="000000100000" w:firstRow="0" w:lastRow="0" w:firstColumn="0" w:lastColumn="0" w:oddVBand="0" w:evenVBand="0" w:oddHBand="1" w:evenHBand="0" w:firstRowFirstColumn="0" w:firstRowLastColumn="0" w:lastRowFirstColumn="0" w:lastRowLastColumn="0"/>
          <w:trHeight w:val="38"/>
        </w:trPr>
        <w:tc>
          <w:tcPr>
            <w:cnfStyle w:val="001000000000" w:firstRow="0" w:lastRow="0" w:firstColumn="1" w:lastColumn="0" w:oddVBand="0" w:evenVBand="0" w:oddHBand="0" w:evenHBand="0" w:firstRowFirstColumn="0" w:firstRowLastColumn="0" w:lastRowFirstColumn="0" w:lastRowLastColumn="0"/>
            <w:tcW w:w="5885" w:type="dxa"/>
          </w:tcPr>
          <w:p w14:paraId="1640AEF4" w14:textId="77777777" w:rsidR="00FE2B0D" w:rsidRPr="006E3436" w:rsidRDefault="00FE2B0D" w:rsidP="00E8456E">
            <w:pPr>
              <w:spacing w:after="160" w:line="276" w:lineRule="auto"/>
              <w:jc w:val="both"/>
              <w:rPr>
                <w:sz w:val="24"/>
                <w:szCs w:val="24"/>
                <w:lang w:val="en-GB"/>
              </w:rPr>
            </w:pPr>
            <w:r w:rsidRPr="006E3436">
              <w:rPr>
                <w:sz w:val="24"/>
                <w:szCs w:val="24"/>
                <w:lang w:val="en-GB"/>
              </w:rPr>
              <w:t xml:space="preserve">Average Total Assets </w:t>
            </w:r>
          </w:p>
        </w:tc>
        <w:tc>
          <w:tcPr>
            <w:tcW w:w="3131" w:type="dxa"/>
          </w:tcPr>
          <w:p w14:paraId="4A847326" w14:textId="77777777" w:rsidR="00FE2B0D" w:rsidRPr="006E3436" w:rsidRDefault="00FE2B0D" w:rsidP="00E8456E">
            <w:pPr>
              <w:spacing w:after="160" w:line="276" w:lineRule="auto"/>
              <w:jc w:val="center"/>
              <w:cnfStyle w:val="000000100000" w:firstRow="0" w:lastRow="0" w:firstColumn="0" w:lastColumn="0" w:oddVBand="0" w:evenVBand="0" w:oddHBand="1" w:evenHBand="0" w:firstRowFirstColumn="0" w:firstRowLastColumn="0" w:lastRowFirstColumn="0" w:lastRowLastColumn="0"/>
              <w:rPr>
                <w:b/>
                <w:sz w:val="24"/>
                <w:szCs w:val="24"/>
                <w:lang w:val="en-GB"/>
              </w:rPr>
            </w:pPr>
            <w:r w:rsidRPr="006E3436">
              <w:rPr>
                <w:b/>
                <w:sz w:val="24"/>
                <w:szCs w:val="24"/>
              </w:rPr>
              <w:t>244,860</w:t>
            </w:r>
          </w:p>
        </w:tc>
      </w:tr>
    </w:tbl>
    <w:p w14:paraId="48CE1C99" w14:textId="77777777" w:rsidR="00FE2B0D" w:rsidRPr="006E3436" w:rsidRDefault="00FE2B0D" w:rsidP="00FE2B0D">
      <w:pPr>
        <w:spacing w:line="276" w:lineRule="auto"/>
        <w:jc w:val="both"/>
        <w:rPr>
          <w:sz w:val="24"/>
          <w:szCs w:val="24"/>
          <w:lang w:val="en-GB"/>
        </w:rPr>
      </w:pPr>
    </w:p>
    <w:p w14:paraId="262BEB55" w14:textId="77777777" w:rsidR="00FE2B0D" w:rsidRPr="003E6409" w:rsidRDefault="00FE2B0D" w:rsidP="00FE2B0D">
      <w:pPr>
        <w:pStyle w:val="Heading2"/>
        <w:numPr>
          <w:ilvl w:val="1"/>
          <w:numId w:val="1"/>
        </w:numPr>
        <w:tabs>
          <w:tab w:val="num" w:pos="360"/>
        </w:tabs>
        <w:ind w:left="0" w:firstLine="0"/>
        <w:rPr>
          <w:b/>
          <w:color w:val="000000" w:themeColor="text1"/>
        </w:rPr>
      </w:pPr>
      <w:bookmarkStart w:id="3" w:name="_Toc163310225"/>
      <w:bookmarkStart w:id="4" w:name="_Toc163428064"/>
      <w:r w:rsidRPr="003E6409">
        <w:rPr>
          <w:b/>
          <w:color w:val="000000" w:themeColor="text1"/>
        </w:rPr>
        <w:t>Profitability Ratios:</w:t>
      </w:r>
      <w:bookmarkEnd w:id="3"/>
      <w:bookmarkEnd w:id="4"/>
      <w:r w:rsidRPr="003E6409">
        <w:rPr>
          <w:b/>
          <w:color w:val="000000" w:themeColor="text1"/>
        </w:rPr>
        <w:t xml:space="preserve"> </w:t>
      </w:r>
      <w:r>
        <w:rPr>
          <w:b/>
          <w:color w:val="000000" w:themeColor="text1"/>
        </w:rPr>
        <w:t xml:space="preserve"> </w:t>
      </w:r>
    </w:p>
    <w:p w14:paraId="7DEFD5DF" w14:textId="77777777" w:rsidR="00FE2B0D" w:rsidRPr="006E3436" w:rsidRDefault="00FE2B0D" w:rsidP="00FE2B0D">
      <w:pPr>
        <w:spacing w:line="276" w:lineRule="auto"/>
        <w:jc w:val="both"/>
        <w:rPr>
          <w:sz w:val="24"/>
          <w:szCs w:val="24"/>
        </w:rPr>
      </w:pPr>
    </w:p>
    <w:p w14:paraId="74ECBC7A" w14:textId="77777777" w:rsidR="00FE2B0D" w:rsidRPr="006E3436" w:rsidRDefault="00FE2B0D" w:rsidP="00FE2B0D">
      <w:pPr>
        <w:spacing w:line="276" w:lineRule="auto"/>
        <w:jc w:val="both"/>
        <w:rPr>
          <w:sz w:val="24"/>
          <w:szCs w:val="24"/>
        </w:rPr>
      </w:pPr>
      <w:r w:rsidRPr="006E3436">
        <w:rPr>
          <w:sz w:val="24"/>
          <w:szCs w:val="24"/>
        </w:rPr>
        <w:t>Profitability ratios measure the income of the company with respect to its income, assets, equity, and other financial metrics of the company. From the point of view of ascertaining financial soundness and also from the point of view of capacity for growth, distributing dividends, and luring in investors, they hold relevance.</w:t>
      </w:r>
    </w:p>
    <w:p w14:paraId="390786E3" w14:textId="77777777" w:rsidR="00FE2B0D" w:rsidRPr="005F6673" w:rsidRDefault="00FE2B0D" w:rsidP="00FE2B0D">
      <w:pPr>
        <w:spacing w:line="276" w:lineRule="auto"/>
        <w:jc w:val="both"/>
        <w:rPr>
          <w:sz w:val="24"/>
          <w:szCs w:val="24"/>
        </w:rPr>
      </w:pPr>
      <w:r w:rsidRPr="005F6673">
        <w:rPr>
          <w:b/>
          <w:bCs/>
          <w:sz w:val="24"/>
          <w:szCs w:val="24"/>
        </w:rPr>
        <w:t>Net Profit Margin</w:t>
      </w:r>
    </w:p>
    <w:p w14:paraId="70CE81F6" w14:textId="77777777" w:rsidR="00FE2B0D" w:rsidRPr="005F6673" w:rsidRDefault="00FE2B0D" w:rsidP="00FE2B0D">
      <w:pPr>
        <w:spacing w:line="276" w:lineRule="auto"/>
        <w:jc w:val="both"/>
        <w:rPr>
          <w:sz w:val="24"/>
          <w:szCs w:val="24"/>
        </w:rPr>
      </w:pPr>
      <w:r w:rsidRPr="005F6673">
        <w:rPr>
          <w:bCs/>
          <w:sz w:val="24"/>
          <w:szCs w:val="24"/>
        </w:rPr>
        <w:t>Formula:</w:t>
      </w:r>
      <w:r w:rsidRPr="005F6673">
        <w:rPr>
          <w:sz w:val="24"/>
          <w:szCs w:val="24"/>
        </w:rPr>
        <w:t xml:space="preserve"> Net Profit Margin = (Net Income / Revenue) x 100</w:t>
      </w:r>
    </w:p>
    <w:p w14:paraId="3D5CAFDB" w14:textId="77777777" w:rsidR="00FE2B0D" w:rsidRPr="005F6673" w:rsidRDefault="00FE2B0D" w:rsidP="00FE2B0D">
      <w:pPr>
        <w:spacing w:line="276" w:lineRule="auto"/>
        <w:jc w:val="both"/>
        <w:rPr>
          <w:sz w:val="24"/>
          <w:szCs w:val="24"/>
        </w:rPr>
      </w:pPr>
      <w:r w:rsidRPr="005F6673">
        <w:rPr>
          <w:bCs/>
          <w:sz w:val="24"/>
          <w:szCs w:val="24"/>
        </w:rPr>
        <w:t>Net Profit Margin= (</w:t>
      </w:r>
      <w:r w:rsidRPr="005F6673">
        <w:rPr>
          <w:sz w:val="24"/>
          <w:szCs w:val="24"/>
          <w:lang w:val="en-GB"/>
        </w:rPr>
        <w:t>13910</w:t>
      </w:r>
      <w:r w:rsidRPr="005F6673">
        <w:rPr>
          <w:bCs/>
          <w:sz w:val="24"/>
          <w:szCs w:val="24"/>
        </w:rPr>
        <w:t>/</w:t>
      </w:r>
      <w:r w:rsidRPr="005F6673">
        <w:rPr>
          <w:sz w:val="24"/>
          <w:szCs w:val="24"/>
          <w:lang w:val="en-GB"/>
        </w:rPr>
        <w:t>572750)</w:t>
      </w:r>
      <w:r w:rsidRPr="005F6673">
        <w:rPr>
          <w:sz w:val="24"/>
          <w:szCs w:val="24"/>
        </w:rPr>
        <w:t xml:space="preserve"> x 100= 2.4 %</w:t>
      </w:r>
    </w:p>
    <w:p w14:paraId="27D33735" w14:textId="77777777" w:rsidR="00FE2B0D" w:rsidRPr="005F6673" w:rsidRDefault="00FE2B0D" w:rsidP="00FE2B0D">
      <w:pPr>
        <w:spacing w:line="276" w:lineRule="auto"/>
        <w:jc w:val="both"/>
        <w:rPr>
          <w:b/>
          <w:sz w:val="24"/>
          <w:szCs w:val="24"/>
          <w:lang w:val="en-GB"/>
        </w:rPr>
      </w:pPr>
      <w:r w:rsidRPr="005F6673">
        <w:rPr>
          <w:b/>
          <w:sz w:val="24"/>
          <w:szCs w:val="24"/>
        </w:rPr>
        <w:t>Results</w:t>
      </w:r>
    </w:p>
    <w:p w14:paraId="6CF9AD24" w14:textId="77777777" w:rsidR="00FE2B0D" w:rsidRPr="006E3436" w:rsidRDefault="00FE2B0D" w:rsidP="00FE2B0D">
      <w:pPr>
        <w:spacing w:line="276" w:lineRule="auto"/>
        <w:jc w:val="both"/>
        <w:rPr>
          <w:sz w:val="24"/>
          <w:szCs w:val="24"/>
        </w:rPr>
      </w:pPr>
      <w:r w:rsidRPr="006E3436">
        <w:rPr>
          <w:sz w:val="24"/>
          <w:szCs w:val="24"/>
        </w:rPr>
        <w:t xml:space="preserve">The Net Profit Margin at 2.4%, therefore, will imply that for every dollar realized as revenues, 0.024 dollars are actually retained as net income by Walmart. A Net Profit Margin of 2.4% would generally be acceptable within certain industries, particularly those that work with high volumes and low margins, two characteristics found in a majority of retail operations. This margin shows that Walmart management runs business operations effectively with high ability to turn sales into actual profit. Even at the scale of Walmart, even a small percentage </w:t>
      </w:r>
      <w:r w:rsidRPr="006E3436">
        <w:rPr>
          <w:sz w:val="24"/>
          <w:szCs w:val="24"/>
        </w:rPr>
        <w:lastRenderedPageBreak/>
        <w:t>is represented by a sizable absolute amount of profit. That can show, compared with the market averages and historical performance, if Walmart is raising the profitability, keeping stable, or maybe losing profitability. This should best be viewed within other financial metrics and operating factors that impact the overall picture in respect of financial soundness and performance of the organization.</w:t>
      </w:r>
    </w:p>
    <w:p w14:paraId="41742375" w14:textId="77777777" w:rsidR="00FE2B0D" w:rsidRPr="005F6673" w:rsidRDefault="00FE2B0D" w:rsidP="00FE2B0D">
      <w:pPr>
        <w:pStyle w:val="Heading2"/>
        <w:numPr>
          <w:ilvl w:val="1"/>
          <w:numId w:val="1"/>
        </w:numPr>
        <w:tabs>
          <w:tab w:val="num" w:pos="360"/>
        </w:tabs>
        <w:ind w:left="0" w:firstLine="0"/>
        <w:rPr>
          <w:b/>
          <w:color w:val="000000" w:themeColor="text1"/>
        </w:rPr>
      </w:pPr>
      <w:bookmarkStart w:id="5" w:name="_Toc163310226"/>
      <w:bookmarkStart w:id="6" w:name="_Toc163428065"/>
      <w:r w:rsidRPr="005F6673">
        <w:rPr>
          <w:b/>
          <w:color w:val="000000" w:themeColor="text1"/>
        </w:rPr>
        <w:t>Liquidity Ratios:</w:t>
      </w:r>
      <w:bookmarkEnd w:id="5"/>
      <w:bookmarkEnd w:id="6"/>
    </w:p>
    <w:p w14:paraId="1F811034" w14:textId="77777777" w:rsidR="00FE2B0D" w:rsidRPr="006E3436" w:rsidRDefault="00FE2B0D" w:rsidP="00FE2B0D">
      <w:pPr>
        <w:spacing w:line="276" w:lineRule="auto"/>
        <w:jc w:val="both"/>
        <w:rPr>
          <w:sz w:val="24"/>
          <w:szCs w:val="24"/>
        </w:rPr>
      </w:pPr>
    </w:p>
    <w:p w14:paraId="3557666B" w14:textId="77777777" w:rsidR="00FE2B0D" w:rsidRPr="006E3436" w:rsidRDefault="00FE2B0D" w:rsidP="00FE2B0D">
      <w:pPr>
        <w:spacing w:line="276" w:lineRule="auto"/>
        <w:jc w:val="both"/>
        <w:rPr>
          <w:sz w:val="24"/>
          <w:szCs w:val="24"/>
          <w:lang w:val="en-GB"/>
        </w:rPr>
      </w:pPr>
      <w:r w:rsidRPr="006E3436">
        <w:rPr>
          <w:sz w:val="24"/>
          <w:szCs w:val="24"/>
          <w:lang w:val="en-GB"/>
        </w:rPr>
        <w:t>Liquidity ratios look at the capability of a firm to meet short-term obligations using its current or quick assets. The high liquidity ratio would indicate that the current ratio of the company is 4 and 5 times larger than the actual current ratio in covering short-term debt.</w:t>
      </w:r>
    </w:p>
    <w:p w14:paraId="7500F44E" w14:textId="77777777" w:rsidR="00FE2B0D" w:rsidRPr="005F6673" w:rsidRDefault="00FE2B0D" w:rsidP="00FE2B0D">
      <w:pPr>
        <w:spacing w:line="276" w:lineRule="auto"/>
        <w:jc w:val="both"/>
        <w:rPr>
          <w:b/>
          <w:sz w:val="24"/>
          <w:szCs w:val="24"/>
        </w:rPr>
      </w:pPr>
      <w:r w:rsidRPr="005F6673">
        <w:rPr>
          <w:b/>
          <w:bCs/>
          <w:sz w:val="24"/>
          <w:szCs w:val="24"/>
        </w:rPr>
        <w:t>Current Ratio</w:t>
      </w:r>
    </w:p>
    <w:p w14:paraId="40A94195" w14:textId="77777777" w:rsidR="00FE2B0D" w:rsidRPr="005F6673" w:rsidRDefault="00FE2B0D" w:rsidP="00FE2B0D">
      <w:pPr>
        <w:spacing w:line="276" w:lineRule="auto"/>
        <w:jc w:val="both"/>
        <w:rPr>
          <w:sz w:val="24"/>
          <w:szCs w:val="24"/>
        </w:rPr>
      </w:pPr>
      <w:r w:rsidRPr="005F6673">
        <w:rPr>
          <w:bCs/>
          <w:sz w:val="24"/>
          <w:szCs w:val="24"/>
        </w:rPr>
        <w:t>Formula:</w:t>
      </w:r>
      <w:r w:rsidRPr="005F6673">
        <w:rPr>
          <w:sz w:val="24"/>
          <w:szCs w:val="24"/>
        </w:rPr>
        <w:t xml:space="preserve"> Current Ratio = Current Assets / Current Liabilities</w:t>
      </w:r>
    </w:p>
    <w:p w14:paraId="3845C4AD" w14:textId="77777777" w:rsidR="00FE2B0D" w:rsidRPr="005F6673" w:rsidRDefault="00FE2B0D" w:rsidP="00FE2B0D">
      <w:pPr>
        <w:spacing w:line="276" w:lineRule="auto"/>
        <w:jc w:val="both"/>
        <w:rPr>
          <w:sz w:val="24"/>
          <w:szCs w:val="24"/>
          <w:lang w:val="en-GB"/>
        </w:rPr>
      </w:pPr>
      <w:r w:rsidRPr="005F6673">
        <w:rPr>
          <w:bCs/>
          <w:sz w:val="24"/>
          <w:szCs w:val="24"/>
        </w:rPr>
        <w:t>Current Ratio</w:t>
      </w:r>
      <w:r w:rsidRPr="005F6673">
        <w:rPr>
          <w:sz w:val="24"/>
          <w:szCs w:val="24"/>
        </w:rPr>
        <w:t xml:space="preserve">= </w:t>
      </w:r>
      <w:r w:rsidRPr="005F6673">
        <w:rPr>
          <w:sz w:val="24"/>
          <w:szCs w:val="24"/>
          <w:lang w:val="en-GB"/>
        </w:rPr>
        <w:t>81070/87,379= 0.92</w:t>
      </w:r>
    </w:p>
    <w:p w14:paraId="6796E8A0" w14:textId="77777777" w:rsidR="00FE2B0D" w:rsidRPr="005F6673" w:rsidRDefault="00FE2B0D" w:rsidP="00FE2B0D">
      <w:pPr>
        <w:spacing w:line="276" w:lineRule="auto"/>
        <w:jc w:val="both"/>
        <w:rPr>
          <w:b/>
          <w:sz w:val="24"/>
          <w:szCs w:val="24"/>
          <w:lang w:val="en-GB"/>
        </w:rPr>
      </w:pPr>
      <w:r w:rsidRPr="005F6673">
        <w:rPr>
          <w:b/>
          <w:sz w:val="24"/>
          <w:szCs w:val="24"/>
        </w:rPr>
        <w:t>Results</w:t>
      </w:r>
    </w:p>
    <w:p w14:paraId="236742C7" w14:textId="77777777" w:rsidR="00FE2B0D" w:rsidRPr="006E3436" w:rsidRDefault="00FE2B0D" w:rsidP="00FE2B0D">
      <w:pPr>
        <w:spacing w:line="276" w:lineRule="auto"/>
        <w:jc w:val="both"/>
        <w:rPr>
          <w:sz w:val="24"/>
          <w:szCs w:val="24"/>
        </w:rPr>
      </w:pPr>
      <w:r w:rsidRPr="006E3436">
        <w:rPr>
          <w:sz w:val="24"/>
          <w:szCs w:val="24"/>
        </w:rPr>
        <w:t>A Current Ratio of 0.92 means that Walmart has $0.92 of the current assets to cover every one dollar of the current liabilities. This kind of ratio, therefore, leads to a conclusion that the company may not offset its short-term obligations in full by using short-term assets. Generally, a Current Ratio of 1 and above would be considered satisfactory, since it means the company would be able to meet their short-term obligations without having to liquidate long-term assets or pumping in more money in the business. A Current Ratio falling below 1, as is the case with Walmart, should ring an alarm bell logically in the minds of the Company's Short</w:t>
      </w:r>
      <w:r>
        <w:rPr>
          <w:sz w:val="24"/>
          <w:szCs w:val="24"/>
        </w:rPr>
        <w:t>-</w:t>
      </w:r>
      <w:r w:rsidRPr="006E3436">
        <w:rPr>
          <w:sz w:val="24"/>
          <w:szCs w:val="24"/>
        </w:rPr>
        <w:t>Term Liquidity and the ability to meet up with immediate financial obligation. Though it's important to note that this can be common in certain industries like retail, where typically working capital management is tighter. But this ratio should be taken in the context both of the</w:t>
      </w:r>
      <w:r>
        <w:rPr>
          <w:sz w:val="24"/>
          <w:szCs w:val="24"/>
        </w:rPr>
        <w:t xml:space="preserve"> </w:t>
      </w:r>
      <w:r w:rsidRPr="006E3436">
        <w:rPr>
          <w:sz w:val="24"/>
          <w:szCs w:val="24"/>
        </w:rPr>
        <w:t>industry average and historical performance of the firm. Further analysis related to the other liquidity ratios and cash flow and credit lines may be able to provide more complete clues with respect to the company's liquidity position. The ratio is one that both investors and creditors would be keen to look at where large changes may suggest some problems with liquidity. The size and market position, however, of Walmart could also mean that it might have ways of doing this effective management of short-term liabilities.</w:t>
      </w:r>
    </w:p>
    <w:p w14:paraId="4B79A169" w14:textId="77777777" w:rsidR="00FE2B0D" w:rsidRPr="005F6673" w:rsidRDefault="00FE2B0D" w:rsidP="00FE2B0D">
      <w:pPr>
        <w:pStyle w:val="Heading2"/>
        <w:numPr>
          <w:ilvl w:val="1"/>
          <w:numId w:val="1"/>
        </w:numPr>
        <w:tabs>
          <w:tab w:val="num" w:pos="360"/>
        </w:tabs>
        <w:ind w:left="0" w:firstLine="0"/>
        <w:rPr>
          <w:b/>
          <w:color w:val="000000" w:themeColor="text1"/>
        </w:rPr>
      </w:pPr>
      <w:bookmarkStart w:id="7" w:name="_Toc163310227"/>
      <w:bookmarkStart w:id="8" w:name="_Toc163428066"/>
      <w:r w:rsidRPr="005F6673">
        <w:rPr>
          <w:b/>
          <w:color w:val="000000" w:themeColor="text1"/>
        </w:rPr>
        <w:t>Gearing (Leverage) Ratios:</w:t>
      </w:r>
      <w:bookmarkEnd w:id="7"/>
      <w:bookmarkEnd w:id="8"/>
    </w:p>
    <w:p w14:paraId="1432202D" w14:textId="77777777" w:rsidR="00FE2B0D" w:rsidRPr="006E3436" w:rsidRDefault="00FE2B0D" w:rsidP="00FE2B0D">
      <w:pPr>
        <w:spacing w:line="276" w:lineRule="auto"/>
        <w:jc w:val="both"/>
        <w:rPr>
          <w:sz w:val="24"/>
          <w:szCs w:val="24"/>
        </w:rPr>
      </w:pPr>
    </w:p>
    <w:p w14:paraId="62090875" w14:textId="77777777" w:rsidR="00FE2B0D" w:rsidRPr="006E3436" w:rsidRDefault="00FE2B0D" w:rsidP="00FE2B0D">
      <w:pPr>
        <w:spacing w:line="276" w:lineRule="auto"/>
        <w:jc w:val="both"/>
        <w:rPr>
          <w:sz w:val="24"/>
          <w:szCs w:val="24"/>
        </w:rPr>
      </w:pPr>
      <w:r w:rsidRPr="006E3436">
        <w:rPr>
          <w:sz w:val="24"/>
          <w:szCs w:val="24"/>
        </w:rPr>
        <w:t>Gearing ratios, sometimes called leverage ratios, take into consideration the proportion to which the operations of a firm are financed by equity as compared to creditor financing. This is of much use in order to gauge the financial structure and the level of the risk which the company has undertaken.</w:t>
      </w:r>
    </w:p>
    <w:p w14:paraId="0F964D7E" w14:textId="77777777" w:rsidR="00FE2B0D" w:rsidRPr="005F6673" w:rsidRDefault="00FE2B0D" w:rsidP="00FE2B0D">
      <w:pPr>
        <w:spacing w:line="276" w:lineRule="auto"/>
        <w:jc w:val="both"/>
        <w:rPr>
          <w:b/>
          <w:sz w:val="24"/>
          <w:szCs w:val="24"/>
        </w:rPr>
      </w:pPr>
      <w:r w:rsidRPr="005F6673">
        <w:rPr>
          <w:b/>
          <w:bCs/>
          <w:sz w:val="24"/>
          <w:szCs w:val="24"/>
        </w:rPr>
        <w:lastRenderedPageBreak/>
        <w:t>Debt-to-Equity Ratio</w:t>
      </w:r>
    </w:p>
    <w:p w14:paraId="14279E36" w14:textId="77777777" w:rsidR="00FE2B0D" w:rsidRPr="005F6673" w:rsidRDefault="00FE2B0D" w:rsidP="00FE2B0D">
      <w:pPr>
        <w:spacing w:line="276" w:lineRule="auto"/>
        <w:jc w:val="both"/>
        <w:rPr>
          <w:sz w:val="24"/>
          <w:szCs w:val="24"/>
        </w:rPr>
      </w:pPr>
      <w:r w:rsidRPr="005F6673">
        <w:rPr>
          <w:bCs/>
          <w:sz w:val="24"/>
          <w:szCs w:val="24"/>
        </w:rPr>
        <w:t>Formula:</w:t>
      </w:r>
      <w:r w:rsidRPr="005F6673">
        <w:rPr>
          <w:sz w:val="24"/>
          <w:szCs w:val="24"/>
        </w:rPr>
        <w:t xml:space="preserve"> Debt-to-Equity Ratio = Total Debt / Shareholders' Equity</w:t>
      </w:r>
    </w:p>
    <w:p w14:paraId="4EED4360" w14:textId="77777777" w:rsidR="00FE2B0D" w:rsidRPr="005F6673" w:rsidRDefault="00FE2B0D" w:rsidP="00FE2B0D">
      <w:pPr>
        <w:spacing w:line="276" w:lineRule="auto"/>
        <w:jc w:val="both"/>
        <w:rPr>
          <w:sz w:val="24"/>
          <w:szCs w:val="24"/>
          <w:lang w:val="en-GB"/>
        </w:rPr>
      </w:pPr>
      <w:r w:rsidRPr="005F6673">
        <w:rPr>
          <w:bCs/>
          <w:sz w:val="24"/>
          <w:szCs w:val="24"/>
        </w:rPr>
        <w:t>Debt-to-Equity Ratio</w:t>
      </w:r>
      <w:r w:rsidRPr="005F6673">
        <w:rPr>
          <w:sz w:val="24"/>
          <w:szCs w:val="24"/>
        </w:rPr>
        <w:t xml:space="preserve">: </w:t>
      </w:r>
      <w:r w:rsidRPr="005F6673">
        <w:rPr>
          <w:sz w:val="24"/>
          <w:szCs w:val="24"/>
          <w:lang w:val="en-GB"/>
        </w:rPr>
        <w:t>58418/91891</w:t>
      </w:r>
      <w:r w:rsidRPr="005F6673">
        <w:rPr>
          <w:sz w:val="24"/>
          <w:szCs w:val="24"/>
        </w:rPr>
        <w:t>= 0.63</w:t>
      </w:r>
    </w:p>
    <w:p w14:paraId="7F3E97D5" w14:textId="77777777" w:rsidR="00FE2B0D" w:rsidRPr="005F6673" w:rsidRDefault="00FE2B0D" w:rsidP="00FE2B0D">
      <w:pPr>
        <w:spacing w:line="276" w:lineRule="auto"/>
        <w:jc w:val="both"/>
        <w:rPr>
          <w:b/>
          <w:sz w:val="24"/>
          <w:szCs w:val="24"/>
          <w:lang w:val="en-GB"/>
        </w:rPr>
      </w:pPr>
      <w:r w:rsidRPr="005F6673">
        <w:rPr>
          <w:b/>
          <w:sz w:val="24"/>
          <w:szCs w:val="24"/>
        </w:rPr>
        <w:t>Results</w:t>
      </w:r>
    </w:p>
    <w:p w14:paraId="1F53BE0B" w14:textId="77777777" w:rsidR="00FE2B0D" w:rsidRPr="006E3436" w:rsidRDefault="00FE2B0D" w:rsidP="00FE2B0D">
      <w:pPr>
        <w:spacing w:line="276" w:lineRule="auto"/>
        <w:jc w:val="both"/>
        <w:rPr>
          <w:vanish/>
          <w:sz w:val="24"/>
          <w:szCs w:val="24"/>
        </w:rPr>
      </w:pPr>
      <w:r w:rsidRPr="006E3436">
        <w:rPr>
          <w:sz w:val="24"/>
          <w:szCs w:val="24"/>
        </w:rPr>
        <w:t>A 0.63 Debt-to-Equity Ratio entails, for every $1 of equity, Walmart has $0.63 in debt. This signifies a moderate level of financial leverage. A lower Debt-to-Equity Ratio would generally be considered better because it would indicate a low risk of insolvency and suggest that the main part of the company's funding is provided from equity rather than debt. It means that Walmart's financing is balanced with a share of both parts of debt and equity but not overly depending on debt. What is more important is the fact that the ratio is also within the standards of industries. On the other hand, companies in the retail business always find themselves having a higher ratio since their operations are capital intensive. This is a ratio which the investors and creditors may evaluate with respect to the risk from the financial structure of the company. On the other hand, such a moderate ratio, like Walmart's, might be considered a very positive signal since the company is not plagued by the overhang of debt and enjoys a stable equity base. This ratio, of course, should be taken hand in hand with the rest of the financial metrics and general economic context to make some weighted judgments about the real financial soundness and risk of the company.</w:t>
      </w:r>
      <w:r w:rsidRPr="006E3436">
        <w:rPr>
          <w:vanish/>
          <w:sz w:val="24"/>
          <w:szCs w:val="24"/>
        </w:rPr>
        <w:t>Top of Form</w:t>
      </w:r>
    </w:p>
    <w:p w14:paraId="6AAE629E" w14:textId="77777777" w:rsidR="00FE2B0D" w:rsidRPr="006E3436" w:rsidRDefault="00FE2B0D" w:rsidP="00FE2B0D">
      <w:pPr>
        <w:spacing w:line="276" w:lineRule="auto"/>
        <w:jc w:val="both"/>
        <w:rPr>
          <w:sz w:val="24"/>
          <w:szCs w:val="24"/>
        </w:rPr>
      </w:pPr>
    </w:p>
    <w:p w14:paraId="3F0A3133" w14:textId="77777777" w:rsidR="00FE2B0D" w:rsidRPr="005F6673" w:rsidRDefault="00FE2B0D" w:rsidP="00FE2B0D">
      <w:pPr>
        <w:pStyle w:val="Heading2"/>
        <w:numPr>
          <w:ilvl w:val="1"/>
          <w:numId w:val="1"/>
        </w:numPr>
        <w:tabs>
          <w:tab w:val="num" w:pos="360"/>
        </w:tabs>
        <w:ind w:left="0" w:firstLine="0"/>
        <w:rPr>
          <w:b/>
          <w:color w:val="000000" w:themeColor="text1"/>
        </w:rPr>
      </w:pPr>
      <w:bookmarkStart w:id="9" w:name="_Toc163310228"/>
      <w:bookmarkStart w:id="10" w:name="_Toc163428067"/>
      <w:r w:rsidRPr="005F6673">
        <w:rPr>
          <w:b/>
          <w:color w:val="000000" w:themeColor="text1"/>
        </w:rPr>
        <w:t>Efficiency Ratios:</w:t>
      </w:r>
      <w:bookmarkEnd w:id="9"/>
      <w:bookmarkEnd w:id="10"/>
    </w:p>
    <w:p w14:paraId="050E374A" w14:textId="77777777" w:rsidR="00FE2B0D" w:rsidRPr="006E3436" w:rsidRDefault="00FE2B0D" w:rsidP="00FE2B0D">
      <w:pPr>
        <w:spacing w:line="276" w:lineRule="auto"/>
        <w:jc w:val="both"/>
        <w:rPr>
          <w:sz w:val="24"/>
          <w:szCs w:val="24"/>
        </w:rPr>
      </w:pPr>
    </w:p>
    <w:p w14:paraId="0D6BC97C" w14:textId="77777777" w:rsidR="00FE2B0D" w:rsidRPr="006E3436" w:rsidRDefault="00FE2B0D" w:rsidP="00FE2B0D">
      <w:pPr>
        <w:spacing w:line="276" w:lineRule="auto"/>
        <w:jc w:val="both"/>
        <w:rPr>
          <w:sz w:val="24"/>
          <w:szCs w:val="24"/>
          <w:lang w:val="en-GB"/>
        </w:rPr>
      </w:pPr>
      <w:r w:rsidRPr="006E3436">
        <w:rPr>
          <w:sz w:val="24"/>
          <w:szCs w:val="24"/>
          <w:lang w:val="en-GB"/>
        </w:rPr>
        <w:t>Efficiency ratios are also called activity ratios. They point towards the effectiveness of management in the deployment of resources both internally and outside.</w:t>
      </w:r>
    </w:p>
    <w:p w14:paraId="7B1D44FA" w14:textId="77777777" w:rsidR="00FE2B0D" w:rsidRPr="005F6673" w:rsidRDefault="00FE2B0D" w:rsidP="00FE2B0D">
      <w:pPr>
        <w:spacing w:line="276" w:lineRule="auto"/>
        <w:jc w:val="both"/>
        <w:rPr>
          <w:b/>
          <w:sz w:val="24"/>
          <w:szCs w:val="24"/>
        </w:rPr>
      </w:pPr>
      <w:r w:rsidRPr="005F6673">
        <w:rPr>
          <w:b/>
          <w:bCs/>
          <w:sz w:val="24"/>
          <w:szCs w:val="24"/>
        </w:rPr>
        <w:t>Asset Turnover Ratio</w:t>
      </w:r>
    </w:p>
    <w:p w14:paraId="2CEC2E19" w14:textId="77777777" w:rsidR="00FE2B0D" w:rsidRPr="005F6673" w:rsidRDefault="00FE2B0D" w:rsidP="00FE2B0D">
      <w:pPr>
        <w:spacing w:line="276" w:lineRule="auto"/>
        <w:jc w:val="both"/>
        <w:rPr>
          <w:sz w:val="24"/>
          <w:szCs w:val="24"/>
        </w:rPr>
      </w:pPr>
      <w:r w:rsidRPr="005F6673">
        <w:rPr>
          <w:bCs/>
          <w:sz w:val="24"/>
          <w:szCs w:val="24"/>
        </w:rPr>
        <w:t>Formula:</w:t>
      </w:r>
      <w:r w:rsidRPr="005F6673">
        <w:rPr>
          <w:sz w:val="24"/>
          <w:szCs w:val="24"/>
        </w:rPr>
        <w:t xml:space="preserve"> Asset Turnover Ratio = Revenue / Average Total Assets</w:t>
      </w:r>
    </w:p>
    <w:p w14:paraId="7BB1318C" w14:textId="77777777" w:rsidR="00FE2B0D" w:rsidRPr="005F6673" w:rsidRDefault="00FE2B0D" w:rsidP="00FE2B0D">
      <w:pPr>
        <w:spacing w:line="276" w:lineRule="auto"/>
        <w:jc w:val="both"/>
        <w:rPr>
          <w:sz w:val="24"/>
          <w:szCs w:val="24"/>
        </w:rPr>
      </w:pPr>
      <w:r w:rsidRPr="005F6673">
        <w:rPr>
          <w:sz w:val="24"/>
          <w:szCs w:val="24"/>
        </w:rPr>
        <w:t xml:space="preserve">Asset Turnover Ratio = </w:t>
      </w:r>
      <w:r w:rsidRPr="005F6673">
        <w:rPr>
          <w:sz w:val="24"/>
          <w:szCs w:val="24"/>
          <w:lang w:val="en-GB"/>
        </w:rPr>
        <w:t>572750</w:t>
      </w:r>
      <w:r w:rsidRPr="005F6673">
        <w:rPr>
          <w:sz w:val="24"/>
          <w:szCs w:val="24"/>
        </w:rPr>
        <w:t>/ 244,860 = 2.33</w:t>
      </w:r>
    </w:p>
    <w:p w14:paraId="57C6B81A" w14:textId="77777777" w:rsidR="00FE2B0D" w:rsidRPr="005F6673" w:rsidRDefault="00FE2B0D" w:rsidP="00FE2B0D">
      <w:pPr>
        <w:spacing w:line="276" w:lineRule="auto"/>
        <w:jc w:val="both"/>
        <w:rPr>
          <w:b/>
          <w:sz w:val="24"/>
          <w:szCs w:val="24"/>
          <w:lang w:val="en-GB"/>
        </w:rPr>
      </w:pPr>
      <w:r w:rsidRPr="005F6673">
        <w:rPr>
          <w:b/>
          <w:sz w:val="24"/>
          <w:szCs w:val="24"/>
        </w:rPr>
        <w:t>Results</w:t>
      </w:r>
    </w:p>
    <w:p w14:paraId="7D919B2D" w14:textId="77777777" w:rsidR="00FE2B0D" w:rsidRPr="006E3436" w:rsidRDefault="00FE2B0D" w:rsidP="00FE2B0D">
      <w:pPr>
        <w:spacing w:line="276" w:lineRule="auto"/>
        <w:jc w:val="both"/>
        <w:rPr>
          <w:sz w:val="24"/>
          <w:szCs w:val="24"/>
        </w:rPr>
      </w:pPr>
      <w:r w:rsidRPr="006E3436">
        <w:rPr>
          <w:sz w:val="24"/>
          <w:szCs w:val="24"/>
        </w:rPr>
        <w:t xml:space="preserve">An Asset Turnover Ratio of 2.33 would mean that Walmart can generate $2.33 in revenue for each dollar of its asset. This evidently shows a high efficiency level of asset usage in revenue production. A higher ratio would indicate good use of assets by the company in generating sales. In the case of Walmart, a ratio of 2.33 is taken as good, more so for a retail company like it, where the investment into inventory and physical assets is huge. So, this ratio should be compared to industry averages and with competitors to judge this performance relative to others. For a retail giant like Walmart, due to its huge scale and very efficient operations, the expectation is that there should exist a higher asset turnover ratio. The ratio also indicates an indication of Walmart's inventory moving at a fast rate and the asset base yielding high volume sales in a base in both. This would be typical for successful retail businesses. Analysts </w:t>
      </w:r>
      <w:r w:rsidRPr="006E3436">
        <w:rPr>
          <w:sz w:val="24"/>
          <w:szCs w:val="24"/>
        </w:rPr>
        <w:lastRenderedPageBreak/>
        <w:t>and investors usually use this ratio to determine how the company is operationally efficient. A ratio as high as that for Walmart is generally appreciated, meaning that it effectively converts its assets to generate sales.</w:t>
      </w:r>
    </w:p>
    <w:p w14:paraId="55FB1677" w14:textId="77777777" w:rsidR="00FE2B0D" w:rsidRDefault="00FE2B0D" w:rsidP="00FE2B0D">
      <w:pPr>
        <w:pStyle w:val="Heading1"/>
        <w:numPr>
          <w:ilvl w:val="0"/>
          <w:numId w:val="1"/>
        </w:numPr>
        <w:tabs>
          <w:tab w:val="num" w:pos="360"/>
        </w:tabs>
        <w:ind w:left="0" w:firstLine="0"/>
        <w:rPr>
          <w:b/>
          <w:color w:val="000000" w:themeColor="text1"/>
        </w:rPr>
      </w:pPr>
      <w:bookmarkStart w:id="11" w:name="_Toc163428068"/>
      <w:r w:rsidRPr="005F6673">
        <w:rPr>
          <w:b/>
          <w:color w:val="000000" w:themeColor="text1"/>
        </w:rPr>
        <w:t>Evaluation of the ratios</w:t>
      </w:r>
      <w:bookmarkEnd w:id="11"/>
    </w:p>
    <w:p w14:paraId="1C99BCA8" w14:textId="77777777" w:rsidR="00FE2B0D" w:rsidRPr="005F6673" w:rsidRDefault="00FE2B0D" w:rsidP="00FE2B0D"/>
    <w:p w14:paraId="50E7424F" w14:textId="77777777" w:rsidR="00FE2B0D" w:rsidRPr="005F6673" w:rsidRDefault="00FE2B0D" w:rsidP="00FE2B0D">
      <w:pPr>
        <w:spacing w:line="276" w:lineRule="auto"/>
        <w:jc w:val="both"/>
        <w:rPr>
          <w:b/>
          <w:sz w:val="24"/>
          <w:szCs w:val="24"/>
        </w:rPr>
      </w:pPr>
      <w:r w:rsidRPr="005F6673">
        <w:rPr>
          <w:b/>
          <w:sz w:val="24"/>
          <w:szCs w:val="24"/>
        </w:rPr>
        <w:t>Net Profit Margin (2.4%)</w:t>
      </w:r>
    </w:p>
    <w:p w14:paraId="52E7C344" w14:textId="77777777" w:rsidR="00FE2B0D" w:rsidRPr="006E3436" w:rsidRDefault="00FE2B0D" w:rsidP="00FE2B0D">
      <w:pPr>
        <w:spacing w:line="276" w:lineRule="auto"/>
        <w:jc w:val="both"/>
        <w:rPr>
          <w:sz w:val="24"/>
          <w:szCs w:val="24"/>
        </w:rPr>
      </w:pPr>
      <w:r w:rsidRPr="005F6673">
        <w:rPr>
          <w:b/>
          <w:sz w:val="24"/>
          <w:szCs w:val="24"/>
        </w:rPr>
        <w:t>Reference 1</w:t>
      </w:r>
      <w:r w:rsidRPr="006E3436">
        <w:rPr>
          <w:sz w:val="24"/>
          <w:szCs w:val="24"/>
        </w:rPr>
        <w:t>: Brigham and Houston's "Fundamentals of Financial Management"</w:t>
      </w:r>
    </w:p>
    <w:p w14:paraId="203AD721" w14:textId="77777777" w:rsidR="00FE2B0D" w:rsidRPr="006E3436" w:rsidRDefault="00FE2B0D" w:rsidP="00FE2B0D">
      <w:pPr>
        <w:spacing w:line="276" w:lineRule="auto"/>
        <w:jc w:val="both"/>
        <w:rPr>
          <w:sz w:val="24"/>
          <w:szCs w:val="24"/>
        </w:rPr>
      </w:pPr>
      <w:r w:rsidRPr="006E3436">
        <w:rPr>
          <w:sz w:val="24"/>
          <w:szCs w:val="24"/>
        </w:rPr>
        <w:t>Brigham and Houston note that it is an important measure of profitability. Net profit margin, standing at 2.4%, might be treated as a small one for a retail giant in an industry with high margins, like Walmart. However, it is characteristic for the retail sector, which has its high-volume, low-margin business model.</w:t>
      </w:r>
    </w:p>
    <w:p w14:paraId="0C5BD526" w14:textId="77777777" w:rsidR="00FE2B0D" w:rsidRPr="006E3436" w:rsidRDefault="00FE2B0D" w:rsidP="00FE2B0D">
      <w:pPr>
        <w:spacing w:line="276" w:lineRule="auto"/>
        <w:jc w:val="both"/>
        <w:rPr>
          <w:sz w:val="24"/>
          <w:szCs w:val="24"/>
        </w:rPr>
      </w:pPr>
      <w:r w:rsidRPr="005F6673">
        <w:rPr>
          <w:b/>
          <w:sz w:val="24"/>
          <w:szCs w:val="24"/>
        </w:rPr>
        <w:t>Reference 2</w:t>
      </w:r>
      <w:r w:rsidRPr="006E3436">
        <w:rPr>
          <w:sz w:val="24"/>
          <w:szCs w:val="24"/>
        </w:rPr>
        <w:t>: Ross, Westerfield, and Jordan's "Fundamentals of Corporate Finance"</w:t>
      </w:r>
    </w:p>
    <w:p w14:paraId="3A0CC336" w14:textId="77777777" w:rsidR="00FE2B0D" w:rsidRPr="006E3436" w:rsidRDefault="00FE2B0D" w:rsidP="00FE2B0D">
      <w:pPr>
        <w:spacing w:line="276" w:lineRule="auto"/>
        <w:jc w:val="both"/>
        <w:rPr>
          <w:sz w:val="24"/>
          <w:szCs w:val="24"/>
        </w:rPr>
      </w:pPr>
      <w:r w:rsidRPr="006E3436">
        <w:rPr>
          <w:sz w:val="24"/>
          <w:szCs w:val="24"/>
        </w:rPr>
        <w:t>Here, Ross, Westerfield, and Jordan emphasize comparing the net profit margin against industry averages and its historical performance. With that said, they would also seem to take Walmart's 2.4% margin and use it as an indication of the operational efficiency of the firm at its scale and the ability to post profits despite the thin margins.</w:t>
      </w:r>
    </w:p>
    <w:p w14:paraId="16A9AF22" w14:textId="77777777" w:rsidR="00FE2B0D" w:rsidRPr="005F6673" w:rsidRDefault="00FE2B0D" w:rsidP="00FE2B0D">
      <w:pPr>
        <w:spacing w:line="276" w:lineRule="auto"/>
        <w:jc w:val="both"/>
        <w:rPr>
          <w:b/>
          <w:sz w:val="24"/>
          <w:szCs w:val="24"/>
        </w:rPr>
      </w:pPr>
      <w:r w:rsidRPr="005F6673">
        <w:rPr>
          <w:b/>
          <w:sz w:val="24"/>
          <w:szCs w:val="24"/>
        </w:rPr>
        <w:t>Current Ratio (0.92)</w:t>
      </w:r>
    </w:p>
    <w:p w14:paraId="06B06DE4" w14:textId="77777777" w:rsidR="00FE2B0D" w:rsidRPr="006E3436" w:rsidRDefault="00FE2B0D" w:rsidP="00FE2B0D">
      <w:pPr>
        <w:spacing w:line="276" w:lineRule="auto"/>
        <w:jc w:val="both"/>
        <w:rPr>
          <w:sz w:val="24"/>
          <w:szCs w:val="24"/>
        </w:rPr>
      </w:pPr>
      <w:r w:rsidRPr="005F6673">
        <w:rPr>
          <w:b/>
          <w:sz w:val="24"/>
          <w:szCs w:val="24"/>
        </w:rPr>
        <w:t>Reference 1</w:t>
      </w:r>
      <w:r w:rsidRPr="006E3436">
        <w:rPr>
          <w:sz w:val="24"/>
          <w:szCs w:val="24"/>
        </w:rPr>
        <w:t>: Gitman, Lawrence's "Principles of Managerial Finance"</w:t>
      </w:r>
    </w:p>
    <w:p w14:paraId="397482B2" w14:textId="77777777" w:rsidR="00FE2B0D" w:rsidRPr="006E3436" w:rsidRDefault="00FE2B0D" w:rsidP="00FE2B0D">
      <w:pPr>
        <w:spacing w:line="276" w:lineRule="auto"/>
        <w:jc w:val="both"/>
        <w:rPr>
          <w:sz w:val="24"/>
          <w:szCs w:val="24"/>
        </w:rPr>
      </w:pPr>
      <w:r w:rsidRPr="006E3436">
        <w:rPr>
          <w:sz w:val="24"/>
          <w:szCs w:val="24"/>
        </w:rPr>
        <w:t>For the current ratio that is less than 1, Gitman says it can be an indication of problems in liquidity. He goes on to indicate that a slightly less than ideal ratio might be nothing to be worried about for companies such as Walmart, with strong cash flows and inventory turnover. The company's ability to convert inventory quickly into cash provides a ratio even a little lower than 1 with some flexibility.</w:t>
      </w:r>
    </w:p>
    <w:p w14:paraId="45C6A95A" w14:textId="77777777" w:rsidR="00FE2B0D" w:rsidRPr="006E3436" w:rsidRDefault="00FE2B0D" w:rsidP="00FE2B0D">
      <w:pPr>
        <w:spacing w:line="276" w:lineRule="auto"/>
        <w:jc w:val="both"/>
        <w:rPr>
          <w:sz w:val="24"/>
          <w:szCs w:val="24"/>
        </w:rPr>
      </w:pPr>
      <w:r w:rsidRPr="005F6673">
        <w:rPr>
          <w:b/>
          <w:sz w:val="24"/>
          <w:szCs w:val="24"/>
        </w:rPr>
        <w:t>Reference 2</w:t>
      </w:r>
      <w:r w:rsidRPr="006E3436">
        <w:rPr>
          <w:sz w:val="24"/>
          <w:szCs w:val="24"/>
        </w:rPr>
        <w:t>: Brealey, Myers, and Allen's "Principles of Corporate Finance"</w:t>
      </w:r>
    </w:p>
    <w:p w14:paraId="715BAE7E" w14:textId="77777777" w:rsidR="00FE2B0D" w:rsidRPr="006E3436" w:rsidRDefault="00FE2B0D" w:rsidP="00FE2B0D">
      <w:pPr>
        <w:spacing w:line="276" w:lineRule="auto"/>
        <w:jc w:val="both"/>
        <w:rPr>
          <w:sz w:val="24"/>
          <w:szCs w:val="24"/>
        </w:rPr>
      </w:pPr>
      <w:r w:rsidRPr="006E3436">
        <w:rPr>
          <w:sz w:val="24"/>
          <w:szCs w:val="24"/>
        </w:rPr>
        <w:t>Brealey, Myers, and Allen would probably agree that the current ratio is useful as a liquidity indicator but should not be used alone. They would probably recommend that it is also necessary to assess the cash conversion cycle and the operational efficiency of Walmart to reach a more valid conclusion about the liquidity of the company.</w:t>
      </w:r>
    </w:p>
    <w:p w14:paraId="65421EF1" w14:textId="77777777" w:rsidR="00FE2B0D" w:rsidRPr="005F6673" w:rsidRDefault="00FE2B0D" w:rsidP="00FE2B0D">
      <w:pPr>
        <w:spacing w:line="276" w:lineRule="auto"/>
        <w:jc w:val="both"/>
        <w:rPr>
          <w:b/>
          <w:sz w:val="24"/>
          <w:szCs w:val="24"/>
        </w:rPr>
      </w:pPr>
      <w:r w:rsidRPr="005F6673">
        <w:rPr>
          <w:b/>
          <w:sz w:val="24"/>
          <w:szCs w:val="24"/>
        </w:rPr>
        <w:t>Debt-to-Equity Ratio (0.63)</w:t>
      </w:r>
    </w:p>
    <w:p w14:paraId="34A9F777" w14:textId="77777777" w:rsidR="00FE2B0D" w:rsidRPr="006E3436" w:rsidRDefault="00FE2B0D" w:rsidP="00FE2B0D">
      <w:pPr>
        <w:spacing w:line="276" w:lineRule="auto"/>
        <w:jc w:val="both"/>
        <w:rPr>
          <w:sz w:val="24"/>
          <w:szCs w:val="24"/>
        </w:rPr>
      </w:pPr>
      <w:r w:rsidRPr="005F6673">
        <w:rPr>
          <w:b/>
          <w:sz w:val="24"/>
          <w:szCs w:val="24"/>
        </w:rPr>
        <w:t>Reference 1</w:t>
      </w:r>
      <w:r w:rsidRPr="006E3436">
        <w:rPr>
          <w:sz w:val="24"/>
          <w:szCs w:val="24"/>
        </w:rPr>
        <w:t>: Titman, Keown, and Martin's "Financial Management: Principles and Applications"</w:t>
      </w:r>
    </w:p>
    <w:p w14:paraId="778769FE" w14:textId="77777777" w:rsidR="00FE2B0D" w:rsidRPr="006E3436" w:rsidRDefault="00FE2B0D" w:rsidP="00FE2B0D">
      <w:pPr>
        <w:spacing w:line="276" w:lineRule="auto"/>
        <w:jc w:val="both"/>
        <w:rPr>
          <w:sz w:val="24"/>
          <w:szCs w:val="24"/>
        </w:rPr>
      </w:pPr>
      <w:r w:rsidRPr="006E3436">
        <w:rPr>
          <w:sz w:val="24"/>
          <w:szCs w:val="24"/>
        </w:rPr>
        <w:t xml:space="preserve">Titman, Keown, and Martin observe that the debt-to-equity ratio is low when a company has a conservative strategy of financing and, correspondingly, low financial risk. The ratio of 0.63 </w:t>
      </w:r>
      <w:r w:rsidRPr="006E3436">
        <w:rPr>
          <w:sz w:val="24"/>
          <w:szCs w:val="24"/>
        </w:rPr>
        <w:lastRenderedPageBreak/>
        <w:t>of the company indicates balanced financing by optimal combinations of debt and equity capital without resorting to over-leveraging.</w:t>
      </w:r>
    </w:p>
    <w:p w14:paraId="20FA2658" w14:textId="77777777" w:rsidR="00FE2B0D" w:rsidRPr="006E3436" w:rsidRDefault="00FE2B0D" w:rsidP="00FE2B0D">
      <w:pPr>
        <w:spacing w:line="276" w:lineRule="auto"/>
        <w:jc w:val="both"/>
        <w:rPr>
          <w:sz w:val="24"/>
          <w:szCs w:val="24"/>
        </w:rPr>
      </w:pPr>
      <w:r w:rsidRPr="005F6673">
        <w:rPr>
          <w:b/>
          <w:sz w:val="24"/>
          <w:szCs w:val="24"/>
        </w:rPr>
        <w:t>Reference 2</w:t>
      </w:r>
      <w:r w:rsidRPr="006E3436">
        <w:rPr>
          <w:sz w:val="24"/>
          <w:szCs w:val="24"/>
        </w:rPr>
        <w:t>: Damodaran's "Corporate Finance: Theory and Practice"</w:t>
      </w:r>
    </w:p>
    <w:p w14:paraId="379DB531" w14:textId="77777777" w:rsidR="00FE2B0D" w:rsidRPr="006E3436" w:rsidRDefault="00FE2B0D" w:rsidP="00FE2B0D">
      <w:pPr>
        <w:spacing w:line="276" w:lineRule="auto"/>
        <w:jc w:val="both"/>
        <w:rPr>
          <w:sz w:val="24"/>
          <w:szCs w:val="24"/>
        </w:rPr>
      </w:pPr>
      <w:r w:rsidRPr="006E3436">
        <w:rPr>
          <w:sz w:val="24"/>
          <w:szCs w:val="24"/>
        </w:rPr>
        <w:t>Damodaran might gauge Walmart's debt-to-equity ratio as a financial management signal. He could say that the moderate leverage by the company allows flexibility for growth initiatives and, at the same time, provides a firm base for the business.</w:t>
      </w:r>
    </w:p>
    <w:p w14:paraId="383CED9F" w14:textId="77777777" w:rsidR="00FE2B0D" w:rsidRPr="005F6673" w:rsidRDefault="00FE2B0D" w:rsidP="00FE2B0D">
      <w:pPr>
        <w:spacing w:line="276" w:lineRule="auto"/>
        <w:jc w:val="both"/>
        <w:rPr>
          <w:b/>
          <w:sz w:val="24"/>
          <w:szCs w:val="24"/>
        </w:rPr>
      </w:pPr>
      <w:r>
        <w:rPr>
          <w:b/>
          <w:sz w:val="24"/>
          <w:szCs w:val="24"/>
        </w:rPr>
        <w:t>Asset Turnover Ratio (2.33)</w:t>
      </w:r>
    </w:p>
    <w:p w14:paraId="1474B7EB" w14:textId="77777777" w:rsidR="00FE2B0D" w:rsidRPr="006E3436" w:rsidRDefault="00FE2B0D" w:rsidP="00FE2B0D">
      <w:pPr>
        <w:spacing w:line="276" w:lineRule="auto"/>
        <w:jc w:val="both"/>
        <w:rPr>
          <w:sz w:val="24"/>
          <w:szCs w:val="24"/>
        </w:rPr>
      </w:pPr>
      <w:r w:rsidRPr="005F6673">
        <w:rPr>
          <w:b/>
          <w:sz w:val="24"/>
          <w:szCs w:val="24"/>
        </w:rPr>
        <w:t>Reference 1</w:t>
      </w:r>
      <w:r w:rsidRPr="006E3436">
        <w:rPr>
          <w:sz w:val="24"/>
          <w:szCs w:val="24"/>
        </w:rPr>
        <w:t>: Kieso, Weygandt, and Warfield's "Intermediate Accounting"</w:t>
      </w:r>
    </w:p>
    <w:p w14:paraId="5CC06CF7" w14:textId="77777777" w:rsidR="00FE2B0D" w:rsidRPr="006E3436" w:rsidRDefault="00FE2B0D" w:rsidP="00FE2B0D">
      <w:pPr>
        <w:spacing w:line="276" w:lineRule="auto"/>
        <w:jc w:val="both"/>
        <w:rPr>
          <w:sz w:val="24"/>
          <w:szCs w:val="24"/>
        </w:rPr>
      </w:pPr>
      <w:r w:rsidRPr="006E3436">
        <w:rPr>
          <w:sz w:val="24"/>
          <w:szCs w:val="24"/>
        </w:rPr>
        <w:t>Kieso, Weygandt, and Warfield term it as the efficiency measure. Ratio 2.33 of Walmart indicates that the company can effectively use assets in sales generation and is a determinant factor in the competition of the industry.</w:t>
      </w:r>
    </w:p>
    <w:p w14:paraId="5D211B37" w14:textId="77777777" w:rsidR="00FE2B0D" w:rsidRPr="006E3436" w:rsidRDefault="00FE2B0D" w:rsidP="00FE2B0D">
      <w:pPr>
        <w:spacing w:line="276" w:lineRule="auto"/>
        <w:jc w:val="both"/>
        <w:rPr>
          <w:sz w:val="24"/>
          <w:szCs w:val="24"/>
        </w:rPr>
      </w:pPr>
      <w:r w:rsidRPr="005F6673">
        <w:rPr>
          <w:b/>
          <w:sz w:val="24"/>
          <w:szCs w:val="24"/>
        </w:rPr>
        <w:t>Reference 2</w:t>
      </w:r>
      <w:r w:rsidRPr="006E3436">
        <w:rPr>
          <w:sz w:val="24"/>
          <w:szCs w:val="24"/>
        </w:rPr>
        <w:t>: Horngren, Sundem, and Stratton's "Introduction to Management Accounting"</w:t>
      </w:r>
    </w:p>
    <w:p w14:paraId="5A1E04DD" w14:textId="77777777" w:rsidR="00FE2B0D" w:rsidRPr="006E3436" w:rsidRDefault="00FE2B0D" w:rsidP="00FE2B0D">
      <w:pPr>
        <w:spacing w:line="276" w:lineRule="auto"/>
        <w:jc w:val="both"/>
        <w:rPr>
          <w:sz w:val="24"/>
          <w:szCs w:val="24"/>
        </w:rPr>
      </w:pPr>
      <w:r w:rsidRPr="006E3436">
        <w:rPr>
          <w:sz w:val="24"/>
          <w:szCs w:val="24"/>
        </w:rPr>
        <w:t>Horngren, Sundem, and Stratton would likely point to Walmart's high asset turnover ratio, in support of revenue generation. This shows a good sense of efficiency in the way it is able to manage its large asset base, such as inventory and stores.</w:t>
      </w:r>
    </w:p>
    <w:p w14:paraId="4CAD841A" w14:textId="77777777" w:rsidR="00FE2B0D" w:rsidRDefault="00FE2B0D" w:rsidP="00FE2B0D">
      <w:pPr>
        <w:pStyle w:val="Heading1"/>
        <w:numPr>
          <w:ilvl w:val="0"/>
          <w:numId w:val="1"/>
        </w:numPr>
        <w:tabs>
          <w:tab w:val="num" w:pos="360"/>
        </w:tabs>
        <w:ind w:left="0" w:firstLine="0"/>
        <w:rPr>
          <w:b/>
          <w:color w:val="000000" w:themeColor="text1"/>
        </w:rPr>
      </w:pPr>
      <w:bookmarkStart w:id="12" w:name="_Toc163428069"/>
      <w:r w:rsidRPr="005F6673">
        <w:rPr>
          <w:b/>
          <w:color w:val="000000" w:themeColor="text1"/>
        </w:rPr>
        <w:t>Comparison with Competitor</w:t>
      </w:r>
      <w:bookmarkEnd w:id="12"/>
    </w:p>
    <w:p w14:paraId="37B1AFEA" w14:textId="77777777" w:rsidR="00FE2B0D" w:rsidRPr="005F6673" w:rsidRDefault="00FE2B0D" w:rsidP="00FE2B0D"/>
    <w:p w14:paraId="36B66F03" w14:textId="77777777" w:rsidR="00FE2B0D" w:rsidRPr="005F6673" w:rsidRDefault="00FE2B0D" w:rsidP="00FE2B0D">
      <w:pPr>
        <w:spacing w:line="276" w:lineRule="auto"/>
        <w:jc w:val="both"/>
        <w:rPr>
          <w:b/>
          <w:sz w:val="24"/>
          <w:szCs w:val="24"/>
        </w:rPr>
      </w:pPr>
      <w:r w:rsidRPr="005F6673">
        <w:rPr>
          <w:b/>
          <w:sz w:val="24"/>
          <w:szCs w:val="24"/>
        </w:rPr>
        <w:t>Amazon financial report</w:t>
      </w:r>
      <w:r>
        <w:rPr>
          <w:b/>
          <w:sz w:val="24"/>
          <w:szCs w:val="24"/>
        </w:rPr>
        <w:t>;</w:t>
      </w:r>
    </w:p>
    <w:tbl>
      <w:tblPr>
        <w:tblStyle w:val="GridTable4-Accent6"/>
        <w:tblW w:w="0" w:type="auto"/>
        <w:tblLook w:val="04A0" w:firstRow="1" w:lastRow="0" w:firstColumn="1" w:lastColumn="0" w:noHBand="0" w:noVBand="1"/>
      </w:tblPr>
      <w:tblGrid>
        <w:gridCol w:w="4399"/>
        <w:gridCol w:w="2341"/>
      </w:tblGrid>
      <w:tr w:rsidR="00FE2B0D" w:rsidRPr="006E3436" w14:paraId="52E430B1" w14:textId="77777777" w:rsidTr="00E8456E">
        <w:trPr>
          <w:cnfStyle w:val="100000000000" w:firstRow="1" w:lastRow="0" w:firstColumn="0" w:lastColumn="0" w:oddVBand="0" w:evenVBand="0" w:oddHBand="0" w:evenHBand="0" w:firstRowFirstColumn="0" w:firstRowLastColumn="0" w:lastRowFirstColumn="0" w:lastRowLastColumn="0"/>
          <w:trHeight w:val="107"/>
        </w:trPr>
        <w:tc>
          <w:tcPr>
            <w:cnfStyle w:val="001000000000" w:firstRow="0" w:lastRow="0" w:firstColumn="1" w:lastColumn="0" w:oddVBand="0" w:evenVBand="0" w:oddHBand="0" w:evenHBand="0" w:firstRowFirstColumn="0" w:firstRowLastColumn="0" w:lastRowFirstColumn="0" w:lastRowLastColumn="0"/>
            <w:tcW w:w="4399" w:type="dxa"/>
            <w:shd w:val="clear" w:color="auto" w:fill="4472C4" w:themeFill="accent1"/>
          </w:tcPr>
          <w:p w14:paraId="0FCD991D" w14:textId="77777777" w:rsidR="00FE2B0D" w:rsidRPr="006E3436" w:rsidRDefault="00FE2B0D" w:rsidP="00E8456E">
            <w:pPr>
              <w:spacing w:after="160" w:line="276" w:lineRule="auto"/>
              <w:jc w:val="both"/>
              <w:rPr>
                <w:sz w:val="24"/>
                <w:szCs w:val="24"/>
                <w:lang w:val="en-GB"/>
              </w:rPr>
            </w:pPr>
            <w:r w:rsidRPr="006E3436">
              <w:rPr>
                <w:sz w:val="24"/>
                <w:szCs w:val="24"/>
                <w:lang w:val="en-GB"/>
              </w:rPr>
              <w:t>NO</w:t>
            </w:r>
          </w:p>
        </w:tc>
        <w:tc>
          <w:tcPr>
            <w:tcW w:w="2341" w:type="dxa"/>
            <w:shd w:val="clear" w:color="auto" w:fill="4472C4" w:themeFill="accent1"/>
          </w:tcPr>
          <w:p w14:paraId="5D77AAE6" w14:textId="77777777" w:rsidR="00FE2B0D" w:rsidRPr="006E3436" w:rsidRDefault="00FE2B0D" w:rsidP="00E8456E">
            <w:pPr>
              <w:spacing w:after="160" w:line="276" w:lineRule="auto"/>
              <w:jc w:val="both"/>
              <w:cnfStyle w:val="100000000000" w:firstRow="1" w:lastRow="0" w:firstColumn="0" w:lastColumn="0" w:oddVBand="0" w:evenVBand="0" w:oddHBand="0" w:evenHBand="0" w:firstRowFirstColumn="0" w:firstRowLastColumn="0" w:lastRowFirstColumn="0" w:lastRowLastColumn="0"/>
              <w:rPr>
                <w:sz w:val="24"/>
                <w:szCs w:val="24"/>
                <w:lang w:val="en-GB"/>
              </w:rPr>
            </w:pPr>
            <w:r w:rsidRPr="006E3436">
              <w:rPr>
                <w:sz w:val="24"/>
                <w:szCs w:val="24"/>
                <w:lang w:val="en-GB"/>
              </w:rPr>
              <w:t xml:space="preserve">$ in Millions </w:t>
            </w:r>
          </w:p>
        </w:tc>
      </w:tr>
      <w:tr w:rsidR="00FE2B0D" w:rsidRPr="006E3436" w14:paraId="659603DA" w14:textId="77777777" w:rsidTr="00E8456E">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4399" w:type="dxa"/>
          </w:tcPr>
          <w:p w14:paraId="172CC8CD" w14:textId="77777777" w:rsidR="00FE2B0D" w:rsidRPr="006E3436" w:rsidRDefault="00FE2B0D" w:rsidP="00E8456E">
            <w:pPr>
              <w:spacing w:after="160" w:line="276" w:lineRule="auto"/>
              <w:jc w:val="both"/>
              <w:rPr>
                <w:sz w:val="24"/>
                <w:szCs w:val="24"/>
                <w:lang w:val="en-GB"/>
              </w:rPr>
            </w:pPr>
            <w:r w:rsidRPr="006E3436">
              <w:rPr>
                <w:sz w:val="24"/>
                <w:szCs w:val="24"/>
                <w:lang w:val="en-GB"/>
              </w:rPr>
              <w:t xml:space="preserve">Net Income </w:t>
            </w:r>
          </w:p>
        </w:tc>
        <w:tc>
          <w:tcPr>
            <w:tcW w:w="2341" w:type="dxa"/>
          </w:tcPr>
          <w:p w14:paraId="2C20136D" w14:textId="77777777" w:rsidR="00FE2B0D" w:rsidRPr="006E3436" w:rsidRDefault="00FE2B0D" w:rsidP="00E8456E">
            <w:pPr>
              <w:spacing w:after="160" w:line="276" w:lineRule="auto"/>
              <w:jc w:val="both"/>
              <w:cnfStyle w:val="000000100000" w:firstRow="0" w:lastRow="0" w:firstColumn="0" w:lastColumn="0" w:oddVBand="0" w:evenVBand="0" w:oddHBand="1" w:evenHBand="0" w:firstRowFirstColumn="0" w:firstRowLastColumn="0" w:lastRowFirstColumn="0" w:lastRowLastColumn="0"/>
              <w:rPr>
                <w:b/>
                <w:sz w:val="24"/>
                <w:szCs w:val="24"/>
                <w:lang w:val="en-GB"/>
              </w:rPr>
            </w:pPr>
            <w:r w:rsidRPr="006E3436">
              <w:rPr>
                <w:b/>
                <w:sz w:val="24"/>
                <w:szCs w:val="24"/>
                <w:lang w:val="en-GB"/>
              </w:rPr>
              <w:t>-2,722</w:t>
            </w:r>
          </w:p>
        </w:tc>
      </w:tr>
      <w:tr w:rsidR="00FE2B0D" w:rsidRPr="006E3436" w14:paraId="20057981" w14:textId="77777777" w:rsidTr="00E8456E">
        <w:trPr>
          <w:trHeight w:val="228"/>
        </w:trPr>
        <w:tc>
          <w:tcPr>
            <w:cnfStyle w:val="001000000000" w:firstRow="0" w:lastRow="0" w:firstColumn="1" w:lastColumn="0" w:oddVBand="0" w:evenVBand="0" w:oddHBand="0" w:evenHBand="0" w:firstRowFirstColumn="0" w:firstRowLastColumn="0" w:lastRowFirstColumn="0" w:lastRowLastColumn="0"/>
            <w:tcW w:w="4399" w:type="dxa"/>
          </w:tcPr>
          <w:p w14:paraId="471EB86F" w14:textId="77777777" w:rsidR="00FE2B0D" w:rsidRPr="006E3436" w:rsidRDefault="00FE2B0D" w:rsidP="00E8456E">
            <w:pPr>
              <w:spacing w:after="160" w:line="276" w:lineRule="auto"/>
              <w:jc w:val="both"/>
              <w:rPr>
                <w:sz w:val="24"/>
                <w:szCs w:val="24"/>
                <w:lang w:val="en-GB"/>
              </w:rPr>
            </w:pPr>
            <w:r w:rsidRPr="006E3436">
              <w:rPr>
                <w:sz w:val="24"/>
                <w:szCs w:val="24"/>
                <w:lang w:val="en-GB"/>
              </w:rPr>
              <w:t xml:space="preserve">Revenue </w:t>
            </w:r>
          </w:p>
        </w:tc>
        <w:tc>
          <w:tcPr>
            <w:tcW w:w="2341" w:type="dxa"/>
          </w:tcPr>
          <w:p w14:paraId="009645EE" w14:textId="77777777" w:rsidR="00FE2B0D" w:rsidRPr="006E3436" w:rsidRDefault="00FE2B0D" w:rsidP="00E8456E">
            <w:pPr>
              <w:spacing w:after="160" w:line="276" w:lineRule="auto"/>
              <w:jc w:val="both"/>
              <w:cnfStyle w:val="000000000000" w:firstRow="0" w:lastRow="0" w:firstColumn="0" w:lastColumn="0" w:oddVBand="0" w:evenVBand="0" w:oddHBand="0" w:evenHBand="0" w:firstRowFirstColumn="0" w:firstRowLastColumn="0" w:lastRowFirstColumn="0" w:lastRowLastColumn="0"/>
              <w:rPr>
                <w:b/>
                <w:sz w:val="24"/>
                <w:szCs w:val="24"/>
                <w:lang w:val="en-GB"/>
              </w:rPr>
            </w:pPr>
            <w:r w:rsidRPr="006E3436">
              <w:rPr>
                <w:b/>
                <w:sz w:val="24"/>
                <w:szCs w:val="24"/>
                <w:lang w:val="en-GB"/>
              </w:rPr>
              <w:t>513,980</w:t>
            </w:r>
          </w:p>
        </w:tc>
      </w:tr>
      <w:tr w:rsidR="00FE2B0D" w:rsidRPr="006E3436" w14:paraId="37854F07" w14:textId="77777777" w:rsidTr="00E8456E">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4399" w:type="dxa"/>
          </w:tcPr>
          <w:p w14:paraId="0D130CA1" w14:textId="77777777" w:rsidR="00FE2B0D" w:rsidRPr="006E3436" w:rsidRDefault="00FE2B0D" w:rsidP="00E8456E">
            <w:pPr>
              <w:spacing w:after="160" w:line="276" w:lineRule="auto"/>
              <w:jc w:val="both"/>
              <w:rPr>
                <w:sz w:val="24"/>
                <w:szCs w:val="24"/>
                <w:lang w:val="en-GB"/>
              </w:rPr>
            </w:pPr>
            <w:r w:rsidRPr="006E3436">
              <w:rPr>
                <w:sz w:val="24"/>
                <w:szCs w:val="24"/>
                <w:lang w:val="en-GB"/>
              </w:rPr>
              <w:t xml:space="preserve">Current Assets </w:t>
            </w:r>
          </w:p>
        </w:tc>
        <w:tc>
          <w:tcPr>
            <w:tcW w:w="2341" w:type="dxa"/>
          </w:tcPr>
          <w:p w14:paraId="2ED83566" w14:textId="77777777" w:rsidR="00FE2B0D" w:rsidRPr="006E3436" w:rsidRDefault="00FE2B0D" w:rsidP="00E8456E">
            <w:pPr>
              <w:spacing w:after="160" w:line="276" w:lineRule="auto"/>
              <w:jc w:val="both"/>
              <w:cnfStyle w:val="000000100000" w:firstRow="0" w:lastRow="0" w:firstColumn="0" w:lastColumn="0" w:oddVBand="0" w:evenVBand="0" w:oddHBand="1" w:evenHBand="0" w:firstRowFirstColumn="0" w:firstRowLastColumn="0" w:lastRowFirstColumn="0" w:lastRowLastColumn="0"/>
              <w:rPr>
                <w:b/>
                <w:sz w:val="24"/>
                <w:szCs w:val="24"/>
                <w:lang w:val="en-GB"/>
              </w:rPr>
            </w:pPr>
            <w:r w:rsidRPr="006E3436">
              <w:rPr>
                <w:b/>
                <w:sz w:val="24"/>
                <w:szCs w:val="24"/>
                <w:lang w:val="en-GB"/>
              </w:rPr>
              <w:t>146,791</w:t>
            </w:r>
          </w:p>
        </w:tc>
      </w:tr>
      <w:tr w:rsidR="00FE2B0D" w:rsidRPr="006E3436" w14:paraId="5D0B66AA" w14:textId="77777777" w:rsidTr="00E8456E">
        <w:trPr>
          <w:trHeight w:val="228"/>
        </w:trPr>
        <w:tc>
          <w:tcPr>
            <w:cnfStyle w:val="001000000000" w:firstRow="0" w:lastRow="0" w:firstColumn="1" w:lastColumn="0" w:oddVBand="0" w:evenVBand="0" w:oddHBand="0" w:evenHBand="0" w:firstRowFirstColumn="0" w:firstRowLastColumn="0" w:lastRowFirstColumn="0" w:lastRowLastColumn="0"/>
            <w:tcW w:w="4399" w:type="dxa"/>
          </w:tcPr>
          <w:p w14:paraId="10358DE2" w14:textId="77777777" w:rsidR="00FE2B0D" w:rsidRPr="006E3436" w:rsidRDefault="00FE2B0D" w:rsidP="00E8456E">
            <w:pPr>
              <w:spacing w:after="160" w:line="276" w:lineRule="auto"/>
              <w:jc w:val="both"/>
              <w:rPr>
                <w:sz w:val="24"/>
                <w:szCs w:val="24"/>
                <w:lang w:val="en-GB"/>
              </w:rPr>
            </w:pPr>
            <w:r w:rsidRPr="006E3436">
              <w:rPr>
                <w:sz w:val="24"/>
                <w:szCs w:val="24"/>
                <w:lang w:val="en-GB"/>
              </w:rPr>
              <w:t xml:space="preserve">Current Liabilities </w:t>
            </w:r>
          </w:p>
        </w:tc>
        <w:tc>
          <w:tcPr>
            <w:tcW w:w="2341" w:type="dxa"/>
          </w:tcPr>
          <w:p w14:paraId="7190DA16" w14:textId="77777777" w:rsidR="00FE2B0D" w:rsidRPr="006E3436" w:rsidRDefault="00FE2B0D" w:rsidP="00E8456E">
            <w:pPr>
              <w:spacing w:after="160" w:line="276" w:lineRule="auto"/>
              <w:jc w:val="both"/>
              <w:cnfStyle w:val="000000000000" w:firstRow="0" w:lastRow="0" w:firstColumn="0" w:lastColumn="0" w:oddVBand="0" w:evenVBand="0" w:oddHBand="0" w:evenHBand="0" w:firstRowFirstColumn="0" w:firstRowLastColumn="0" w:lastRowFirstColumn="0" w:lastRowLastColumn="0"/>
              <w:rPr>
                <w:b/>
                <w:sz w:val="24"/>
                <w:szCs w:val="24"/>
                <w:lang w:val="en-GB"/>
              </w:rPr>
            </w:pPr>
            <w:r w:rsidRPr="006E3436">
              <w:rPr>
                <w:sz w:val="24"/>
                <w:szCs w:val="24"/>
              </w:rPr>
              <w:t>155,393</w:t>
            </w:r>
          </w:p>
        </w:tc>
      </w:tr>
      <w:tr w:rsidR="00FE2B0D" w:rsidRPr="006E3436" w14:paraId="5FDFCCCC" w14:textId="77777777" w:rsidTr="00E8456E">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4399" w:type="dxa"/>
          </w:tcPr>
          <w:p w14:paraId="196E7E86" w14:textId="77777777" w:rsidR="00FE2B0D" w:rsidRPr="006E3436" w:rsidRDefault="00FE2B0D" w:rsidP="00E8456E">
            <w:pPr>
              <w:spacing w:after="160" w:line="276" w:lineRule="auto"/>
              <w:jc w:val="both"/>
              <w:rPr>
                <w:sz w:val="24"/>
                <w:szCs w:val="24"/>
                <w:lang w:val="en-GB"/>
              </w:rPr>
            </w:pPr>
            <w:r w:rsidRPr="006E3436">
              <w:rPr>
                <w:sz w:val="24"/>
                <w:szCs w:val="24"/>
                <w:lang w:val="en-GB"/>
              </w:rPr>
              <w:t xml:space="preserve">Total Debts </w:t>
            </w:r>
          </w:p>
        </w:tc>
        <w:tc>
          <w:tcPr>
            <w:tcW w:w="2341" w:type="dxa"/>
          </w:tcPr>
          <w:p w14:paraId="3EF88A56" w14:textId="77777777" w:rsidR="00FE2B0D" w:rsidRPr="006E3436" w:rsidRDefault="00FE2B0D" w:rsidP="00E8456E">
            <w:pPr>
              <w:spacing w:after="160" w:line="276" w:lineRule="auto"/>
              <w:jc w:val="both"/>
              <w:cnfStyle w:val="000000100000" w:firstRow="0" w:lastRow="0" w:firstColumn="0" w:lastColumn="0" w:oddVBand="0" w:evenVBand="0" w:oddHBand="1" w:evenHBand="0" w:firstRowFirstColumn="0" w:firstRowLastColumn="0" w:lastRowFirstColumn="0" w:lastRowLastColumn="0"/>
              <w:rPr>
                <w:b/>
                <w:sz w:val="24"/>
                <w:szCs w:val="24"/>
                <w:lang w:val="en-GB"/>
              </w:rPr>
            </w:pPr>
            <w:r w:rsidRPr="006E3436">
              <w:rPr>
                <w:b/>
                <w:sz w:val="24"/>
                <w:szCs w:val="24"/>
                <w:lang w:val="en-GB"/>
              </w:rPr>
              <w:t>169,900</w:t>
            </w:r>
          </w:p>
        </w:tc>
      </w:tr>
      <w:tr w:rsidR="00FE2B0D" w:rsidRPr="006E3436" w14:paraId="51678D89" w14:textId="77777777" w:rsidTr="00E8456E">
        <w:trPr>
          <w:trHeight w:val="228"/>
        </w:trPr>
        <w:tc>
          <w:tcPr>
            <w:cnfStyle w:val="001000000000" w:firstRow="0" w:lastRow="0" w:firstColumn="1" w:lastColumn="0" w:oddVBand="0" w:evenVBand="0" w:oddHBand="0" w:evenHBand="0" w:firstRowFirstColumn="0" w:firstRowLastColumn="0" w:lastRowFirstColumn="0" w:lastRowLastColumn="0"/>
            <w:tcW w:w="4399" w:type="dxa"/>
          </w:tcPr>
          <w:p w14:paraId="27C099DC" w14:textId="77777777" w:rsidR="00FE2B0D" w:rsidRPr="006E3436" w:rsidRDefault="00FE2B0D" w:rsidP="00E8456E">
            <w:pPr>
              <w:spacing w:after="160" w:line="276" w:lineRule="auto"/>
              <w:jc w:val="both"/>
              <w:rPr>
                <w:sz w:val="24"/>
                <w:szCs w:val="24"/>
                <w:lang w:val="en-GB"/>
              </w:rPr>
            </w:pPr>
            <w:r w:rsidRPr="006E3436">
              <w:rPr>
                <w:sz w:val="24"/>
                <w:szCs w:val="24"/>
                <w:lang w:val="en-GB"/>
              </w:rPr>
              <w:t xml:space="preserve">Shareholders’ Equity </w:t>
            </w:r>
          </w:p>
        </w:tc>
        <w:tc>
          <w:tcPr>
            <w:tcW w:w="2341" w:type="dxa"/>
          </w:tcPr>
          <w:p w14:paraId="22DB480B" w14:textId="77777777" w:rsidR="00FE2B0D" w:rsidRPr="006E3436" w:rsidRDefault="00FE2B0D" w:rsidP="00E8456E">
            <w:pPr>
              <w:spacing w:after="160" w:line="276" w:lineRule="auto"/>
              <w:jc w:val="both"/>
              <w:cnfStyle w:val="000000000000" w:firstRow="0" w:lastRow="0" w:firstColumn="0" w:lastColumn="0" w:oddVBand="0" w:evenVBand="0" w:oddHBand="0" w:evenHBand="0" w:firstRowFirstColumn="0" w:firstRowLastColumn="0" w:lastRowFirstColumn="0" w:lastRowLastColumn="0"/>
              <w:rPr>
                <w:b/>
                <w:sz w:val="24"/>
                <w:szCs w:val="24"/>
                <w:lang w:val="en-GB"/>
              </w:rPr>
            </w:pPr>
            <w:r w:rsidRPr="006E3436">
              <w:rPr>
                <w:b/>
                <w:sz w:val="24"/>
                <w:szCs w:val="24"/>
                <w:lang w:val="en-GB"/>
              </w:rPr>
              <w:t>146,043</w:t>
            </w:r>
          </w:p>
        </w:tc>
      </w:tr>
      <w:tr w:rsidR="00FE2B0D" w:rsidRPr="006E3436" w14:paraId="4012BB9C" w14:textId="77777777" w:rsidTr="00E8456E">
        <w:trPr>
          <w:cnfStyle w:val="000000100000" w:firstRow="0" w:lastRow="0" w:firstColumn="0" w:lastColumn="0" w:oddVBand="0" w:evenVBand="0" w:oddHBand="1" w:evenHBand="0" w:firstRowFirstColumn="0" w:firstRowLastColumn="0" w:lastRowFirstColumn="0" w:lastRowLastColumn="0"/>
          <w:trHeight w:val="98"/>
        </w:trPr>
        <w:tc>
          <w:tcPr>
            <w:cnfStyle w:val="001000000000" w:firstRow="0" w:lastRow="0" w:firstColumn="1" w:lastColumn="0" w:oddVBand="0" w:evenVBand="0" w:oddHBand="0" w:evenHBand="0" w:firstRowFirstColumn="0" w:firstRowLastColumn="0" w:lastRowFirstColumn="0" w:lastRowLastColumn="0"/>
            <w:tcW w:w="4399" w:type="dxa"/>
          </w:tcPr>
          <w:p w14:paraId="0CAD9BD0" w14:textId="77777777" w:rsidR="00FE2B0D" w:rsidRPr="006E3436" w:rsidRDefault="00FE2B0D" w:rsidP="00E8456E">
            <w:pPr>
              <w:spacing w:after="160" w:line="276" w:lineRule="auto"/>
              <w:jc w:val="both"/>
              <w:rPr>
                <w:sz w:val="24"/>
                <w:szCs w:val="24"/>
                <w:lang w:val="en-GB"/>
              </w:rPr>
            </w:pPr>
            <w:r w:rsidRPr="006E3436">
              <w:rPr>
                <w:sz w:val="24"/>
                <w:szCs w:val="24"/>
                <w:lang w:val="en-GB"/>
              </w:rPr>
              <w:t xml:space="preserve">Average Total Assets </w:t>
            </w:r>
          </w:p>
        </w:tc>
        <w:tc>
          <w:tcPr>
            <w:tcW w:w="2341" w:type="dxa"/>
          </w:tcPr>
          <w:p w14:paraId="7B3F2245" w14:textId="77777777" w:rsidR="00FE2B0D" w:rsidRPr="006E3436" w:rsidRDefault="00FE2B0D" w:rsidP="00E8456E">
            <w:pPr>
              <w:spacing w:after="160" w:line="276" w:lineRule="auto"/>
              <w:jc w:val="both"/>
              <w:cnfStyle w:val="000000100000" w:firstRow="0" w:lastRow="0" w:firstColumn="0" w:lastColumn="0" w:oddVBand="0" w:evenVBand="0" w:oddHBand="1" w:evenHBand="0" w:firstRowFirstColumn="0" w:firstRowLastColumn="0" w:lastRowFirstColumn="0" w:lastRowLastColumn="0"/>
              <w:rPr>
                <w:b/>
                <w:sz w:val="24"/>
                <w:szCs w:val="24"/>
                <w:lang w:val="en-GB"/>
              </w:rPr>
            </w:pPr>
            <w:r w:rsidRPr="006E3436">
              <w:rPr>
                <w:sz w:val="24"/>
                <w:szCs w:val="24"/>
              </w:rPr>
              <w:t>462,675</w:t>
            </w:r>
          </w:p>
        </w:tc>
      </w:tr>
    </w:tbl>
    <w:p w14:paraId="29B423F8" w14:textId="77777777" w:rsidR="00FE2B0D" w:rsidRPr="006E3436" w:rsidRDefault="00FE2B0D" w:rsidP="00FE2B0D">
      <w:pPr>
        <w:spacing w:line="276" w:lineRule="auto"/>
        <w:jc w:val="both"/>
        <w:rPr>
          <w:sz w:val="24"/>
          <w:szCs w:val="24"/>
        </w:rPr>
      </w:pPr>
    </w:p>
    <w:p w14:paraId="7ED4A1D4" w14:textId="77777777" w:rsidR="00FE2B0D" w:rsidRDefault="00FE2B0D" w:rsidP="00FE2B0D">
      <w:pPr>
        <w:spacing w:line="276" w:lineRule="auto"/>
        <w:jc w:val="both"/>
        <w:rPr>
          <w:sz w:val="24"/>
          <w:szCs w:val="24"/>
        </w:rPr>
      </w:pPr>
      <w:r w:rsidRPr="006E3436">
        <w:rPr>
          <w:sz w:val="24"/>
          <w:szCs w:val="24"/>
        </w:rPr>
        <w:t>Here's a comparison of Walmart to Amazon based on the financial ratios calculated: so for calculation there is need to calculate Amazon’s financial ratios;</w:t>
      </w:r>
    </w:p>
    <w:p w14:paraId="3E513FD2" w14:textId="77777777" w:rsidR="00FE2B0D" w:rsidRPr="006E3436" w:rsidRDefault="00FE2B0D" w:rsidP="00FE2B0D">
      <w:pPr>
        <w:spacing w:line="276" w:lineRule="auto"/>
        <w:jc w:val="both"/>
        <w:rPr>
          <w:sz w:val="24"/>
          <w:szCs w:val="24"/>
        </w:rPr>
      </w:pPr>
    </w:p>
    <w:tbl>
      <w:tblPr>
        <w:tblStyle w:val="GridTable4-Accent6"/>
        <w:tblpPr w:leftFromText="180" w:rightFromText="180" w:vertAnchor="text" w:horzAnchor="margin" w:tblpY="168"/>
        <w:tblW w:w="8591" w:type="dxa"/>
        <w:tblLook w:val="04A0" w:firstRow="1" w:lastRow="0" w:firstColumn="1" w:lastColumn="0" w:noHBand="0" w:noVBand="1"/>
      </w:tblPr>
      <w:tblGrid>
        <w:gridCol w:w="4529"/>
        <w:gridCol w:w="2093"/>
        <w:gridCol w:w="1969"/>
      </w:tblGrid>
      <w:tr w:rsidR="00FE2B0D" w:rsidRPr="006E3436" w14:paraId="04814AE4" w14:textId="77777777" w:rsidTr="00E8456E">
        <w:trPr>
          <w:cnfStyle w:val="100000000000" w:firstRow="1" w:lastRow="0" w:firstColumn="0" w:lastColumn="0" w:oddVBand="0" w:evenVBand="0" w:oddHBand="0" w:evenHBand="0" w:firstRowFirstColumn="0" w:firstRowLastColumn="0" w:lastRowFirstColumn="0" w:lastRowLastColumn="0"/>
          <w:trHeight w:val="726"/>
        </w:trPr>
        <w:tc>
          <w:tcPr>
            <w:cnfStyle w:val="001000000000" w:firstRow="0" w:lastRow="0" w:firstColumn="1" w:lastColumn="0" w:oddVBand="0" w:evenVBand="0" w:oddHBand="0" w:evenHBand="0" w:firstRowFirstColumn="0" w:firstRowLastColumn="0" w:lastRowFirstColumn="0" w:lastRowLastColumn="0"/>
            <w:tcW w:w="0" w:type="auto"/>
            <w:shd w:val="clear" w:color="auto" w:fill="4472C4" w:themeFill="accent1"/>
          </w:tcPr>
          <w:p w14:paraId="4E0A343A" w14:textId="77777777" w:rsidR="00FE2B0D" w:rsidRPr="006E3436" w:rsidRDefault="00FE2B0D" w:rsidP="00E8456E">
            <w:pPr>
              <w:spacing w:line="276" w:lineRule="auto"/>
              <w:jc w:val="both"/>
              <w:rPr>
                <w:sz w:val="24"/>
                <w:szCs w:val="24"/>
              </w:rPr>
            </w:pPr>
            <w:r w:rsidRPr="006E3436">
              <w:rPr>
                <w:sz w:val="24"/>
                <w:szCs w:val="24"/>
              </w:rPr>
              <w:lastRenderedPageBreak/>
              <w:t>Ratios</w:t>
            </w:r>
          </w:p>
        </w:tc>
        <w:tc>
          <w:tcPr>
            <w:tcW w:w="0" w:type="auto"/>
            <w:shd w:val="clear" w:color="auto" w:fill="4472C4" w:themeFill="accent1"/>
          </w:tcPr>
          <w:p w14:paraId="78828635" w14:textId="77777777" w:rsidR="00FE2B0D" w:rsidRPr="006E3436" w:rsidRDefault="00FE2B0D" w:rsidP="00E8456E">
            <w:pPr>
              <w:spacing w:line="276" w:lineRule="auto"/>
              <w:jc w:val="both"/>
              <w:cnfStyle w:val="100000000000" w:firstRow="1" w:lastRow="0" w:firstColumn="0" w:lastColumn="0" w:oddVBand="0" w:evenVBand="0" w:oddHBand="0" w:evenHBand="0" w:firstRowFirstColumn="0" w:firstRowLastColumn="0" w:lastRowFirstColumn="0" w:lastRowLastColumn="0"/>
              <w:rPr>
                <w:sz w:val="24"/>
                <w:szCs w:val="24"/>
              </w:rPr>
            </w:pPr>
            <w:r w:rsidRPr="006E3436">
              <w:rPr>
                <w:sz w:val="24"/>
                <w:szCs w:val="24"/>
              </w:rPr>
              <w:t>Walmart</w:t>
            </w:r>
          </w:p>
        </w:tc>
        <w:tc>
          <w:tcPr>
            <w:tcW w:w="0" w:type="auto"/>
            <w:shd w:val="clear" w:color="auto" w:fill="4472C4" w:themeFill="accent1"/>
          </w:tcPr>
          <w:p w14:paraId="4263AA19" w14:textId="77777777" w:rsidR="00FE2B0D" w:rsidRPr="006E3436" w:rsidRDefault="00FE2B0D" w:rsidP="00E8456E">
            <w:pPr>
              <w:spacing w:line="276" w:lineRule="auto"/>
              <w:jc w:val="both"/>
              <w:cnfStyle w:val="100000000000" w:firstRow="1" w:lastRow="0" w:firstColumn="0" w:lastColumn="0" w:oddVBand="0" w:evenVBand="0" w:oddHBand="0" w:evenHBand="0" w:firstRowFirstColumn="0" w:firstRowLastColumn="0" w:lastRowFirstColumn="0" w:lastRowLastColumn="0"/>
              <w:rPr>
                <w:sz w:val="24"/>
                <w:szCs w:val="24"/>
              </w:rPr>
            </w:pPr>
            <w:r w:rsidRPr="006E3436">
              <w:rPr>
                <w:sz w:val="24"/>
                <w:szCs w:val="24"/>
              </w:rPr>
              <w:t>Amazon</w:t>
            </w:r>
          </w:p>
        </w:tc>
      </w:tr>
      <w:tr w:rsidR="00FE2B0D" w:rsidRPr="006E3436" w14:paraId="42935447" w14:textId="77777777" w:rsidTr="00E8456E">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0" w:type="auto"/>
          </w:tcPr>
          <w:p w14:paraId="6F22BD14" w14:textId="77777777" w:rsidR="00FE2B0D" w:rsidRPr="006E3436" w:rsidRDefault="00FE2B0D" w:rsidP="00E8456E">
            <w:pPr>
              <w:spacing w:line="276" w:lineRule="auto"/>
              <w:jc w:val="both"/>
              <w:rPr>
                <w:sz w:val="24"/>
                <w:szCs w:val="24"/>
              </w:rPr>
            </w:pPr>
            <w:r w:rsidRPr="006E3436">
              <w:rPr>
                <w:sz w:val="24"/>
                <w:szCs w:val="24"/>
              </w:rPr>
              <w:t>Net Profit Margin</w:t>
            </w:r>
          </w:p>
        </w:tc>
        <w:tc>
          <w:tcPr>
            <w:tcW w:w="0" w:type="auto"/>
          </w:tcPr>
          <w:p w14:paraId="22BCA792" w14:textId="77777777" w:rsidR="00FE2B0D" w:rsidRPr="006E3436" w:rsidRDefault="00FE2B0D" w:rsidP="00E8456E">
            <w:pPr>
              <w:spacing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6E3436">
              <w:rPr>
                <w:sz w:val="24"/>
                <w:szCs w:val="24"/>
              </w:rPr>
              <w:t>2.4%</w:t>
            </w:r>
          </w:p>
        </w:tc>
        <w:tc>
          <w:tcPr>
            <w:tcW w:w="0" w:type="auto"/>
          </w:tcPr>
          <w:p w14:paraId="3A7556E5" w14:textId="77777777" w:rsidR="00FE2B0D" w:rsidRPr="006E3436" w:rsidRDefault="00FE2B0D" w:rsidP="00E8456E">
            <w:pPr>
              <w:spacing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6E3436">
              <w:rPr>
                <w:sz w:val="24"/>
                <w:szCs w:val="24"/>
              </w:rPr>
              <w:t>-0.005%</w:t>
            </w:r>
          </w:p>
        </w:tc>
      </w:tr>
      <w:tr w:rsidR="00FE2B0D" w:rsidRPr="006E3436" w14:paraId="02E63D05" w14:textId="77777777" w:rsidTr="00E8456E">
        <w:trPr>
          <w:trHeight w:val="437"/>
        </w:trPr>
        <w:tc>
          <w:tcPr>
            <w:cnfStyle w:val="001000000000" w:firstRow="0" w:lastRow="0" w:firstColumn="1" w:lastColumn="0" w:oddVBand="0" w:evenVBand="0" w:oddHBand="0" w:evenHBand="0" w:firstRowFirstColumn="0" w:firstRowLastColumn="0" w:lastRowFirstColumn="0" w:lastRowLastColumn="0"/>
            <w:tcW w:w="0" w:type="auto"/>
          </w:tcPr>
          <w:p w14:paraId="2914ED67" w14:textId="77777777" w:rsidR="00FE2B0D" w:rsidRPr="006E3436" w:rsidRDefault="00FE2B0D" w:rsidP="00E8456E">
            <w:pPr>
              <w:spacing w:line="276" w:lineRule="auto"/>
              <w:jc w:val="both"/>
              <w:rPr>
                <w:sz w:val="24"/>
                <w:szCs w:val="24"/>
              </w:rPr>
            </w:pPr>
            <w:r w:rsidRPr="006E3436">
              <w:rPr>
                <w:sz w:val="24"/>
                <w:szCs w:val="24"/>
              </w:rPr>
              <w:t>Current Ratio</w:t>
            </w:r>
          </w:p>
        </w:tc>
        <w:tc>
          <w:tcPr>
            <w:tcW w:w="0" w:type="auto"/>
          </w:tcPr>
          <w:p w14:paraId="22E45872" w14:textId="77777777" w:rsidR="00FE2B0D" w:rsidRPr="006E3436" w:rsidRDefault="00FE2B0D" w:rsidP="00E8456E">
            <w:pPr>
              <w:spacing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6E3436">
              <w:rPr>
                <w:sz w:val="24"/>
                <w:szCs w:val="24"/>
              </w:rPr>
              <w:t>0.92</w:t>
            </w:r>
          </w:p>
        </w:tc>
        <w:tc>
          <w:tcPr>
            <w:tcW w:w="0" w:type="auto"/>
          </w:tcPr>
          <w:p w14:paraId="2D21C097" w14:textId="77777777" w:rsidR="00FE2B0D" w:rsidRPr="006E3436" w:rsidRDefault="00FE2B0D" w:rsidP="00E8456E">
            <w:pPr>
              <w:spacing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6E3436">
              <w:rPr>
                <w:sz w:val="24"/>
                <w:szCs w:val="24"/>
              </w:rPr>
              <w:t>0.94</w:t>
            </w:r>
          </w:p>
        </w:tc>
      </w:tr>
      <w:tr w:rsidR="00FE2B0D" w:rsidRPr="006E3436" w14:paraId="501464C1" w14:textId="77777777" w:rsidTr="00E8456E">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0" w:type="auto"/>
          </w:tcPr>
          <w:p w14:paraId="55BFAC53" w14:textId="77777777" w:rsidR="00FE2B0D" w:rsidRPr="006E3436" w:rsidRDefault="00FE2B0D" w:rsidP="00E8456E">
            <w:pPr>
              <w:spacing w:line="276" w:lineRule="auto"/>
              <w:jc w:val="both"/>
              <w:rPr>
                <w:sz w:val="24"/>
                <w:szCs w:val="24"/>
              </w:rPr>
            </w:pPr>
            <w:r w:rsidRPr="006E3436">
              <w:rPr>
                <w:sz w:val="24"/>
                <w:szCs w:val="24"/>
              </w:rPr>
              <w:t>Debt-to-Equity Ratio</w:t>
            </w:r>
          </w:p>
        </w:tc>
        <w:tc>
          <w:tcPr>
            <w:tcW w:w="0" w:type="auto"/>
          </w:tcPr>
          <w:p w14:paraId="3542DF3F" w14:textId="77777777" w:rsidR="00FE2B0D" w:rsidRPr="006E3436" w:rsidRDefault="00FE2B0D" w:rsidP="00E8456E">
            <w:pPr>
              <w:spacing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6E3436">
              <w:rPr>
                <w:sz w:val="24"/>
                <w:szCs w:val="24"/>
              </w:rPr>
              <w:t>0.63</w:t>
            </w:r>
          </w:p>
        </w:tc>
        <w:tc>
          <w:tcPr>
            <w:tcW w:w="0" w:type="auto"/>
          </w:tcPr>
          <w:p w14:paraId="617B3E5D" w14:textId="77777777" w:rsidR="00FE2B0D" w:rsidRPr="006E3436" w:rsidRDefault="00FE2B0D" w:rsidP="00E8456E">
            <w:pPr>
              <w:spacing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6E3436">
              <w:rPr>
                <w:sz w:val="24"/>
                <w:szCs w:val="24"/>
              </w:rPr>
              <w:t>1.16</w:t>
            </w:r>
          </w:p>
        </w:tc>
      </w:tr>
      <w:tr w:rsidR="00FE2B0D" w:rsidRPr="006E3436" w14:paraId="3E1FEE61" w14:textId="77777777" w:rsidTr="00E8456E">
        <w:trPr>
          <w:trHeight w:val="437"/>
        </w:trPr>
        <w:tc>
          <w:tcPr>
            <w:cnfStyle w:val="001000000000" w:firstRow="0" w:lastRow="0" w:firstColumn="1" w:lastColumn="0" w:oddVBand="0" w:evenVBand="0" w:oddHBand="0" w:evenHBand="0" w:firstRowFirstColumn="0" w:firstRowLastColumn="0" w:lastRowFirstColumn="0" w:lastRowLastColumn="0"/>
            <w:tcW w:w="0" w:type="auto"/>
          </w:tcPr>
          <w:p w14:paraId="396A1A54" w14:textId="77777777" w:rsidR="00FE2B0D" w:rsidRPr="006E3436" w:rsidRDefault="00FE2B0D" w:rsidP="00E8456E">
            <w:pPr>
              <w:spacing w:line="276" w:lineRule="auto"/>
              <w:jc w:val="both"/>
              <w:rPr>
                <w:sz w:val="24"/>
                <w:szCs w:val="24"/>
              </w:rPr>
            </w:pPr>
            <w:r w:rsidRPr="006E3436">
              <w:rPr>
                <w:sz w:val="24"/>
                <w:szCs w:val="24"/>
              </w:rPr>
              <w:t>Asset Turnover Ratio:</w:t>
            </w:r>
          </w:p>
        </w:tc>
        <w:tc>
          <w:tcPr>
            <w:tcW w:w="0" w:type="auto"/>
          </w:tcPr>
          <w:p w14:paraId="3680D6AB" w14:textId="77777777" w:rsidR="00FE2B0D" w:rsidRPr="006E3436" w:rsidRDefault="00FE2B0D" w:rsidP="00E8456E">
            <w:pPr>
              <w:spacing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6E3436">
              <w:rPr>
                <w:sz w:val="24"/>
                <w:szCs w:val="24"/>
              </w:rPr>
              <w:t>2.33</w:t>
            </w:r>
          </w:p>
        </w:tc>
        <w:tc>
          <w:tcPr>
            <w:tcW w:w="0" w:type="auto"/>
          </w:tcPr>
          <w:p w14:paraId="07B822E9" w14:textId="77777777" w:rsidR="00FE2B0D" w:rsidRPr="006E3436" w:rsidRDefault="00FE2B0D" w:rsidP="00E8456E">
            <w:pPr>
              <w:spacing w:line="276"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6E3436">
              <w:rPr>
                <w:sz w:val="24"/>
                <w:szCs w:val="24"/>
              </w:rPr>
              <w:t>1.11</w:t>
            </w:r>
          </w:p>
        </w:tc>
      </w:tr>
    </w:tbl>
    <w:p w14:paraId="6A08DFBE" w14:textId="77777777" w:rsidR="00FE2B0D" w:rsidRPr="006E3436" w:rsidRDefault="00FE2B0D" w:rsidP="00FE2B0D">
      <w:pPr>
        <w:spacing w:line="276" w:lineRule="auto"/>
        <w:jc w:val="both"/>
        <w:rPr>
          <w:sz w:val="24"/>
          <w:szCs w:val="24"/>
        </w:rPr>
      </w:pPr>
    </w:p>
    <w:p w14:paraId="717C7A6D" w14:textId="77777777" w:rsidR="00FE2B0D" w:rsidRPr="006E3436" w:rsidRDefault="00FE2B0D" w:rsidP="00FE2B0D">
      <w:pPr>
        <w:spacing w:line="276" w:lineRule="auto"/>
        <w:jc w:val="both"/>
        <w:rPr>
          <w:sz w:val="24"/>
          <w:szCs w:val="24"/>
        </w:rPr>
      </w:pPr>
    </w:p>
    <w:p w14:paraId="4F7191D8" w14:textId="77777777" w:rsidR="00FE2B0D" w:rsidRPr="006E3436" w:rsidRDefault="00FE2B0D" w:rsidP="00FE2B0D">
      <w:pPr>
        <w:spacing w:line="276" w:lineRule="auto"/>
        <w:jc w:val="both"/>
        <w:rPr>
          <w:sz w:val="24"/>
          <w:szCs w:val="24"/>
        </w:rPr>
      </w:pPr>
    </w:p>
    <w:p w14:paraId="52F4FB30" w14:textId="77777777" w:rsidR="00FE2B0D" w:rsidRPr="006E3436" w:rsidRDefault="00FE2B0D" w:rsidP="00FE2B0D">
      <w:pPr>
        <w:spacing w:line="276" w:lineRule="auto"/>
        <w:jc w:val="both"/>
        <w:rPr>
          <w:sz w:val="24"/>
          <w:szCs w:val="24"/>
        </w:rPr>
      </w:pPr>
    </w:p>
    <w:p w14:paraId="1B55339C" w14:textId="77777777" w:rsidR="00FE2B0D" w:rsidRPr="006E3436" w:rsidRDefault="00FE2B0D" w:rsidP="00FE2B0D">
      <w:pPr>
        <w:spacing w:line="276" w:lineRule="auto"/>
        <w:jc w:val="both"/>
        <w:rPr>
          <w:sz w:val="24"/>
          <w:szCs w:val="24"/>
        </w:rPr>
      </w:pPr>
    </w:p>
    <w:p w14:paraId="2EA9B2FA" w14:textId="77777777" w:rsidR="00FE2B0D" w:rsidRPr="006E3436" w:rsidRDefault="00FE2B0D" w:rsidP="00FE2B0D">
      <w:pPr>
        <w:spacing w:line="276" w:lineRule="auto"/>
        <w:jc w:val="both"/>
        <w:rPr>
          <w:sz w:val="24"/>
          <w:szCs w:val="24"/>
        </w:rPr>
      </w:pPr>
    </w:p>
    <w:p w14:paraId="3F43E95A" w14:textId="77777777" w:rsidR="00FE2B0D" w:rsidRPr="006E3436" w:rsidRDefault="00FE2B0D" w:rsidP="00FE2B0D">
      <w:pPr>
        <w:spacing w:line="276" w:lineRule="auto"/>
        <w:jc w:val="both"/>
        <w:rPr>
          <w:sz w:val="24"/>
          <w:szCs w:val="24"/>
        </w:rPr>
      </w:pPr>
    </w:p>
    <w:p w14:paraId="2B5BF4F1" w14:textId="77777777" w:rsidR="00FE2B0D" w:rsidRDefault="00FE2B0D" w:rsidP="00FE2B0D">
      <w:pPr>
        <w:pStyle w:val="Heading2"/>
        <w:numPr>
          <w:ilvl w:val="1"/>
          <w:numId w:val="1"/>
        </w:numPr>
        <w:tabs>
          <w:tab w:val="num" w:pos="360"/>
        </w:tabs>
        <w:ind w:left="0" w:firstLine="0"/>
        <w:rPr>
          <w:b/>
          <w:color w:val="000000" w:themeColor="text1"/>
        </w:rPr>
      </w:pPr>
      <w:bookmarkStart w:id="13" w:name="_Toc163428070"/>
      <w:r w:rsidRPr="005F6673">
        <w:rPr>
          <w:b/>
          <w:color w:val="000000" w:themeColor="text1"/>
        </w:rPr>
        <w:t>Net Profit Margin:</w:t>
      </w:r>
      <w:bookmarkEnd w:id="13"/>
      <w:r w:rsidRPr="005F6673">
        <w:rPr>
          <w:b/>
          <w:color w:val="000000" w:themeColor="text1"/>
        </w:rPr>
        <w:t xml:space="preserve"> </w:t>
      </w:r>
    </w:p>
    <w:p w14:paraId="01D093D3" w14:textId="77777777" w:rsidR="00FE2B0D" w:rsidRPr="005F6673" w:rsidRDefault="00FE2B0D" w:rsidP="00FE2B0D"/>
    <w:p w14:paraId="39C3CA10" w14:textId="77777777" w:rsidR="00FE2B0D" w:rsidRPr="005F6673" w:rsidRDefault="00FE2B0D" w:rsidP="00FE2B0D">
      <w:pPr>
        <w:pStyle w:val="ListParagraph"/>
        <w:numPr>
          <w:ilvl w:val="0"/>
          <w:numId w:val="5"/>
        </w:numPr>
        <w:spacing w:line="276" w:lineRule="auto"/>
        <w:jc w:val="both"/>
        <w:rPr>
          <w:sz w:val="24"/>
          <w:szCs w:val="24"/>
        </w:rPr>
      </w:pPr>
      <w:r w:rsidRPr="005F6673">
        <w:rPr>
          <w:sz w:val="24"/>
          <w:szCs w:val="24"/>
        </w:rPr>
        <w:t xml:space="preserve">Its net profit margin of 2.4% indicates that there is a profit of $2.4 made per every $100 revenue. This shows that Walmart is working efficiently and controlling its expenses duly. </w:t>
      </w:r>
    </w:p>
    <w:p w14:paraId="272B9B70" w14:textId="77777777" w:rsidR="00FE2B0D" w:rsidRPr="005F6673" w:rsidRDefault="00FE2B0D" w:rsidP="00FE2B0D">
      <w:pPr>
        <w:pStyle w:val="ListParagraph"/>
        <w:numPr>
          <w:ilvl w:val="0"/>
          <w:numId w:val="5"/>
        </w:numPr>
        <w:spacing w:line="276" w:lineRule="auto"/>
        <w:jc w:val="both"/>
        <w:rPr>
          <w:sz w:val="24"/>
          <w:szCs w:val="24"/>
        </w:rPr>
      </w:pPr>
      <w:r w:rsidRPr="005F6673">
        <w:rPr>
          <w:sz w:val="24"/>
          <w:szCs w:val="24"/>
        </w:rPr>
        <w:t>The net profit margin of Amazon amounts to -0.005%, indicating that it basically is breaking even with almost no profit out of every $100 revenue. This would perhaps be attributed to massive investment in the growth and expansion of the business, characteristics typical of most tech companies, of which Amazon is one.</w:t>
      </w:r>
    </w:p>
    <w:p w14:paraId="4EF6D714" w14:textId="77777777" w:rsidR="00FE2B0D" w:rsidRDefault="00FE2B0D" w:rsidP="00FE2B0D">
      <w:pPr>
        <w:pStyle w:val="Heading2"/>
        <w:numPr>
          <w:ilvl w:val="1"/>
          <w:numId w:val="1"/>
        </w:numPr>
        <w:tabs>
          <w:tab w:val="num" w:pos="360"/>
        </w:tabs>
        <w:ind w:left="0" w:firstLine="0"/>
        <w:rPr>
          <w:b/>
          <w:color w:val="000000" w:themeColor="text1"/>
        </w:rPr>
      </w:pPr>
      <w:bookmarkStart w:id="14" w:name="_Toc163428071"/>
      <w:r w:rsidRPr="005F6673">
        <w:rPr>
          <w:b/>
          <w:color w:val="000000" w:themeColor="text1"/>
        </w:rPr>
        <w:t>Current Ratio:</w:t>
      </w:r>
      <w:bookmarkEnd w:id="14"/>
      <w:r w:rsidRPr="005F6673">
        <w:rPr>
          <w:b/>
          <w:color w:val="000000" w:themeColor="text1"/>
        </w:rPr>
        <w:t xml:space="preserve"> </w:t>
      </w:r>
    </w:p>
    <w:p w14:paraId="6EA5E75D" w14:textId="77777777" w:rsidR="00FE2B0D" w:rsidRPr="005F6673" w:rsidRDefault="00FE2B0D" w:rsidP="00FE2B0D"/>
    <w:p w14:paraId="6DA9D777" w14:textId="77777777" w:rsidR="00FE2B0D" w:rsidRPr="005F6673" w:rsidRDefault="00FE2B0D" w:rsidP="00FE2B0D">
      <w:pPr>
        <w:pStyle w:val="ListParagraph"/>
        <w:numPr>
          <w:ilvl w:val="0"/>
          <w:numId w:val="4"/>
        </w:numPr>
        <w:spacing w:line="276" w:lineRule="auto"/>
        <w:jc w:val="both"/>
        <w:rPr>
          <w:sz w:val="24"/>
          <w:szCs w:val="24"/>
        </w:rPr>
      </w:pPr>
      <w:r w:rsidRPr="005F6673">
        <w:rPr>
          <w:sz w:val="24"/>
          <w:szCs w:val="24"/>
        </w:rPr>
        <w:t xml:space="preserve">Its current ratio of 0.92 would mean that Walmart slightly has current assets that are less than the current liabilities. The most probable will be a cause of short-term liquidity distress. However, the current ratios of retail firms are usually below one since they tend to have high inventory turnovers. </w:t>
      </w:r>
    </w:p>
    <w:p w14:paraId="27BBD3AA" w14:textId="77777777" w:rsidR="00FE2B0D" w:rsidRPr="005F6673" w:rsidRDefault="00FE2B0D" w:rsidP="00FE2B0D">
      <w:pPr>
        <w:pStyle w:val="ListParagraph"/>
        <w:numPr>
          <w:ilvl w:val="0"/>
          <w:numId w:val="4"/>
        </w:numPr>
        <w:spacing w:line="276" w:lineRule="auto"/>
        <w:jc w:val="both"/>
        <w:rPr>
          <w:sz w:val="24"/>
          <w:szCs w:val="24"/>
        </w:rPr>
      </w:pPr>
      <w:r w:rsidRPr="005F6673">
        <w:rPr>
          <w:sz w:val="24"/>
          <w:szCs w:val="24"/>
        </w:rPr>
        <w:t>With a current ratio of 0.94, it indicates that Amazon holds slightly better short-term liquidity compared to Walmart. But, in absolute figures, it still is less than 1, indicating that Amazon also has more current liabilities than current assets.</w:t>
      </w:r>
    </w:p>
    <w:p w14:paraId="6BB3D5BB" w14:textId="77777777" w:rsidR="00FE2B0D" w:rsidRDefault="00FE2B0D" w:rsidP="00FE2B0D">
      <w:pPr>
        <w:pStyle w:val="Heading2"/>
        <w:numPr>
          <w:ilvl w:val="1"/>
          <w:numId w:val="1"/>
        </w:numPr>
        <w:tabs>
          <w:tab w:val="num" w:pos="360"/>
        </w:tabs>
        <w:ind w:left="0" w:firstLine="0"/>
        <w:rPr>
          <w:b/>
          <w:color w:val="000000" w:themeColor="text1"/>
        </w:rPr>
      </w:pPr>
      <w:bookmarkStart w:id="15" w:name="_Toc163428072"/>
      <w:r w:rsidRPr="005F6673">
        <w:rPr>
          <w:b/>
          <w:color w:val="000000" w:themeColor="text1"/>
        </w:rPr>
        <w:t>Debt-to-Equity Ratio:</w:t>
      </w:r>
      <w:bookmarkEnd w:id="15"/>
      <w:r w:rsidRPr="005F6673">
        <w:rPr>
          <w:b/>
          <w:color w:val="000000" w:themeColor="text1"/>
        </w:rPr>
        <w:t xml:space="preserve"> </w:t>
      </w:r>
    </w:p>
    <w:p w14:paraId="6D1B50E1" w14:textId="77777777" w:rsidR="00FE2B0D" w:rsidRPr="005F6673" w:rsidRDefault="00FE2B0D" w:rsidP="00FE2B0D"/>
    <w:p w14:paraId="4BFAC1F2" w14:textId="77777777" w:rsidR="00FE2B0D" w:rsidRPr="005F6673" w:rsidRDefault="00FE2B0D" w:rsidP="00FE2B0D">
      <w:pPr>
        <w:pStyle w:val="ListParagraph"/>
        <w:numPr>
          <w:ilvl w:val="0"/>
          <w:numId w:val="3"/>
        </w:numPr>
        <w:spacing w:line="276" w:lineRule="auto"/>
        <w:jc w:val="both"/>
        <w:rPr>
          <w:sz w:val="24"/>
          <w:szCs w:val="24"/>
        </w:rPr>
      </w:pPr>
      <w:r w:rsidRPr="005F6673">
        <w:rPr>
          <w:sz w:val="24"/>
          <w:szCs w:val="24"/>
        </w:rPr>
        <w:lastRenderedPageBreak/>
        <w:t xml:space="preserve">Walmart has a debt-to-equity of 0.63, showing that it holds debts at a moderate rate compared to equity. This may indicate that Walmart balances the approach to finance its operations with a mix of both debt and equity. </w:t>
      </w:r>
    </w:p>
    <w:p w14:paraId="6DEF44A4" w14:textId="77777777" w:rsidR="00FE2B0D" w:rsidRPr="005F6673" w:rsidRDefault="00FE2B0D" w:rsidP="00FE2B0D">
      <w:pPr>
        <w:pStyle w:val="ListParagraph"/>
        <w:numPr>
          <w:ilvl w:val="0"/>
          <w:numId w:val="3"/>
        </w:numPr>
        <w:spacing w:line="276" w:lineRule="auto"/>
        <w:jc w:val="both"/>
        <w:rPr>
          <w:sz w:val="24"/>
          <w:szCs w:val="24"/>
        </w:rPr>
      </w:pPr>
      <w:r w:rsidRPr="005F6673">
        <w:rPr>
          <w:sz w:val="24"/>
          <w:szCs w:val="24"/>
        </w:rPr>
        <w:t>Amazon has a debt-to-equity ratio of 1.16, which is very high compared to Walmart. This implies that Amazon has far more dependencies on debts to finance their operations, either by very aggressive expansion and investment strategies.</w:t>
      </w:r>
    </w:p>
    <w:p w14:paraId="0F293EB8" w14:textId="77777777" w:rsidR="00FE2B0D" w:rsidRDefault="00FE2B0D" w:rsidP="00FE2B0D">
      <w:pPr>
        <w:pStyle w:val="ListParagraph"/>
        <w:numPr>
          <w:ilvl w:val="1"/>
          <w:numId w:val="1"/>
        </w:numPr>
        <w:spacing w:line="276" w:lineRule="auto"/>
        <w:jc w:val="both"/>
        <w:rPr>
          <w:b/>
          <w:color w:val="000000" w:themeColor="text1"/>
          <w:sz w:val="24"/>
          <w:szCs w:val="24"/>
        </w:rPr>
      </w:pPr>
      <w:bookmarkStart w:id="16" w:name="_Toc163428073"/>
      <w:r w:rsidRPr="005F6673">
        <w:rPr>
          <w:rStyle w:val="Heading2Char"/>
          <w:b/>
          <w:color w:val="000000" w:themeColor="text1"/>
        </w:rPr>
        <w:t>Asset Turnover Ratio</w:t>
      </w:r>
      <w:bookmarkEnd w:id="16"/>
      <w:r w:rsidRPr="005F6673">
        <w:rPr>
          <w:b/>
          <w:color w:val="000000" w:themeColor="text1"/>
          <w:sz w:val="24"/>
          <w:szCs w:val="24"/>
        </w:rPr>
        <w:t xml:space="preserve">: </w:t>
      </w:r>
    </w:p>
    <w:p w14:paraId="3C57C520" w14:textId="77777777" w:rsidR="00FE2B0D" w:rsidRPr="005F6673" w:rsidRDefault="00FE2B0D" w:rsidP="00FE2B0D">
      <w:pPr>
        <w:pStyle w:val="ListParagraph"/>
        <w:spacing w:line="276" w:lineRule="auto"/>
        <w:ind w:left="792"/>
        <w:jc w:val="both"/>
        <w:rPr>
          <w:b/>
          <w:color w:val="000000" w:themeColor="text1"/>
          <w:sz w:val="24"/>
          <w:szCs w:val="24"/>
        </w:rPr>
      </w:pPr>
    </w:p>
    <w:p w14:paraId="0E3243E1" w14:textId="77777777" w:rsidR="00FE2B0D" w:rsidRPr="005F6673" w:rsidRDefault="00FE2B0D" w:rsidP="00FE2B0D">
      <w:pPr>
        <w:pStyle w:val="ListParagraph"/>
        <w:numPr>
          <w:ilvl w:val="0"/>
          <w:numId w:val="2"/>
        </w:numPr>
        <w:spacing w:line="276" w:lineRule="auto"/>
        <w:jc w:val="both"/>
        <w:rPr>
          <w:sz w:val="24"/>
          <w:szCs w:val="24"/>
        </w:rPr>
      </w:pPr>
      <w:r w:rsidRPr="005F6673">
        <w:rPr>
          <w:sz w:val="24"/>
          <w:szCs w:val="24"/>
        </w:rPr>
        <w:t xml:space="preserve">From this asset turnover ratio of 2.33, Walmart shows how it can be able to generate 2.33 dollars in revenues for every dollar in the asset. In the real sense, this is great performance showing how Walmart effectively runs its assets to a position where it can easily generate more sales. </w:t>
      </w:r>
    </w:p>
    <w:p w14:paraId="3962CDC1" w14:textId="77777777" w:rsidR="00FE2B0D" w:rsidRPr="005F6673" w:rsidRDefault="00FE2B0D" w:rsidP="00FE2B0D">
      <w:pPr>
        <w:pStyle w:val="ListParagraph"/>
        <w:numPr>
          <w:ilvl w:val="0"/>
          <w:numId w:val="2"/>
        </w:numPr>
        <w:spacing w:line="276" w:lineRule="auto"/>
        <w:jc w:val="both"/>
        <w:rPr>
          <w:sz w:val="24"/>
          <w:szCs w:val="24"/>
        </w:rPr>
      </w:pPr>
      <w:r w:rsidRPr="005F6673">
        <w:rPr>
          <w:sz w:val="24"/>
          <w:szCs w:val="24"/>
        </w:rPr>
        <w:t>Being 1.11, it points out the fact that the asset turnover ratio of Amazon is still lower in comparison to Walmart. That is to say, less income is being realized with every single dollar of asset on Amazon, probably because they have more investment in fixed assets, for example, technology infrastructure.</w:t>
      </w:r>
    </w:p>
    <w:p w14:paraId="1E7C35BD" w14:textId="77777777" w:rsidR="00FE2B0D" w:rsidRPr="006E3436" w:rsidRDefault="00FE2B0D" w:rsidP="00FE2B0D">
      <w:pPr>
        <w:spacing w:line="276" w:lineRule="auto"/>
        <w:jc w:val="both"/>
        <w:rPr>
          <w:sz w:val="24"/>
          <w:szCs w:val="24"/>
        </w:rPr>
      </w:pPr>
      <w:r w:rsidRPr="006E3436">
        <w:rPr>
          <w:sz w:val="24"/>
          <w:szCs w:val="24"/>
        </w:rPr>
        <w:t>Overall, compared to Amazon, Walmart appears to be more operationally efficient and of higher profitability due to the larger values for net profit margin and asset turnover ratio. But the better current liquidity position is above Amazon, and does use more debt for financing, as indicated by above industry debt to equity. The financial performance and the strategy differences reflect different business models and different industry dynamics between the two companies.</w:t>
      </w:r>
    </w:p>
    <w:p w14:paraId="1E265839" w14:textId="77777777" w:rsidR="00FE2B0D" w:rsidRPr="006E3436" w:rsidRDefault="00FE2B0D" w:rsidP="00FE2B0D">
      <w:pPr>
        <w:spacing w:line="276" w:lineRule="auto"/>
        <w:jc w:val="both"/>
        <w:rPr>
          <w:sz w:val="24"/>
          <w:szCs w:val="24"/>
        </w:rPr>
      </w:pPr>
    </w:p>
    <w:p w14:paraId="40133DE7" w14:textId="77777777" w:rsidR="00FE2B0D" w:rsidRDefault="00FE2B0D" w:rsidP="00FE2B0D">
      <w:pPr>
        <w:pStyle w:val="Heading1"/>
        <w:numPr>
          <w:ilvl w:val="0"/>
          <w:numId w:val="1"/>
        </w:numPr>
        <w:tabs>
          <w:tab w:val="num" w:pos="360"/>
        </w:tabs>
        <w:ind w:left="0" w:firstLine="0"/>
        <w:rPr>
          <w:b/>
          <w:color w:val="000000" w:themeColor="text1"/>
        </w:rPr>
      </w:pPr>
      <w:bookmarkStart w:id="17" w:name="_Toc163428074"/>
      <w:r w:rsidRPr="005F6673">
        <w:rPr>
          <w:b/>
          <w:color w:val="000000" w:themeColor="text1"/>
        </w:rPr>
        <w:t>Recommendations on improving the financial management</w:t>
      </w:r>
      <w:bookmarkEnd w:id="17"/>
      <w:r>
        <w:rPr>
          <w:b/>
          <w:color w:val="000000" w:themeColor="text1"/>
        </w:rPr>
        <w:t>.</w:t>
      </w:r>
    </w:p>
    <w:p w14:paraId="3D3A8D6D" w14:textId="77777777" w:rsidR="00FE2B0D" w:rsidRPr="005F6673" w:rsidRDefault="00FE2B0D" w:rsidP="00FE2B0D"/>
    <w:p w14:paraId="0A506585" w14:textId="77777777" w:rsidR="00FE2B0D" w:rsidRPr="006E3436" w:rsidRDefault="00FE2B0D" w:rsidP="00FE2B0D">
      <w:pPr>
        <w:spacing w:line="276" w:lineRule="auto"/>
        <w:jc w:val="both"/>
        <w:rPr>
          <w:sz w:val="24"/>
          <w:szCs w:val="24"/>
        </w:rPr>
      </w:pPr>
      <w:r w:rsidRPr="006E3436">
        <w:rPr>
          <w:sz w:val="24"/>
          <w:szCs w:val="24"/>
        </w:rPr>
        <w:t>The following, therefore, are recommended herein for use in the improvement of Walmart's way of managing its finances.</w:t>
      </w:r>
    </w:p>
    <w:p w14:paraId="49534767" w14:textId="77777777" w:rsidR="00FE2B0D" w:rsidRPr="006E3436" w:rsidRDefault="00FE2B0D" w:rsidP="00FE2B0D">
      <w:pPr>
        <w:spacing w:line="276" w:lineRule="auto"/>
        <w:jc w:val="both"/>
        <w:rPr>
          <w:sz w:val="24"/>
          <w:szCs w:val="24"/>
        </w:rPr>
      </w:pPr>
      <w:r w:rsidRPr="005F6673">
        <w:rPr>
          <w:b/>
          <w:sz w:val="24"/>
          <w:szCs w:val="24"/>
        </w:rPr>
        <w:t>Enhance Profitability</w:t>
      </w:r>
      <w:r w:rsidRPr="006E3436">
        <w:rPr>
          <w:sz w:val="24"/>
          <w:szCs w:val="24"/>
        </w:rPr>
        <w:t>: While Walmart's net profit margin is positive, there is room for improvement.</w:t>
      </w:r>
    </w:p>
    <w:p w14:paraId="1AE71B14" w14:textId="77777777" w:rsidR="00FE2B0D" w:rsidRPr="006E3436" w:rsidRDefault="00FE2B0D" w:rsidP="00FE2B0D">
      <w:pPr>
        <w:spacing w:line="276" w:lineRule="auto"/>
        <w:jc w:val="both"/>
        <w:rPr>
          <w:sz w:val="24"/>
          <w:szCs w:val="24"/>
        </w:rPr>
      </w:pPr>
      <w:r w:rsidRPr="006E3436">
        <w:rPr>
          <w:sz w:val="24"/>
          <w:szCs w:val="24"/>
        </w:rPr>
        <w:t>The company could devise strategies that focus on reducing cost, including supply chain optimization for efficient operation, and use technology to minimize operational expenses. The second strategy will bring out efforts by the company to increase revenue through an expansion of its e-commerce operations and during market entry.</w:t>
      </w:r>
    </w:p>
    <w:p w14:paraId="2F068DE2" w14:textId="77777777" w:rsidR="00FE2B0D" w:rsidRPr="006E3436" w:rsidRDefault="00FE2B0D" w:rsidP="00FE2B0D">
      <w:pPr>
        <w:spacing w:line="276" w:lineRule="auto"/>
        <w:jc w:val="both"/>
        <w:rPr>
          <w:sz w:val="24"/>
          <w:szCs w:val="24"/>
        </w:rPr>
      </w:pPr>
      <w:r w:rsidRPr="005F6673">
        <w:rPr>
          <w:b/>
          <w:sz w:val="24"/>
          <w:szCs w:val="24"/>
        </w:rPr>
        <w:t>Improve Liquidity</w:t>
      </w:r>
      <w:r w:rsidRPr="006E3436">
        <w:rPr>
          <w:sz w:val="24"/>
          <w:szCs w:val="24"/>
        </w:rPr>
        <w:t xml:space="preserve">: With a current ratio below 1, it would bring out that Walmart has liquidity problems in the short term. The company should improve its current assets or decrease current liabilities. An increase might take place through better management of inventory, </w:t>
      </w:r>
      <w:r w:rsidRPr="006E3436">
        <w:rPr>
          <w:sz w:val="24"/>
          <w:szCs w:val="24"/>
        </w:rPr>
        <w:lastRenderedPageBreak/>
        <w:t>negotiation of longer terms of payment with suppliers, or refinancing short-term debt with long-term debt.</w:t>
      </w:r>
    </w:p>
    <w:p w14:paraId="297DD2BF" w14:textId="77777777" w:rsidR="00FE2B0D" w:rsidRPr="006E3436" w:rsidRDefault="00FE2B0D" w:rsidP="00FE2B0D">
      <w:pPr>
        <w:spacing w:line="276" w:lineRule="auto"/>
        <w:jc w:val="both"/>
        <w:rPr>
          <w:sz w:val="24"/>
          <w:szCs w:val="24"/>
        </w:rPr>
      </w:pPr>
      <w:r w:rsidRPr="005F6673">
        <w:rPr>
          <w:b/>
          <w:sz w:val="24"/>
          <w:szCs w:val="24"/>
        </w:rPr>
        <w:t>Optimize Debt Management</w:t>
      </w:r>
      <w:r w:rsidRPr="006E3436">
        <w:rPr>
          <w:sz w:val="24"/>
          <w:szCs w:val="24"/>
        </w:rPr>
        <w:t>: Even though the debt-to-equity ratio of Walmart stands at a reasonable level, the management has to take due care that the debt level is under a close check and always remains at a manageable level. In this circumstance, Walmart can undergo debt restructuring or refinancing to benefit from low interest rates or a change in borrowing terms.</w:t>
      </w:r>
    </w:p>
    <w:p w14:paraId="5B0AB357" w14:textId="77777777" w:rsidR="00FE2B0D" w:rsidRPr="006E3436" w:rsidRDefault="00FE2B0D" w:rsidP="00FE2B0D">
      <w:pPr>
        <w:spacing w:line="276" w:lineRule="auto"/>
        <w:jc w:val="both"/>
        <w:rPr>
          <w:sz w:val="24"/>
          <w:szCs w:val="24"/>
        </w:rPr>
      </w:pPr>
      <w:r w:rsidRPr="006E3436">
        <w:rPr>
          <w:sz w:val="24"/>
          <w:szCs w:val="24"/>
        </w:rPr>
        <w:t>That is, the firm has the responsibility to make sure that there is a healthy balance of its debt financing with equity financing, not to over-leverage.</w:t>
      </w:r>
    </w:p>
    <w:p w14:paraId="448EF529" w14:textId="77777777" w:rsidR="00FE2B0D" w:rsidRPr="006E3436" w:rsidRDefault="00FE2B0D" w:rsidP="00FE2B0D">
      <w:pPr>
        <w:spacing w:line="276" w:lineRule="auto"/>
        <w:jc w:val="both"/>
        <w:rPr>
          <w:sz w:val="24"/>
          <w:szCs w:val="24"/>
        </w:rPr>
      </w:pPr>
      <w:r w:rsidRPr="005F6673">
        <w:rPr>
          <w:b/>
          <w:sz w:val="24"/>
          <w:szCs w:val="24"/>
        </w:rPr>
        <w:t>Maximize Asset Utilization</w:t>
      </w:r>
      <w:r w:rsidRPr="006E3436">
        <w:rPr>
          <w:sz w:val="24"/>
          <w:szCs w:val="24"/>
        </w:rPr>
        <w:t>: The high ratio of asset turnover at Walmart indicates efficient use of assets. However, the company should continue looking at ways through which asset utilization can be further optimized. This may come from investments in technologies to enhance inventory management and/or re-engineering store layouts for improved customer flows—or even divestitures of underperforming assets.</w:t>
      </w:r>
    </w:p>
    <w:p w14:paraId="3B5FF698" w14:textId="77777777" w:rsidR="00FE2B0D" w:rsidRPr="006E3436" w:rsidRDefault="00FE2B0D" w:rsidP="00FE2B0D">
      <w:pPr>
        <w:spacing w:line="276" w:lineRule="auto"/>
        <w:jc w:val="both"/>
        <w:rPr>
          <w:sz w:val="24"/>
          <w:szCs w:val="24"/>
        </w:rPr>
      </w:pPr>
      <w:r w:rsidRPr="005F6673">
        <w:rPr>
          <w:b/>
          <w:sz w:val="24"/>
          <w:szCs w:val="24"/>
        </w:rPr>
        <w:t>Focus on Strategic Investments</w:t>
      </w:r>
      <w:r w:rsidRPr="006E3436">
        <w:rPr>
          <w:sz w:val="24"/>
          <w:szCs w:val="24"/>
        </w:rPr>
        <w:t>: Walmart should focus its investments and continue in areas moving in line with long-term growth objectives, which include e-commerce, technology, and sustainability initiatives. Such a scale may allow the company to weigh every investment's merits and assure them of making a profit with competitive advantages.</w:t>
      </w:r>
    </w:p>
    <w:p w14:paraId="6B83F0BE" w14:textId="77777777" w:rsidR="00FE2B0D" w:rsidRPr="006E3436" w:rsidRDefault="00FE2B0D" w:rsidP="00FE2B0D">
      <w:pPr>
        <w:spacing w:line="276" w:lineRule="auto"/>
        <w:jc w:val="both"/>
        <w:rPr>
          <w:sz w:val="24"/>
          <w:szCs w:val="24"/>
        </w:rPr>
      </w:pPr>
      <w:r w:rsidRPr="005F6673">
        <w:rPr>
          <w:b/>
          <w:sz w:val="24"/>
          <w:szCs w:val="24"/>
        </w:rPr>
        <w:t>Strengthen Financial Planning and Analysis</w:t>
      </w:r>
      <w:r w:rsidRPr="006E3436">
        <w:rPr>
          <w:sz w:val="24"/>
          <w:szCs w:val="24"/>
        </w:rPr>
        <w:t>: The Company should improve the quality of its financial planning and analytical capabilities in order to be able to forecast future financial performance better and even identify some of the risks that may be forthcoming. Use of advanced analytics tools and development of sophisticated financial models may be part of it. This will help in streamlining the financial management of Walmart and improving its overall financial performance for a better position towards success in the competitive industry of retail.</w:t>
      </w:r>
    </w:p>
    <w:p w14:paraId="3A7D6633" w14:textId="77777777" w:rsidR="004B22D2" w:rsidRDefault="004B22D2"/>
    <w:sectPr w:rsidR="004B22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83F00"/>
    <w:multiLevelType w:val="hybridMultilevel"/>
    <w:tmpl w:val="266A1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451193"/>
    <w:multiLevelType w:val="multilevel"/>
    <w:tmpl w:val="C7909CE0"/>
    <w:lvl w:ilvl="0">
      <w:start w:val="1"/>
      <w:numFmt w:val="decimal"/>
      <w:lvlText w:val="%1."/>
      <w:lvlJc w:val="left"/>
      <w:pPr>
        <w:ind w:left="360" w:hanging="360"/>
      </w:pPr>
      <w:rPr>
        <w:sz w:val="32"/>
      </w:rPr>
    </w:lvl>
    <w:lvl w:ilvl="1">
      <w:start w:val="1"/>
      <w:numFmt w:val="decimal"/>
      <w:lvlText w:val="%1.%2."/>
      <w:lvlJc w:val="left"/>
      <w:pPr>
        <w:ind w:left="792" w:hanging="432"/>
      </w:pPr>
      <w:rPr>
        <w:color w:val="000000" w:themeColor="text1"/>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6E21C12"/>
    <w:multiLevelType w:val="hybridMultilevel"/>
    <w:tmpl w:val="4358D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1C44C1"/>
    <w:multiLevelType w:val="hybridMultilevel"/>
    <w:tmpl w:val="D8AA7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6437B7"/>
    <w:multiLevelType w:val="hybridMultilevel"/>
    <w:tmpl w:val="399A3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7729478">
    <w:abstractNumId w:val="1"/>
  </w:num>
  <w:num w:numId="2" w16cid:durableId="1509061049">
    <w:abstractNumId w:val="3"/>
  </w:num>
  <w:num w:numId="3" w16cid:durableId="1189442458">
    <w:abstractNumId w:val="2"/>
  </w:num>
  <w:num w:numId="4" w16cid:durableId="1853760431">
    <w:abstractNumId w:val="4"/>
  </w:num>
  <w:num w:numId="5" w16cid:durableId="752438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3C4"/>
    <w:rsid w:val="004B22D2"/>
    <w:rsid w:val="00C513C4"/>
    <w:rsid w:val="00FE2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2FAE71-A372-417F-9488-2F0F4C9CC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B0D"/>
    <w:rPr>
      <w:lang w:val="en-US"/>
    </w:rPr>
  </w:style>
  <w:style w:type="paragraph" w:styleId="Heading1">
    <w:name w:val="heading 1"/>
    <w:basedOn w:val="Normal"/>
    <w:next w:val="Normal"/>
    <w:link w:val="Heading1Char"/>
    <w:uiPriority w:val="9"/>
    <w:qFormat/>
    <w:rsid w:val="00FE2B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2B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B0D"/>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FE2B0D"/>
    <w:rPr>
      <w:rFonts w:asciiTheme="majorHAnsi" w:eastAsiaTheme="majorEastAsia" w:hAnsiTheme="majorHAnsi" w:cstheme="majorBidi"/>
      <w:color w:val="2F5496" w:themeColor="accent1" w:themeShade="BF"/>
      <w:sz w:val="26"/>
      <w:szCs w:val="26"/>
      <w:lang w:val="en-US"/>
    </w:rPr>
  </w:style>
  <w:style w:type="table" w:styleId="GridTable4-Accent6">
    <w:name w:val="Grid Table 4 Accent 6"/>
    <w:basedOn w:val="TableNormal"/>
    <w:uiPriority w:val="49"/>
    <w:rsid w:val="00FE2B0D"/>
    <w:pPr>
      <w:spacing w:after="0" w:line="240" w:lineRule="auto"/>
    </w:pPr>
    <w:rPr>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FE2B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2419</Words>
  <Characters>13791</Characters>
  <Application>Microsoft Office Word</Application>
  <DocSecurity>0</DocSecurity>
  <Lines>114</Lines>
  <Paragraphs>32</Paragraphs>
  <ScaleCrop>false</ScaleCrop>
  <Company/>
  <LinksUpToDate>false</LinksUpToDate>
  <CharactersWithSpaces>16178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Maria Hanes (2324431)</dc:creator>
  <cp:keywords/>
  <dc:description/>
  <cp:lastModifiedBy>Alina Maria Hanes (2324431)</cp:lastModifiedBy>
  <cp:revision>2</cp:revision>
  <dcterms:created xsi:type="dcterms:W3CDTF">2024-04-10T13:57:00Z</dcterms:created>
  <dcterms:modified xsi:type="dcterms:W3CDTF">2024-04-10T13:58:00Z</dcterms:modified>
</cp:coreProperties>
</file>