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63AD05" w14:textId="77777777" w:rsidR="00051BDE" w:rsidRPr="00051BDE" w:rsidRDefault="00051BDE" w:rsidP="00051BDE">
      <w:pPr>
        <w:rPr>
          <w:b/>
          <w:bCs/>
        </w:rPr>
      </w:pPr>
      <w:r w:rsidRPr="00051BDE">
        <w:rPr>
          <w:b/>
          <w:bCs/>
        </w:rPr>
        <w:t>Financial Ratio &amp; Industry Benchmark Comparison: Scandic Hotels Group (2021–2025)</w:t>
      </w:r>
    </w:p>
    <w:p w14:paraId="0DF193C7" w14:textId="77777777" w:rsidR="00051BDE" w:rsidRPr="00051BDE" w:rsidRDefault="00051BDE" w:rsidP="00051BDE">
      <w:pPr>
        <w:rPr>
          <w:b/>
          <w:bCs/>
        </w:rPr>
      </w:pPr>
      <w:r w:rsidRPr="00051BDE">
        <w:rPr>
          <w:b/>
          <w:bCs/>
        </w:rPr>
        <w:t>1. Executive Summary</w:t>
      </w:r>
    </w:p>
    <w:p w14:paraId="07BEEF8B" w14:textId="77777777" w:rsidR="00051BDE" w:rsidRPr="00051BDE" w:rsidRDefault="00051BDE" w:rsidP="00051BDE">
      <w:r w:rsidRPr="00051BDE">
        <w:t>Over the past five years, Scandic Hotels Group has demonstrated a remarkable financial recovery and stabilization following the severe disruptions of the COVID-19 pandemic. From a net loss of SEK -1,679 million in 2021, the company has consistently generated positive net profits, reaching SEK 624 million in 2025. Scandic has successfully rebuilt its top-line growth, with net sales stabilizing above SEK 22 billion. Crucially, the company has achieved an exceptionally strong balance sheet, with a Net Debt-to-EBITDA ratio of 0.0x in 2025, providing immense strategic flexibility for future growth, notably the recent acquisition of Dalata Hotel Group’s operations in Ireland and the UK.</w:t>
      </w:r>
    </w:p>
    <w:p w14:paraId="42F86E74" w14:textId="77777777" w:rsidR="00051BDE" w:rsidRPr="00051BDE" w:rsidRDefault="00051BDE" w:rsidP="00051BDE">
      <w:pPr>
        <w:rPr>
          <w:b/>
          <w:bCs/>
        </w:rPr>
      </w:pPr>
      <w:r w:rsidRPr="00051BDE">
        <w:rPr>
          <w:b/>
          <w:bCs/>
        </w:rPr>
        <w:t>2. Profitability Analysis</w:t>
      </w:r>
    </w:p>
    <w:p w14:paraId="4FB23281" w14:textId="77777777" w:rsidR="00051BDE" w:rsidRPr="00051BDE" w:rsidRDefault="00051BDE" w:rsidP="00051BDE">
      <w:pPr>
        <w:numPr>
          <w:ilvl w:val="0"/>
          <w:numId w:val="1"/>
        </w:numPr>
      </w:pPr>
      <w:r w:rsidRPr="00051BDE">
        <w:rPr>
          <w:b/>
          <w:bCs/>
        </w:rPr>
        <w:t>Margins:</w:t>
      </w:r>
      <w:r w:rsidRPr="00051BDE">
        <w:t xml:space="preserve"> Scandic’s Adjusted EBITDA margin peaked at 13.2% in 2022 during the initial post-pandemic rebound and has since normalized to 10.9% in 2025. While this is slightly below the company’s internal target of 11.0% and the Nordic industry average of 11–14%, it reflects deliberate investments in digitalization, the "Scandic Go" economy brand expansion, and temporary inflationary pressures on labor and energy.</w:t>
      </w:r>
    </w:p>
    <w:p w14:paraId="02485AF4" w14:textId="77777777" w:rsidR="00051BDE" w:rsidRPr="00051BDE" w:rsidRDefault="00051BDE" w:rsidP="00051BDE">
      <w:pPr>
        <w:numPr>
          <w:ilvl w:val="0"/>
          <w:numId w:val="1"/>
        </w:numPr>
      </w:pPr>
      <w:r w:rsidRPr="00051BDE">
        <w:rPr>
          <w:b/>
          <w:bCs/>
        </w:rPr>
        <w:t>Returns:</w:t>
      </w:r>
      <w:r w:rsidRPr="00051BDE">
        <w:t xml:space="preserve"> Return on Equity (ROE) remains highly robust at 21.0% in 2025, significantly outperforming the typical Nordic hotel industry benchmark of 12–18%. This indicates that management is highly effective at generating profit from shareholder equity. Return on Assets (ROA) is stable at 1.2%, which is healthy for a capital-intensive industry with high right-of-use assets (IFRS 16).</w:t>
      </w:r>
    </w:p>
    <w:p w14:paraId="2CD5FF2F" w14:textId="77777777" w:rsidR="00051BDE" w:rsidRPr="00051BDE" w:rsidRDefault="00051BDE" w:rsidP="00051BDE">
      <w:pPr>
        <w:rPr>
          <w:b/>
          <w:bCs/>
        </w:rPr>
      </w:pPr>
      <w:r w:rsidRPr="00051BDE">
        <w:rPr>
          <w:b/>
          <w:bCs/>
        </w:rPr>
        <w:t>3. Liquidity and Solvency</w:t>
      </w:r>
    </w:p>
    <w:p w14:paraId="28AB7EED" w14:textId="77777777" w:rsidR="00051BDE" w:rsidRPr="00051BDE" w:rsidRDefault="00051BDE" w:rsidP="00051BDE">
      <w:pPr>
        <w:numPr>
          <w:ilvl w:val="0"/>
          <w:numId w:val="2"/>
        </w:numPr>
      </w:pPr>
      <w:r w:rsidRPr="00051BDE">
        <w:rPr>
          <w:b/>
          <w:bCs/>
        </w:rPr>
        <w:t>Liquidity:</w:t>
      </w:r>
      <w:r w:rsidRPr="00051BDE">
        <w:t xml:space="preserve"> Scandic maintains a Current Ratio of ~0.32x. While this appears low by traditional manufacturing standards, it is a structural strength in the hotel industry. It reflects negative working capital, driven by advance customer bookings (contract liabilities) and favorable payment terms with suppliers, meaning the business is self-funding its daily operations.</w:t>
      </w:r>
    </w:p>
    <w:p w14:paraId="47170076" w14:textId="77777777" w:rsidR="005150A8" w:rsidRDefault="00051BDE" w:rsidP="00051BDE">
      <w:pPr>
        <w:numPr>
          <w:ilvl w:val="0"/>
          <w:numId w:val="2"/>
        </w:numPr>
      </w:pPr>
      <w:r w:rsidRPr="00051BDE">
        <w:rPr>
          <w:b/>
          <w:bCs/>
        </w:rPr>
        <w:t>Solvency:</w:t>
      </w:r>
      <w:r w:rsidRPr="00051BDE">
        <w:t xml:space="preserve"> Scandic’s leverage is exceptionally low. The Net Debt-to-Adjusted EBITDA ratio dropped from 0.6x in 2022/2023 to 0.0x (SEK 35 million net debt) in 2025. This is vastly </w:t>
      </w:r>
      <w:r w:rsidR="005150A8">
        <w:t>.</w:t>
      </w:r>
    </w:p>
    <w:p w14:paraId="56311433" w14:textId="407AEE5B" w:rsidR="00051BDE" w:rsidRPr="00051BDE" w:rsidRDefault="00051BDE" w:rsidP="00051BDE">
      <w:pPr>
        <w:numPr>
          <w:ilvl w:val="0"/>
          <w:numId w:val="2"/>
        </w:numPr>
      </w:pPr>
      <w:r w:rsidRPr="00051BDE">
        <w:t>SEK 3.1 billion in available credit facilities, de-risks the company against macroeconomic shocks and funds the ongoing Dalata integration without requiring expensive new equity or debt issuance.</w:t>
      </w:r>
    </w:p>
    <w:p w14:paraId="33E0DB05" w14:textId="77777777" w:rsidR="00051BDE" w:rsidRPr="00051BDE" w:rsidRDefault="00051BDE" w:rsidP="00051BDE">
      <w:pPr>
        <w:rPr>
          <w:b/>
          <w:bCs/>
        </w:rPr>
      </w:pPr>
      <w:r w:rsidRPr="00051BDE">
        <w:rPr>
          <w:b/>
          <w:bCs/>
        </w:rPr>
        <w:t>4. Operational Efficiency (Hotel-Specific Metrics)</w:t>
      </w:r>
    </w:p>
    <w:p w14:paraId="543F1745" w14:textId="77777777" w:rsidR="00051BDE" w:rsidRPr="00051BDE" w:rsidRDefault="00051BDE" w:rsidP="00051BDE">
      <w:r w:rsidRPr="00051BDE">
        <w:t>Scandic’s core operational metrics show a steady, healthy upward trajectory, outperforming or matching industry peers:</w:t>
      </w:r>
    </w:p>
    <w:p w14:paraId="136CA4B6" w14:textId="77777777" w:rsidR="00051BDE" w:rsidRPr="00051BDE" w:rsidRDefault="00051BDE" w:rsidP="00051BDE">
      <w:pPr>
        <w:numPr>
          <w:ilvl w:val="0"/>
          <w:numId w:val="3"/>
        </w:numPr>
      </w:pPr>
      <w:r w:rsidRPr="00051BDE">
        <w:rPr>
          <w:b/>
          <w:bCs/>
        </w:rPr>
        <w:t>Occupancy (OCC):</w:t>
      </w:r>
      <w:r w:rsidRPr="00051BDE">
        <w:t xml:space="preserve"> Recovered from a pandemic low of 38.0% in 2021 to a robust 64.1% in 2025, aligning perfectly with the Nordic market average of 62–66%.</w:t>
      </w:r>
    </w:p>
    <w:p w14:paraId="49F78A25" w14:textId="77777777" w:rsidR="00051BDE" w:rsidRPr="00051BDE" w:rsidRDefault="00051BDE" w:rsidP="00051BDE">
      <w:pPr>
        <w:numPr>
          <w:ilvl w:val="0"/>
          <w:numId w:val="3"/>
        </w:numPr>
      </w:pPr>
      <w:r w:rsidRPr="00051BDE">
        <w:rPr>
          <w:b/>
          <w:bCs/>
        </w:rPr>
        <w:t>Average Room Rate (ARR):</w:t>
      </w:r>
      <w:r w:rsidRPr="00051BDE">
        <w:t xml:space="preserve"> Stabilized around SEK 1,274 in 2025. While slightly lower than the 2024 peak (SEK 1,294), it remains well within the premium mid-market range, demonstrating pricing power despite a weak macroeconomic environment in Finland and Germany.</w:t>
      </w:r>
    </w:p>
    <w:p w14:paraId="387B97D7" w14:textId="77777777" w:rsidR="00051BDE" w:rsidRPr="00051BDE" w:rsidRDefault="00051BDE" w:rsidP="00051BDE">
      <w:pPr>
        <w:numPr>
          <w:ilvl w:val="0"/>
          <w:numId w:val="3"/>
        </w:numPr>
      </w:pPr>
      <w:r w:rsidRPr="00051BDE">
        <w:rPr>
          <w:b/>
          <w:bCs/>
        </w:rPr>
        <w:lastRenderedPageBreak/>
        <w:t>RevPAR:</w:t>
      </w:r>
      <w:r w:rsidRPr="00051BDE">
        <w:t xml:space="preserve"> Grew consistently from SEK 364 in 2021 to SEK 816 in 2025. This 124% growth over four years highlights Scandic’s success in optimizing the mix of leisure and returning business travel, outperforming the general Nordic RevPAR benchmark of SEK 750–850.</w:t>
      </w:r>
    </w:p>
    <w:p w14:paraId="787CEA3E" w14:textId="77777777" w:rsidR="00051BDE" w:rsidRPr="00051BDE" w:rsidRDefault="00051BDE" w:rsidP="00051BDE">
      <w:pPr>
        <w:rPr>
          <w:b/>
          <w:bCs/>
        </w:rPr>
      </w:pPr>
      <w:r w:rsidRPr="00051BDE">
        <w:rPr>
          <w:b/>
          <w:bCs/>
        </w:rPr>
        <w:t>5. Industry Benchmark Comparison Summary</w:t>
      </w:r>
    </w:p>
    <w:tbl>
      <w:tblPr>
        <w:tblW w:w="0" w:type="auto"/>
        <w:tblCellSpacing w:w="15" w:type="dxa"/>
        <w:tblBorders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7"/>
        <w:gridCol w:w="1892"/>
        <w:gridCol w:w="1947"/>
        <w:gridCol w:w="3744"/>
      </w:tblGrid>
      <w:tr w:rsidR="00051BDE" w:rsidRPr="00051BDE" w14:paraId="6BFEAAD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E1E3EA"/>
              <w:right w:val="single" w:sz="2" w:space="0" w:color="E3E3E3"/>
            </w:tcBorders>
            <w:shd w:val="clear" w:color="auto" w:fill="F7F8FC"/>
            <w:vAlign w:val="center"/>
            <w:hideMark/>
          </w:tcPr>
          <w:p w14:paraId="6B33563D" w14:textId="77777777" w:rsidR="00051BDE" w:rsidRPr="00051BDE" w:rsidRDefault="00051BDE" w:rsidP="00051BDE">
            <w:pPr>
              <w:rPr>
                <w:b/>
                <w:bCs/>
              </w:rPr>
            </w:pPr>
            <w:r w:rsidRPr="00051BDE">
              <w:rPr>
                <w:b/>
                <w:bCs/>
              </w:rPr>
              <w:t>Metric Category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E1E3EA"/>
              <w:right w:val="single" w:sz="2" w:space="0" w:color="E3E3E3"/>
            </w:tcBorders>
            <w:shd w:val="clear" w:color="auto" w:fill="F7F8FC"/>
            <w:vAlign w:val="center"/>
            <w:hideMark/>
          </w:tcPr>
          <w:p w14:paraId="2B805CF8" w14:textId="77777777" w:rsidR="00051BDE" w:rsidRPr="00051BDE" w:rsidRDefault="00051BDE" w:rsidP="00051BDE">
            <w:pPr>
              <w:rPr>
                <w:b/>
                <w:bCs/>
              </w:rPr>
            </w:pPr>
            <w:r w:rsidRPr="00051BDE">
              <w:rPr>
                <w:b/>
                <w:bCs/>
              </w:rPr>
              <w:t>Scandic (2025)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E1E3EA"/>
              <w:right w:val="single" w:sz="2" w:space="0" w:color="E3E3E3"/>
            </w:tcBorders>
            <w:shd w:val="clear" w:color="auto" w:fill="F7F8FC"/>
            <w:vAlign w:val="center"/>
            <w:hideMark/>
          </w:tcPr>
          <w:p w14:paraId="767B64D7" w14:textId="77777777" w:rsidR="00051BDE" w:rsidRPr="00051BDE" w:rsidRDefault="00051BDE" w:rsidP="00051BDE">
            <w:pPr>
              <w:rPr>
                <w:b/>
                <w:bCs/>
              </w:rPr>
            </w:pPr>
            <w:r w:rsidRPr="00051BDE">
              <w:rPr>
                <w:b/>
                <w:bCs/>
              </w:rPr>
              <w:t>Industry Benchmark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E1E3EA"/>
              <w:right w:val="single" w:sz="2" w:space="0" w:color="E3E3E3"/>
            </w:tcBorders>
            <w:shd w:val="clear" w:color="auto" w:fill="F7F8FC"/>
            <w:vAlign w:val="center"/>
            <w:hideMark/>
          </w:tcPr>
          <w:p w14:paraId="76D888A2" w14:textId="77777777" w:rsidR="00051BDE" w:rsidRPr="00051BDE" w:rsidRDefault="00051BDE" w:rsidP="00051BDE">
            <w:pPr>
              <w:rPr>
                <w:b/>
                <w:bCs/>
              </w:rPr>
            </w:pPr>
            <w:r w:rsidRPr="00051BDE">
              <w:rPr>
                <w:b/>
                <w:bCs/>
              </w:rPr>
              <w:t>Assessment</w:t>
            </w:r>
          </w:p>
        </w:tc>
      </w:tr>
      <w:tr w:rsidR="00051BDE" w:rsidRPr="00051BDE" w14:paraId="1DC4D1C7" w14:textId="77777777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E1E3EA"/>
              <w:right w:val="single" w:sz="2" w:space="0" w:color="E3E3E3"/>
            </w:tcBorders>
            <w:vAlign w:val="center"/>
            <w:hideMark/>
          </w:tcPr>
          <w:p w14:paraId="23ED8514" w14:textId="77777777" w:rsidR="00051BDE" w:rsidRPr="00051BDE" w:rsidRDefault="00051BDE" w:rsidP="00051BDE">
            <w:r w:rsidRPr="00051BDE">
              <w:rPr>
                <w:b/>
                <w:bCs/>
              </w:rPr>
              <w:t>Profitability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E1E3EA"/>
              <w:right w:val="single" w:sz="2" w:space="0" w:color="E3E3E3"/>
            </w:tcBorders>
            <w:vAlign w:val="center"/>
            <w:hideMark/>
          </w:tcPr>
          <w:p w14:paraId="6A170AEF" w14:textId="77777777" w:rsidR="00051BDE" w:rsidRPr="00051BDE" w:rsidRDefault="00051BDE" w:rsidP="00051BDE">
            <w:r w:rsidRPr="00051BDE">
              <w:t>10.9% EBITDA Margin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E1E3EA"/>
              <w:right w:val="single" w:sz="2" w:space="0" w:color="E3E3E3"/>
            </w:tcBorders>
            <w:vAlign w:val="center"/>
            <w:hideMark/>
          </w:tcPr>
          <w:p w14:paraId="110B5548" w14:textId="77777777" w:rsidR="00051BDE" w:rsidRPr="00051BDE" w:rsidRDefault="00051BDE" w:rsidP="00051BDE">
            <w:r w:rsidRPr="00051BDE">
              <w:t>11.0% – 14.0%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E1E3EA"/>
              <w:right w:val="single" w:sz="2" w:space="0" w:color="E3E3E3"/>
            </w:tcBorders>
            <w:vAlign w:val="center"/>
            <w:hideMark/>
          </w:tcPr>
          <w:p w14:paraId="7AD3788E" w14:textId="77777777" w:rsidR="00051BDE" w:rsidRPr="00051BDE" w:rsidRDefault="00051BDE" w:rsidP="00051BDE">
            <w:r w:rsidRPr="00051BDE">
              <w:t>Competitive, slight short-term pressure from investments.</w:t>
            </w:r>
          </w:p>
        </w:tc>
      </w:tr>
      <w:tr w:rsidR="00051BDE" w:rsidRPr="00051BDE" w14:paraId="03937B62" w14:textId="77777777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E1E3EA"/>
              <w:right w:val="single" w:sz="2" w:space="0" w:color="E3E3E3"/>
            </w:tcBorders>
            <w:vAlign w:val="center"/>
            <w:hideMark/>
          </w:tcPr>
          <w:p w14:paraId="22B0923E" w14:textId="77777777" w:rsidR="00051BDE" w:rsidRPr="00051BDE" w:rsidRDefault="00051BDE" w:rsidP="00051BDE">
            <w:r w:rsidRPr="00051BDE">
              <w:rPr>
                <w:b/>
                <w:bCs/>
              </w:rPr>
              <w:t>Leverage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E1E3EA"/>
              <w:right w:val="single" w:sz="2" w:space="0" w:color="E3E3E3"/>
            </w:tcBorders>
            <w:vAlign w:val="center"/>
            <w:hideMark/>
          </w:tcPr>
          <w:p w14:paraId="6AE70AEB" w14:textId="77777777" w:rsidR="00051BDE" w:rsidRPr="00051BDE" w:rsidRDefault="00051BDE" w:rsidP="00051BDE">
            <w:r w:rsidRPr="00051BDE">
              <w:t>0.0x Net Debt / EBITDA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E1E3EA"/>
              <w:right w:val="single" w:sz="2" w:space="0" w:color="E3E3E3"/>
            </w:tcBorders>
            <w:vAlign w:val="center"/>
            <w:hideMark/>
          </w:tcPr>
          <w:p w14:paraId="3C9AD4A1" w14:textId="77777777" w:rsidR="00051BDE" w:rsidRPr="00051BDE" w:rsidRDefault="00051BDE" w:rsidP="00051BDE">
            <w:r w:rsidRPr="00051BDE">
              <w:t>2.0x – 3.0x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E1E3EA"/>
              <w:right w:val="single" w:sz="2" w:space="0" w:color="E3E3E3"/>
            </w:tcBorders>
            <w:vAlign w:val="center"/>
            <w:hideMark/>
          </w:tcPr>
          <w:p w14:paraId="1ADBF6B0" w14:textId="77777777" w:rsidR="00051BDE" w:rsidRPr="00051BDE" w:rsidRDefault="00051BDE" w:rsidP="00051BDE">
            <w:r w:rsidRPr="00051BDE">
              <w:rPr>
                <w:b/>
                <w:bCs/>
              </w:rPr>
              <w:t>Market Leader.</w:t>
            </w:r>
            <w:r w:rsidRPr="00051BDE">
              <w:t xml:space="preserve"> Provides massive M&amp;A capacity.</w:t>
            </w:r>
          </w:p>
        </w:tc>
      </w:tr>
      <w:tr w:rsidR="00051BDE" w:rsidRPr="00051BDE" w14:paraId="11556E91" w14:textId="77777777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E1E3EA"/>
              <w:right w:val="single" w:sz="2" w:space="0" w:color="E3E3E3"/>
            </w:tcBorders>
            <w:vAlign w:val="center"/>
            <w:hideMark/>
          </w:tcPr>
          <w:p w14:paraId="4BF10FFB" w14:textId="77777777" w:rsidR="00051BDE" w:rsidRPr="00051BDE" w:rsidRDefault="00051BDE" w:rsidP="00051BDE">
            <w:r w:rsidRPr="00051BDE">
              <w:rPr>
                <w:b/>
                <w:bCs/>
              </w:rPr>
              <w:t>Operations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E1E3EA"/>
              <w:right w:val="single" w:sz="2" w:space="0" w:color="E3E3E3"/>
            </w:tcBorders>
            <w:vAlign w:val="center"/>
            <w:hideMark/>
          </w:tcPr>
          <w:p w14:paraId="79FEDE8E" w14:textId="77777777" w:rsidR="00051BDE" w:rsidRPr="00051BDE" w:rsidRDefault="00051BDE" w:rsidP="00051BDE">
            <w:r w:rsidRPr="00051BDE">
              <w:t>64.1% Occupancy / 816 SEK RevPAR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E1E3EA"/>
              <w:right w:val="single" w:sz="2" w:space="0" w:color="E3E3E3"/>
            </w:tcBorders>
            <w:vAlign w:val="center"/>
            <w:hideMark/>
          </w:tcPr>
          <w:p w14:paraId="41ACEDA3" w14:textId="77777777" w:rsidR="00051BDE" w:rsidRPr="00051BDE" w:rsidRDefault="00051BDE" w:rsidP="00051BDE">
            <w:r w:rsidRPr="00051BDE">
              <w:t>~64% Occupancy / ~800 SEK RevPAR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E1E3EA"/>
              <w:right w:val="single" w:sz="2" w:space="0" w:color="E3E3E3"/>
            </w:tcBorders>
            <w:vAlign w:val="center"/>
            <w:hideMark/>
          </w:tcPr>
          <w:p w14:paraId="22257064" w14:textId="77777777" w:rsidR="00051BDE" w:rsidRPr="00051BDE" w:rsidRDefault="00051BDE" w:rsidP="00051BDE">
            <w:r w:rsidRPr="00051BDE">
              <w:rPr>
                <w:b/>
                <w:bCs/>
              </w:rPr>
              <w:t>In Line / Slightly Above.</w:t>
            </w:r>
            <w:r w:rsidRPr="00051BDE">
              <w:t xml:space="preserve"> Strong brand loyalty (Scandic Friends = 38% of room nights).</w:t>
            </w:r>
          </w:p>
        </w:tc>
      </w:tr>
      <w:tr w:rsidR="00051BDE" w:rsidRPr="00051BDE" w14:paraId="3E766B49" w14:textId="77777777">
        <w:trPr>
          <w:tblCellSpacing w:w="15" w:type="dxa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157F7A09" w14:textId="77777777" w:rsidR="00051BDE" w:rsidRPr="00051BDE" w:rsidRDefault="00051BDE" w:rsidP="00051BDE">
            <w:r w:rsidRPr="00051BDE">
              <w:rPr>
                <w:b/>
                <w:bCs/>
              </w:rPr>
              <w:t>Shareholder Return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56795813" w14:textId="77777777" w:rsidR="00051BDE" w:rsidRPr="00051BDE" w:rsidRDefault="00051BDE" w:rsidP="00051BDE">
            <w:r w:rsidRPr="00051BDE">
              <w:t>53% Dividend Payout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0834C293" w14:textId="77777777" w:rsidR="00051BDE" w:rsidRPr="00051BDE" w:rsidRDefault="00051BDE" w:rsidP="00051BDE">
            <w:r w:rsidRPr="00051BDE">
              <w:t>≥ 50% (Scandic Target)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6B192391" w14:textId="77777777" w:rsidR="00051BDE" w:rsidRPr="00051BDE" w:rsidRDefault="00051BDE" w:rsidP="00051BDE">
            <w:r w:rsidRPr="00051BDE">
              <w:rPr>
                <w:b/>
                <w:bCs/>
              </w:rPr>
              <w:t>On Target.</w:t>
            </w:r>
            <w:r w:rsidRPr="00051BDE">
              <w:t xml:space="preserve"> Reliable capital return policy reinstated.</w:t>
            </w:r>
          </w:p>
        </w:tc>
      </w:tr>
    </w:tbl>
    <w:p w14:paraId="5FFEA1DD" w14:textId="77777777" w:rsidR="00051BDE" w:rsidRPr="00051BDE" w:rsidRDefault="00051BDE" w:rsidP="00051BDE">
      <w:pPr>
        <w:rPr>
          <w:b/>
          <w:bCs/>
        </w:rPr>
      </w:pPr>
      <w:r w:rsidRPr="00051BDE">
        <w:rPr>
          <w:b/>
          <w:bCs/>
        </w:rPr>
        <w:t>6. Strategic Outlook &amp; Recommendations</w:t>
      </w:r>
    </w:p>
    <w:p w14:paraId="46948D07" w14:textId="77777777" w:rsidR="00051BDE" w:rsidRPr="00051BDE" w:rsidRDefault="00051BDE" w:rsidP="00051BDE">
      <w:pPr>
        <w:numPr>
          <w:ilvl w:val="0"/>
          <w:numId w:val="4"/>
        </w:numPr>
      </w:pPr>
      <w:r w:rsidRPr="00051BDE">
        <w:rPr>
          <w:b/>
          <w:bCs/>
        </w:rPr>
        <w:t>Margin Expansion:</w:t>
      </w:r>
      <w:r w:rsidRPr="00051BDE">
        <w:t xml:space="preserve"> To bridge the slight gap between the 10.9% actual EBITDA margin and the 11.0%+ target, Scandic should lean heavily into its newly implemented </w:t>
      </w:r>
      <w:r w:rsidRPr="00051BDE">
        <w:rPr>
          <w:i/>
          <w:iCs/>
        </w:rPr>
        <w:t>Quinyx</w:t>
      </w:r>
      <w:r w:rsidRPr="00051BDE">
        <w:t xml:space="preserve"> staff planning system and </w:t>
      </w:r>
      <w:r w:rsidRPr="00051BDE">
        <w:rPr>
          <w:i/>
          <w:iCs/>
        </w:rPr>
        <w:t>Oracle Opera Cloud</w:t>
      </w:r>
      <w:r w:rsidRPr="00051BDE">
        <w:t xml:space="preserve"> to drive labor cost efficiencies without degrading the guest experience.</w:t>
      </w:r>
    </w:p>
    <w:p w14:paraId="4BF3150B" w14:textId="77777777" w:rsidR="00051BDE" w:rsidRPr="00051BDE" w:rsidRDefault="00051BDE" w:rsidP="00051BDE">
      <w:pPr>
        <w:numPr>
          <w:ilvl w:val="0"/>
          <w:numId w:val="4"/>
        </w:numPr>
      </w:pPr>
      <w:r w:rsidRPr="00051BDE">
        <w:rPr>
          <w:b/>
          <w:bCs/>
        </w:rPr>
        <w:t>Portfolio Optimization:</w:t>
      </w:r>
      <w:r w:rsidRPr="00051BDE">
        <w:t xml:space="preserve"> The continued rollout of the "Scandic Go" brand (targeting the high-growth economy segment) and the integration of the Dalata portfolio (Ireland/UK) will diversify revenue streams away from the currently sluggish Finnish and German markets.</w:t>
      </w:r>
    </w:p>
    <w:p w14:paraId="477B161F" w14:textId="77777777" w:rsidR="00051BDE" w:rsidRPr="00051BDE" w:rsidRDefault="00051BDE" w:rsidP="00051BDE">
      <w:pPr>
        <w:numPr>
          <w:ilvl w:val="0"/>
          <w:numId w:val="4"/>
        </w:numPr>
      </w:pPr>
      <w:r w:rsidRPr="00051BDE">
        <w:rPr>
          <w:b/>
          <w:bCs/>
        </w:rPr>
        <w:t>Sustainability as a Financial Driver:</w:t>
      </w:r>
      <w:r w:rsidRPr="00051BDE">
        <w:t xml:space="preserve"> Scandic’s SBTi-validated net-zero targets and 96% Nordic Swan Ecolabel certification are not just PR; they are becoming mandatory criteria for winning lucrative B2B corporate travel contracts in the Nordics, directly protecting future top-line revenue.</w:t>
      </w:r>
    </w:p>
    <w:p w14:paraId="62EDA9F9" w14:textId="77777777" w:rsidR="000A0118" w:rsidRDefault="000A0118"/>
    <w:sectPr w:rsidR="000A01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F54FA7"/>
    <w:multiLevelType w:val="multilevel"/>
    <w:tmpl w:val="0DD62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65137F"/>
    <w:multiLevelType w:val="multilevel"/>
    <w:tmpl w:val="5D367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246112D"/>
    <w:multiLevelType w:val="multilevel"/>
    <w:tmpl w:val="49222A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E461B7D"/>
    <w:multiLevelType w:val="multilevel"/>
    <w:tmpl w:val="63BED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15432736">
    <w:abstractNumId w:val="1"/>
  </w:num>
  <w:num w:numId="2" w16cid:durableId="902104797">
    <w:abstractNumId w:val="0"/>
  </w:num>
  <w:num w:numId="3" w16cid:durableId="1712538833">
    <w:abstractNumId w:val="3"/>
  </w:num>
  <w:num w:numId="4" w16cid:durableId="172251085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1BDE"/>
    <w:rsid w:val="00042F9B"/>
    <w:rsid w:val="00051BDE"/>
    <w:rsid w:val="000A0118"/>
    <w:rsid w:val="005150A8"/>
    <w:rsid w:val="00972D84"/>
    <w:rsid w:val="00F22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446280"/>
  <w15:chartTrackingRefBased/>
  <w15:docId w15:val="{979E87EF-018F-4E09-BA4A-1BCEB73C5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N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51BD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51BD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51BD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51BD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51BD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51BD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51BD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51BD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51BD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1BD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51BD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51BD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51BD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51BD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51BD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51BD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51BD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51BD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51BD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51B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51BD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51BD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51BD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51BD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51BD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51BD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51BD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51BD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51BD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701</Words>
  <Characters>3996</Characters>
  <Application>Microsoft Office Word</Application>
  <DocSecurity>0</DocSecurity>
  <Lines>33</Lines>
  <Paragraphs>9</Paragraphs>
  <ScaleCrop>false</ScaleCrop>
  <Company/>
  <LinksUpToDate>false</LinksUpToDate>
  <CharactersWithSpaces>4688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Vivek Patel</dc:creator>
  <cp:keywords/>
  <dc:description/>
  <cp:lastModifiedBy>Vivek Patel</cp:lastModifiedBy>
  <cp:revision>2</cp:revision>
  <dcterms:created xsi:type="dcterms:W3CDTF">2026-07-21T13:40:00Z</dcterms:created>
  <dcterms:modified xsi:type="dcterms:W3CDTF">2026-07-21T13:41:00Z</dcterms:modified>
</cp:coreProperties>
</file>