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28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15"/>
        <w:gridCol w:w="1430"/>
        <w:gridCol w:w="641"/>
        <w:gridCol w:w="1897"/>
      </w:tblGrid>
      <w:tr w:rsidR="00227E42" w:rsidRPr="00330917" w14:paraId="564B3B89" w14:textId="77777777" w:rsidTr="00B20F84">
        <w:trPr>
          <w:trHeight w:val="418"/>
          <w:jc w:val="center"/>
        </w:trPr>
        <w:tc>
          <w:tcPr>
            <w:tcW w:w="5315" w:type="dxa"/>
            <w:vMerge w:val="restart"/>
            <w:tcBorders>
              <w:top w:val="single" w:sz="4" w:space="0" w:color="auto"/>
              <w:left w:val="single" w:sz="4" w:space="0" w:color="auto"/>
              <w:right w:val="single" w:sz="4" w:space="0" w:color="auto"/>
            </w:tcBorders>
          </w:tcPr>
          <w:p w14:paraId="0466BC1E" w14:textId="77777777" w:rsidR="00227E42" w:rsidRPr="00330917" w:rsidRDefault="00227E42" w:rsidP="00B20F84">
            <w:pPr>
              <w:keepNext/>
              <w:spacing w:after="0" w:line="240" w:lineRule="auto"/>
              <w:jc w:val="center"/>
              <w:rPr>
                <w:rFonts w:eastAsia="Times New Roman" w:cs="Times New Roman"/>
                <w:b/>
                <w:sz w:val="32"/>
                <w:szCs w:val="32"/>
                <w:lang w:val="en-AU"/>
              </w:rPr>
            </w:pPr>
          </w:p>
          <w:p w14:paraId="744B717C" w14:textId="77777777" w:rsidR="00227E42" w:rsidRPr="00330917" w:rsidRDefault="00227E42" w:rsidP="00B20F84">
            <w:pPr>
              <w:keepNext/>
              <w:spacing w:after="0" w:line="240" w:lineRule="auto"/>
              <w:rPr>
                <w:rFonts w:eastAsia="Times New Roman" w:cs="Times New Roman"/>
                <w:b/>
                <w:sz w:val="28"/>
                <w:szCs w:val="28"/>
                <w:lang w:val="en-AU"/>
              </w:rPr>
            </w:pPr>
            <w:r w:rsidRPr="00C13098">
              <w:rPr>
                <w:noProof/>
                <w:lang w:eastAsia="en-GB"/>
              </w:rPr>
              <w:drawing>
                <wp:inline distT="0" distB="0" distL="0" distR="0" wp14:anchorId="58820415" wp14:editId="0EE38322">
                  <wp:extent cx="2965836" cy="1291786"/>
                  <wp:effectExtent l="0" t="0" r="6350" b="3810"/>
                  <wp:docPr id="1139160750"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sz w:val="32"/>
                <w:szCs w:val="32"/>
                <w:lang w:val="en-AU"/>
              </w:rPr>
              <w:br/>
            </w:r>
          </w:p>
          <w:p w14:paraId="0D4D90CB" w14:textId="77777777" w:rsidR="00227E42" w:rsidRPr="00330917" w:rsidRDefault="00227E42" w:rsidP="00B20F84">
            <w:pPr>
              <w:rPr>
                <w:rFonts w:eastAsia="Times New Roman" w:cs="Times New Roman"/>
                <w:b/>
                <w:sz w:val="32"/>
                <w:szCs w:val="32"/>
                <w:lang w:val="en-AU"/>
              </w:rPr>
            </w:pPr>
            <w:r w:rsidRPr="00E02867">
              <w:rPr>
                <w:b/>
                <w:sz w:val="28"/>
              </w:rPr>
              <w:t>Student Learning Log</w:t>
            </w:r>
          </w:p>
        </w:tc>
        <w:tc>
          <w:tcPr>
            <w:tcW w:w="1430" w:type="dxa"/>
            <w:tcBorders>
              <w:top w:val="single" w:sz="4" w:space="0" w:color="auto"/>
              <w:left w:val="single" w:sz="4" w:space="0" w:color="auto"/>
              <w:bottom w:val="nil"/>
              <w:right w:val="nil"/>
            </w:tcBorders>
            <w:vAlign w:val="center"/>
          </w:tcPr>
          <w:p w14:paraId="73B88134" w14:textId="77777777" w:rsidR="00227E42" w:rsidRPr="00330917" w:rsidRDefault="00227E42" w:rsidP="00B20F84">
            <w:pPr>
              <w:keepNext/>
              <w:spacing w:before="120" w:after="0" w:line="240" w:lineRule="auto"/>
              <w:rPr>
                <w:rFonts w:eastAsia="Times New Roman" w:cs="Times New Roman"/>
                <w:b/>
                <w:bCs/>
                <w:sz w:val="20"/>
                <w:szCs w:val="20"/>
                <w:lang w:val="en-AU"/>
              </w:rPr>
            </w:pPr>
            <w:r>
              <w:rPr>
                <w:rFonts w:eastAsia="Times New Roman" w:cs="Times New Roman"/>
                <w:b/>
                <w:bCs/>
                <w:sz w:val="20"/>
                <w:szCs w:val="20"/>
              </w:rPr>
              <w:t>S</w:t>
            </w:r>
            <w:r w:rsidRPr="00330917">
              <w:rPr>
                <w:rFonts w:eastAsia="Times New Roman" w:cs="Times New Roman"/>
                <w:b/>
                <w:bCs/>
                <w:sz w:val="20"/>
                <w:szCs w:val="20"/>
              </w:rPr>
              <w:t>tudent No:</w:t>
            </w:r>
          </w:p>
        </w:tc>
        <w:tc>
          <w:tcPr>
            <w:tcW w:w="2538" w:type="dxa"/>
            <w:gridSpan w:val="2"/>
            <w:tcBorders>
              <w:top w:val="single" w:sz="4" w:space="0" w:color="auto"/>
              <w:left w:val="nil"/>
              <w:bottom w:val="dashed" w:sz="4" w:space="0" w:color="auto"/>
              <w:right w:val="single" w:sz="4" w:space="0" w:color="auto"/>
            </w:tcBorders>
            <w:vAlign w:val="center"/>
          </w:tcPr>
          <w:p w14:paraId="08419058" w14:textId="77777777" w:rsidR="00227E42" w:rsidRPr="00330917" w:rsidRDefault="00227E42" w:rsidP="00B20F84">
            <w:pPr>
              <w:keepNext/>
              <w:spacing w:after="0" w:line="240" w:lineRule="auto"/>
              <w:jc w:val="center"/>
              <w:rPr>
                <w:rFonts w:eastAsia="Times New Roman" w:cs="Times New Roman"/>
                <w:b/>
                <w:sz w:val="20"/>
                <w:szCs w:val="20"/>
                <w:lang w:val="en-AU"/>
              </w:rPr>
            </w:pPr>
            <w:r>
              <w:rPr>
                <w:rFonts w:eastAsia="Times New Roman" w:cs="Times New Roman"/>
                <w:b/>
                <w:sz w:val="20"/>
                <w:szCs w:val="20"/>
                <w:lang w:val="en-AU"/>
              </w:rPr>
              <w:t>2240761</w:t>
            </w:r>
          </w:p>
        </w:tc>
      </w:tr>
      <w:tr w:rsidR="00227E42" w:rsidRPr="00330917" w14:paraId="6F628770" w14:textId="77777777" w:rsidTr="00B20F84">
        <w:trPr>
          <w:trHeight w:val="468"/>
          <w:jc w:val="center"/>
        </w:trPr>
        <w:tc>
          <w:tcPr>
            <w:tcW w:w="5315" w:type="dxa"/>
            <w:vMerge/>
            <w:tcBorders>
              <w:left w:val="single" w:sz="4" w:space="0" w:color="auto"/>
              <w:right w:val="single" w:sz="4" w:space="0" w:color="auto"/>
            </w:tcBorders>
          </w:tcPr>
          <w:p w14:paraId="1F37E01F" w14:textId="77777777" w:rsidR="00227E42" w:rsidRPr="00330917" w:rsidRDefault="00227E42" w:rsidP="00B20F84">
            <w:pPr>
              <w:keepNext/>
              <w:spacing w:after="0" w:line="240" w:lineRule="auto"/>
              <w:jc w:val="center"/>
              <w:rPr>
                <w:rFonts w:eastAsia="Times New Roman" w:cs="Times New Roman"/>
                <w:b/>
                <w:sz w:val="40"/>
                <w:szCs w:val="20"/>
                <w:lang w:val="en-AU"/>
              </w:rPr>
            </w:pPr>
          </w:p>
        </w:tc>
        <w:tc>
          <w:tcPr>
            <w:tcW w:w="1430" w:type="dxa"/>
            <w:tcBorders>
              <w:top w:val="nil"/>
              <w:left w:val="single" w:sz="4" w:space="0" w:color="auto"/>
              <w:bottom w:val="nil"/>
              <w:right w:val="nil"/>
            </w:tcBorders>
            <w:vAlign w:val="center"/>
          </w:tcPr>
          <w:p w14:paraId="3D9DC793" w14:textId="77777777" w:rsidR="00227E42" w:rsidRPr="00330917" w:rsidRDefault="00227E42" w:rsidP="00B20F84">
            <w:pPr>
              <w:keepNext/>
              <w:spacing w:after="0" w:line="240" w:lineRule="auto"/>
              <w:rPr>
                <w:rFonts w:eastAsia="Times New Roman" w:cs="Times New Roman"/>
                <w:sz w:val="20"/>
                <w:szCs w:val="20"/>
                <w:lang w:val="en-AU"/>
              </w:rPr>
            </w:pPr>
          </w:p>
          <w:p w14:paraId="68FE22B9" w14:textId="77777777" w:rsidR="00227E42" w:rsidRPr="00330917" w:rsidRDefault="00227E42" w:rsidP="00B20F84">
            <w:pPr>
              <w:keepNext/>
              <w:spacing w:after="0" w:line="240" w:lineRule="auto"/>
              <w:rPr>
                <w:rFonts w:eastAsia="Times New Roman" w:cs="Times New Roman"/>
                <w:sz w:val="20"/>
                <w:szCs w:val="20"/>
                <w:lang w:val="en-AU"/>
              </w:rPr>
            </w:pPr>
            <w:r w:rsidRPr="00330917">
              <w:rPr>
                <w:rFonts w:eastAsia="Times New Roman" w:cs="Times New Roman"/>
                <w:sz w:val="20"/>
                <w:szCs w:val="20"/>
                <w:lang w:val="en-AU"/>
              </w:rPr>
              <w:t>Module Title:</w:t>
            </w:r>
          </w:p>
        </w:tc>
        <w:tc>
          <w:tcPr>
            <w:tcW w:w="2538" w:type="dxa"/>
            <w:gridSpan w:val="2"/>
            <w:tcBorders>
              <w:top w:val="dashed" w:sz="4" w:space="0" w:color="auto"/>
              <w:left w:val="nil"/>
              <w:bottom w:val="dashed" w:sz="4" w:space="0" w:color="auto"/>
              <w:right w:val="single" w:sz="4" w:space="0" w:color="auto"/>
            </w:tcBorders>
            <w:vAlign w:val="center"/>
          </w:tcPr>
          <w:p w14:paraId="7887089E" w14:textId="6C09CD33" w:rsidR="00227E42" w:rsidRPr="00330917" w:rsidRDefault="00227E42" w:rsidP="00B20F84">
            <w:pPr>
              <w:keepNext/>
              <w:spacing w:after="0" w:line="240" w:lineRule="auto"/>
              <w:jc w:val="center"/>
              <w:rPr>
                <w:rFonts w:eastAsia="Times New Roman" w:cs="Times New Roman"/>
                <w:b/>
                <w:sz w:val="20"/>
                <w:szCs w:val="20"/>
                <w:lang w:val="en-AU"/>
              </w:rPr>
            </w:pPr>
            <w:r w:rsidRPr="00FC4C8A">
              <w:rPr>
                <w:rFonts w:eastAsia="Times New Roman" w:cs="Times New Roman"/>
                <w:b/>
                <w:sz w:val="20"/>
                <w:szCs w:val="20"/>
                <w:lang w:val="en-AU"/>
              </w:rPr>
              <w:t xml:space="preserve">Managing </w:t>
            </w:r>
            <w:r w:rsidR="00D127FA">
              <w:rPr>
                <w:rFonts w:eastAsia="Times New Roman" w:cs="Times New Roman"/>
                <w:b/>
                <w:sz w:val="20"/>
                <w:szCs w:val="20"/>
                <w:lang w:val="en-AU"/>
              </w:rPr>
              <w:t>Guest Service</w:t>
            </w:r>
            <w:r w:rsidRPr="00FC4C8A">
              <w:rPr>
                <w:rFonts w:eastAsia="Times New Roman" w:cs="Times New Roman"/>
                <w:b/>
                <w:sz w:val="20"/>
                <w:szCs w:val="20"/>
                <w:lang w:val="en-AU"/>
              </w:rPr>
              <w:t xml:space="preserve"> Operations</w:t>
            </w:r>
          </w:p>
        </w:tc>
      </w:tr>
      <w:tr w:rsidR="00227E42" w:rsidRPr="00330917" w14:paraId="3A6170FB" w14:textId="77777777" w:rsidTr="00B20F84">
        <w:trPr>
          <w:trHeight w:val="468"/>
          <w:jc w:val="center"/>
        </w:trPr>
        <w:tc>
          <w:tcPr>
            <w:tcW w:w="5315" w:type="dxa"/>
            <w:vMerge/>
            <w:tcBorders>
              <w:left w:val="single" w:sz="4" w:space="0" w:color="auto"/>
              <w:right w:val="single" w:sz="4" w:space="0" w:color="auto"/>
            </w:tcBorders>
          </w:tcPr>
          <w:p w14:paraId="31F2BF36" w14:textId="77777777" w:rsidR="00227E42" w:rsidRPr="00330917" w:rsidRDefault="00227E42" w:rsidP="00B20F84">
            <w:pPr>
              <w:keepNext/>
              <w:spacing w:after="0" w:line="240" w:lineRule="auto"/>
              <w:jc w:val="center"/>
              <w:rPr>
                <w:rFonts w:eastAsia="Times New Roman" w:cs="Times New Roman"/>
                <w:b/>
                <w:sz w:val="40"/>
                <w:szCs w:val="20"/>
                <w:lang w:val="en-AU"/>
              </w:rPr>
            </w:pPr>
          </w:p>
        </w:tc>
        <w:tc>
          <w:tcPr>
            <w:tcW w:w="1430" w:type="dxa"/>
            <w:tcBorders>
              <w:top w:val="nil"/>
              <w:left w:val="single" w:sz="4" w:space="0" w:color="auto"/>
              <w:bottom w:val="nil"/>
              <w:right w:val="nil"/>
            </w:tcBorders>
            <w:vAlign w:val="center"/>
          </w:tcPr>
          <w:p w14:paraId="489E4745" w14:textId="77777777" w:rsidR="00227E42" w:rsidRPr="00330917" w:rsidRDefault="00227E42" w:rsidP="00B20F84">
            <w:pPr>
              <w:keepNext/>
              <w:spacing w:after="0" w:line="240" w:lineRule="auto"/>
              <w:rPr>
                <w:rFonts w:eastAsia="Times New Roman" w:cs="Times New Roman"/>
                <w:sz w:val="20"/>
                <w:szCs w:val="20"/>
                <w:lang w:val="en-AU"/>
              </w:rPr>
            </w:pPr>
            <w:r w:rsidRPr="00330917">
              <w:rPr>
                <w:rFonts w:eastAsia="Times New Roman" w:cs="Times New Roman"/>
                <w:sz w:val="20"/>
                <w:szCs w:val="20"/>
                <w:lang w:val="en-AU"/>
              </w:rPr>
              <w:t>Module</w:t>
            </w:r>
            <w:r>
              <w:rPr>
                <w:rFonts w:eastAsia="Times New Roman" w:cs="Times New Roman"/>
                <w:sz w:val="20"/>
                <w:szCs w:val="20"/>
                <w:lang w:val="en-AU"/>
              </w:rPr>
              <w:t xml:space="preserve"> Code:</w:t>
            </w:r>
          </w:p>
        </w:tc>
        <w:tc>
          <w:tcPr>
            <w:tcW w:w="2538" w:type="dxa"/>
            <w:gridSpan w:val="2"/>
            <w:tcBorders>
              <w:top w:val="dashed" w:sz="4" w:space="0" w:color="auto"/>
              <w:left w:val="nil"/>
              <w:bottom w:val="dashed" w:sz="4" w:space="0" w:color="auto"/>
              <w:right w:val="single" w:sz="4" w:space="0" w:color="auto"/>
            </w:tcBorders>
            <w:vAlign w:val="center"/>
          </w:tcPr>
          <w:p w14:paraId="7B20F4EF" w14:textId="12DE1FAD" w:rsidR="00227E42" w:rsidRPr="00330917" w:rsidRDefault="00227E42" w:rsidP="00B20F84">
            <w:pPr>
              <w:keepNext/>
              <w:spacing w:after="0" w:line="240" w:lineRule="auto"/>
              <w:jc w:val="center"/>
              <w:rPr>
                <w:rFonts w:eastAsia="Times New Roman" w:cs="Times New Roman"/>
                <w:b/>
                <w:sz w:val="20"/>
                <w:szCs w:val="20"/>
                <w:lang w:val="en-AU"/>
              </w:rPr>
            </w:pPr>
            <w:r>
              <w:rPr>
                <w:rFonts w:eastAsia="Times New Roman" w:cs="Times New Roman"/>
                <w:b/>
                <w:sz w:val="20"/>
                <w:szCs w:val="20"/>
                <w:lang w:val="en-AU"/>
              </w:rPr>
              <w:t>BMIH600</w:t>
            </w:r>
            <w:r w:rsidR="00D127FA">
              <w:rPr>
                <w:rFonts w:eastAsia="Times New Roman" w:cs="Times New Roman"/>
                <w:b/>
                <w:sz w:val="20"/>
                <w:szCs w:val="20"/>
                <w:lang w:val="en-AU"/>
              </w:rPr>
              <w:t>3</w:t>
            </w:r>
          </w:p>
        </w:tc>
      </w:tr>
      <w:tr w:rsidR="00227E42" w:rsidRPr="00634AA5" w14:paraId="69B98CB0" w14:textId="77777777" w:rsidTr="00B20F84">
        <w:trPr>
          <w:trHeight w:val="468"/>
          <w:jc w:val="center"/>
        </w:trPr>
        <w:tc>
          <w:tcPr>
            <w:tcW w:w="5315" w:type="dxa"/>
            <w:vMerge/>
            <w:tcBorders>
              <w:left w:val="single" w:sz="4" w:space="0" w:color="auto"/>
              <w:right w:val="single" w:sz="4" w:space="0" w:color="auto"/>
            </w:tcBorders>
          </w:tcPr>
          <w:p w14:paraId="47382646" w14:textId="77777777" w:rsidR="00227E42" w:rsidRPr="00330917" w:rsidRDefault="00227E42" w:rsidP="00B20F84">
            <w:pPr>
              <w:keepNext/>
              <w:spacing w:after="0" w:line="240" w:lineRule="auto"/>
              <w:jc w:val="center"/>
              <w:rPr>
                <w:rFonts w:eastAsia="Times New Roman" w:cs="Times New Roman"/>
                <w:b/>
                <w:sz w:val="40"/>
                <w:szCs w:val="20"/>
                <w:lang w:val="en-AU"/>
              </w:rPr>
            </w:pPr>
          </w:p>
        </w:tc>
        <w:tc>
          <w:tcPr>
            <w:tcW w:w="1430" w:type="dxa"/>
            <w:tcBorders>
              <w:top w:val="nil"/>
              <w:left w:val="single" w:sz="4" w:space="0" w:color="auto"/>
              <w:bottom w:val="nil"/>
              <w:right w:val="nil"/>
            </w:tcBorders>
            <w:vAlign w:val="center"/>
          </w:tcPr>
          <w:p w14:paraId="50212425" w14:textId="77777777" w:rsidR="00227E42" w:rsidRPr="00330917" w:rsidRDefault="00227E42" w:rsidP="00B20F84">
            <w:pPr>
              <w:keepNext/>
              <w:spacing w:after="0" w:line="240" w:lineRule="auto"/>
              <w:rPr>
                <w:rFonts w:eastAsia="Times New Roman" w:cs="Times New Roman"/>
                <w:sz w:val="20"/>
                <w:szCs w:val="20"/>
                <w:lang w:val="en-AU"/>
              </w:rPr>
            </w:pPr>
            <w:r>
              <w:rPr>
                <w:rFonts w:eastAsia="Times New Roman" w:cs="Times New Roman"/>
                <w:sz w:val="20"/>
                <w:szCs w:val="20"/>
                <w:lang w:val="en-AU"/>
              </w:rPr>
              <w:t>Lecturer:</w:t>
            </w:r>
          </w:p>
        </w:tc>
        <w:tc>
          <w:tcPr>
            <w:tcW w:w="2538" w:type="dxa"/>
            <w:gridSpan w:val="2"/>
            <w:tcBorders>
              <w:top w:val="dashed" w:sz="4" w:space="0" w:color="auto"/>
              <w:left w:val="nil"/>
              <w:bottom w:val="dashed" w:sz="4" w:space="0" w:color="auto"/>
              <w:right w:val="single" w:sz="4" w:space="0" w:color="auto"/>
            </w:tcBorders>
            <w:vAlign w:val="center"/>
          </w:tcPr>
          <w:p w14:paraId="22747BAE" w14:textId="77777777" w:rsidR="00227E42" w:rsidRPr="00E02867" w:rsidRDefault="00227E42" w:rsidP="00B20F84">
            <w:pPr>
              <w:keepNext/>
              <w:spacing w:after="0" w:line="240" w:lineRule="auto"/>
              <w:jc w:val="center"/>
              <w:rPr>
                <w:rFonts w:eastAsia="Times New Roman" w:cs="Times New Roman"/>
                <w:b/>
                <w:lang w:val="en-AU"/>
              </w:rPr>
            </w:pPr>
            <w:r w:rsidRPr="00E02867">
              <w:rPr>
                <w:rFonts w:eastAsia="Times New Roman" w:cs="Times New Roman"/>
                <w:b/>
                <w:sz w:val="20"/>
                <w:szCs w:val="18"/>
                <w:lang w:val="en-AU"/>
              </w:rPr>
              <w:t>Ben Ka Po Chong</w:t>
            </w:r>
          </w:p>
        </w:tc>
      </w:tr>
      <w:tr w:rsidR="00227E42" w:rsidRPr="00634AA5" w14:paraId="0FF979AC" w14:textId="77777777" w:rsidTr="00B20F84">
        <w:trPr>
          <w:trHeight w:val="468"/>
          <w:jc w:val="center"/>
        </w:trPr>
        <w:tc>
          <w:tcPr>
            <w:tcW w:w="5315" w:type="dxa"/>
            <w:vMerge/>
            <w:tcBorders>
              <w:left w:val="single" w:sz="4" w:space="0" w:color="auto"/>
              <w:right w:val="single" w:sz="4" w:space="0" w:color="auto"/>
            </w:tcBorders>
          </w:tcPr>
          <w:p w14:paraId="0E572AE9" w14:textId="77777777" w:rsidR="00227E42" w:rsidRPr="00330917" w:rsidRDefault="00227E42" w:rsidP="00B20F84">
            <w:pPr>
              <w:keepNext/>
              <w:spacing w:after="0" w:line="240" w:lineRule="auto"/>
              <w:jc w:val="center"/>
              <w:rPr>
                <w:rFonts w:eastAsia="Times New Roman" w:cs="Times New Roman"/>
                <w:b/>
                <w:sz w:val="40"/>
                <w:szCs w:val="20"/>
                <w:lang w:val="en-AU"/>
              </w:rPr>
            </w:pPr>
          </w:p>
        </w:tc>
        <w:tc>
          <w:tcPr>
            <w:tcW w:w="1430" w:type="dxa"/>
            <w:tcBorders>
              <w:top w:val="nil"/>
              <w:left w:val="single" w:sz="4" w:space="0" w:color="auto"/>
              <w:bottom w:val="nil"/>
              <w:right w:val="nil"/>
            </w:tcBorders>
            <w:vAlign w:val="center"/>
          </w:tcPr>
          <w:p w14:paraId="4115E07F" w14:textId="77777777" w:rsidR="00227E42" w:rsidRDefault="00227E42" w:rsidP="00B20F84">
            <w:pPr>
              <w:keepNext/>
              <w:spacing w:after="0" w:line="240" w:lineRule="auto"/>
              <w:rPr>
                <w:rFonts w:eastAsia="Times New Roman" w:cs="Times New Roman"/>
                <w:sz w:val="20"/>
                <w:szCs w:val="20"/>
                <w:lang w:val="en-AU"/>
              </w:rPr>
            </w:pPr>
            <w:r>
              <w:rPr>
                <w:rFonts w:eastAsia="Times New Roman" w:cs="Times New Roman"/>
                <w:sz w:val="20"/>
                <w:szCs w:val="20"/>
                <w:lang w:val="en-AU"/>
              </w:rPr>
              <w:t>Words:</w:t>
            </w:r>
          </w:p>
        </w:tc>
        <w:tc>
          <w:tcPr>
            <w:tcW w:w="2538" w:type="dxa"/>
            <w:gridSpan w:val="2"/>
            <w:tcBorders>
              <w:top w:val="dashed" w:sz="4" w:space="0" w:color="auto"/>
              <w:left w:val="nil"/>
              <w:bottom w:val="dashed" w:sz="4" w:space="0" w:color="auto"/>
              <w:right w:val="single" w:sz="4" w:space="0" w:color="auto"/>
            </w:tcBorders>
            <w:vAlign w:val="center"/>
          </w:tcPr>
          <w:p w14:paraId="7F523649" w14:textId="7897078E" w:rsidR="00227E42" w:rsidRPr="008B3DE6" w:rsidRDefault="00573D48" w:rsidP="00B20F84">
            <w:pPr>
              <w:keepNext/>
              <w:spacing w:after="0" w:line="240" w:lineRule="auto"/>
              <w:jc w:val="center"/>
              <w:rPr>
                <w:rFonts w:eastAsia="Times New Roman" w:cs="Times New Roman"/>
                <w:b/>
                <w:lang w:val="en-AU"/>
              </w:rPr>
            </w:pPr>
            <w:r>
              <w:rPr>
                <w:rFonts w:eastAsia="Times New Roman" w:cs="Times New Roman"/>
                <w:b/>
                <w:lang w:val="en-AU"/>
              </w:rPr>
              <w:t>1278</w:t>
            </w:r>
          </w:p>
        </w:tc>
      </w:tr>
      <w:tr w:rsidR="00227E42" w:rsidRPr="00330917" w14:paraId="5F303C31" w14:textId="77777777" w:rsidTr="00B20F84">
        <w:trPr>
          <w:trHeight w:val="20"/>
          <w:jc w:val="center"/>
        </w:trPr>
        <w:tc>
          <w:tcPr>
            <w:tcW w:w="5315" w:type="dxa"/>
            <w:vMerge/>
            <w:tcBorders>
              <w:left w:val="single" w:sz="4" w:space="0" w:color="auto"/>
              <w:bottom w:val="single" w:sz="4" w:space="0" w:color="auto"/>
              <w:right w:val="single" w:sz="4" w:space="0" w:color="auto"/>
            </w:tcBorders>
          </w:tcPr>
          <w:p w14:paraId="70BD655E" w14:textId="77777777" w:rsidR="00227E42" w:rsidRPr="00330917" w:rsidRDefault="00227E42" w:rsidP="00B20F84">
            <w:pPr>
              <w:keepNext/>
              <w:spacing w:after="0" w:line="240" w:lineRule="auto"/>
              <w:jc w:val="center"/>
              <w:rPr>
                <w:rFonts w:eastAsia="Times New Roman" w:cs="Times New Roman"/>
                <w:b/>
                <w:sz w:val="40"/>
                <w:szCs w:val="20"/>
                <w:lang w:val="en-AU"/>
              </w:rPr>
            </w:pPr>
          </w:p>
        </w:tc>
        <w:tc>
          <w:tcPr>
            <w:tcW w:w="2071" w:type="dxa"/>
            <w:gridSpan w:val="2"/>
            <w:tcBorders>
              <w:top w:val="nil"/>
              <w:left w:val="single" w:sz="4" w:space="0" w:color="auto"/>
              <w:bottom w:val="single" w:sz="4" w:space="0" w:color="auto"/>
              <w:right w:val="nil"/>
            </w:tcBorders>
            <w:vAlign w:val="center"/>
          </w:tcPr>
          <w:p w14:paraId="2CE6B598" w14:textId="77777777" w:rsidR="00227E42" w:rsidRPr="00330917" w:rsidRDefault="00227E42" w:rsidP="00B20F84">
            <w:pPr>
              <w:keepNext/>
              <w:spacing w:after="0" w:line="240" w:lineRule="auto"/>
              <w:rPr>
                <w:rFonts w:eastAsia="Times New Roman" w:cs="Times New Roman"/>
                <w:bCs/>
                <w:sz w:val="20"/>
                <w:szCs w:val="20"/>
                <w:lang w:val="en-AU"/>
              </w:rPr>
            </w:pPr>
          </w:p>
        </w:tc>
        <w:tc>
          <w:tcPr>
            <w:tcW w:w="0" w:type="auto"/>
            <w:tcBorders>
              <w:top w:val="dashed" w:sz="4" w:space="0" w:color="auto"/>
              <w:left w:val="nil"/>
              <w:bottom w:val="single" w:sz="4" w:space="0" w:color="auto"/>
              <w:right w:val="single" w:sz="4" w:space="0" w:color="auto"/>
            </w:tcBorders>
            <w:vAlign w:val="center"/>
          </w:tcPr>
          <w:p w14:paraId="29D1582B" w14:textId="77777777" w:rsidR="00227E42" w:rsidRPr="00330917" w:rsidRDefault="00227E42" w:rsidP="00B20F84">
            <w:pPr>
              <w:keepNext/>
              <w:spacing w:after="0" w:line="240" w:lineRule="auto"/>
              <w:rPr>
                <w:rFonts w:eastAsia="Times New Roman" w:cs="Times New Roman"/>
                <w:b/>
                <w:sz w:val="16"/>
                <w:szCs w:val="16"/>
                <w:lang w:val="en-AU"/>
              </w:rPr>
            </w:pPr>
          </w:p>
        </w:tc>
      </w:tr>
    </w:tbl>
    <w:p w14:paraId="050D3850" w14:textId="77777777" w:rsidR="003D30AB" w:rsidRDefault="003D30AB" w:rsidP="003D30AB">
      <w:pPr>
        <w:spacing w:line="276" w:lineRule="auto"/>
        <w:jc w:val="center"/>
        <w:rPr>
          <w:b/>
          <w:u w:val="single"/>
        </w:rPr>
      </w:pPr>
    </w:p>
    <w:p w14:paraId="0E55E448" w14:textId="77777777" w:rsidR="00227E42" w:rsidRDefault="00227E42" w:rsidP="003D30AB">
      <w:pPr>
        <w:spacing w:line="276" w:lineRule="auto"/>
        <w:jc w:val="center"/>
        <w:rPr>
          <w:b/>
          <w:u w:val="single"/>
        </w:rPr>
      </w:pPr>
    </w:p>
    <w:p w14:paraId="3672805A" w14:textId="77777777" w:rsidR="00227E42" w:rsidRDefault="00227E42" w:rsidP="003D30AB">
      <w:pPr>
        <w:spacing w:line="276" w:lineRule="auto"/>
        <w:jc w:val="center"/>
        <w:rPr>
          <w:b/>
          <w:u w:val="single"/>
        </w:rPr>
      </w:pPr>
    </w:p>
    <w:p w14:paraId="2316EBE0" w14:textId="77777777" w:rsidR="00227E42" w:rsidRDefault="00227E42" w:rsidP="003D30AB">
      <w:pPr>
        <w:spacing w:line="276" w:lineRule="auto"/>
        <w:jc w:val="center"/>
        <w:rPr>
          <w:b/>
          <w:u w:val="single"/>
        </w:rPr>
      </w:pPr>
    </w:p>
    <w:p w14:paraId="2C17F43E" w14:textId="77777777" w:rsidR="00227E42" w:rsidRDefault="00227E42" w:rsidP="003D30AB">
      <w:pPr>
        <w:spacing w:line="276" w:lineRule="auto"/>
        <w:jc w:val="center"/>
        <w:rPr>
          <w:b/>
          <w:u w:val="single"/>
        </w:rPr>
      </w:pPr>
    </w:p>
    <w:p w14:paraId="1079E29F" w14:textId="77777777" w:rsidR="00227E42" w:rsidRDefault="00227E42" w:rsidP="003D30AB">
      <w:pPr>
        <w:spacing w:line="276" w:lineRule="auto"/>
        <w:jc w:val="center"/>
        <w:rPr>
          <w:b/>
          <w:u w:val="single"/>
        </w:rPr>
      </w:pPr>
    </w:p>
    <w:p w14:paraId="6FA353CB" w14:textId="77777777" w:rsidR="00227E42" w:rsidRDefault="00227E42" w:rsidP="003D30AB">
      <w:pPr>
        <w:spacing w:line="276" w:lineRule="auto"/>
        <w:jc w:val="center"/>
        <w:rPr>
          <w:b/>
          <w:u w:val="single"/>
        </w:rPr>
      </w:pPr>
    </w:p>
    <w:p w14:paraId="0FCD3A89" w14:textId="77777777" w:rsidR="00227E42" w:rsidRDefault="00227E42" w:rsidP="003D30AB">
      <w:pPr>
        <w:spacing w:line="276" w:lineRule="auto"/>
        <w:jc w:val="center"/>
        <w:rPr>
          <w:b/>
          <w:u w:val="single"/>
        </w:rPr>
      </w:pPr>
    </w:p>
    <w:p w14:paraId="15A029EB" w14:textId="77777777" w:rsidR="00227E42" w:rsidRDefault="00227E42" w:rsidP="003D30AB">
      <w:pPr>
        <w:spacing w:line="276" w:lineRule="auto"/>
        <w:jc w:val="center"/>
        <w:rPr>
          <w:b/>
          <w:u w:val="single"/>
        </w:rPr>
      </w:pPr>
    </w:p>
    <w:p w14:paraId="67D52F52" w14:textId="77777777" w:rsidR="00227E42" w:rsidRDefault="00227E42" w:rsidP="003D30AB">
      <w:pPr>
        <w:spacing w:line="276" w:lineRule="auto"/>
        <w:jc w:val="center"/>
        <w:rPr>
          <w:b/>
          <w:u w:val="single"/>
        </w:rPr>
      </w:pPr>
    </w:p>
    <w:p w14:paraId="2E47B9B7" w14:textId="77777777" w:rsidR="00227E42" w:rsidRDefault="00227E42" w:rsidP="003D30AB">
      <w:pPr>
        <w:spacing w:line="276" w:lineRule="auto"/>
        <w:jc w:val="center"/>
        <w:rPr>
          <w:b/>
          <w:u w:val="single"/>
        </w:rPr>
      </w:pPr>
    </w:p>
    <w:p w14:paraId="42AAD9FB" w14:textId="77777777" w:rsidR="00227E42" w:rsidRDefault="00227E42" w:rsidP="003D30AB">
      <w:pPr>
        <w:spacing w:line="276" w:lineRule="auto"/>
        <w:jc w:val="center"/>
        <w:rPr>
          <w:b/>
          <w:u w:val="single"/>
        </w:rPr>
      </w:pPr>
    </w:p>
    <w:p w14:paraId="5AB41BDE" w14:textId="77777777" w:rsidR="00227E42" w:rsidRDefault="00227E42" w:rsidP="003D30AB">
      <w:pPr>
        <w:spacing w:line="276" w:lineRule="auto"/>
        <w:jc w:val="center"/>
        <w:rPr>
          <w:b/>
          <w:u w:val="single"/>
        </w:rPr>
      </w:pPr>
    </w:p>
    <w:p w14:paraId="2B66FB26" w14:textId="77777777" w:rsidR="00227E42" w:rsidRDefault="00227E42" w:rsidP="003D30AB">
      <w:pPr>
        <w:spacing w:line="276" w:lineRule="auto"/>
        <w:jc w:val="center"/>
        <w:rPr>
          <w:b/>
          <w:u w:val="single"/>
        </w:rPr>
      </w:pPr>
    </w:p>
    <w:p w14:paraId="0DCB8A5D" w14:textId="77777777" w:rsidR="00227E42" w:rsidRDefault="00227E42" w:rsidP="003D30AB">
      <w:pPr>
        <w:spacing w:line="276" w:lineRule="auto"/>
        <w:jc w:val="center"/>
        <w:rPr>
          <w:b/>
          <w:u w:val="single"/>
        </w:rPr>
      </w:pPr>
    </w:p>
    <w:p w14:paraId="6736181F" w14:textId="77777777" w:rsidR="003D30AB" w:rsidRDefault="003D30AB" w:rsidP="003D30AB">
      <w:pPr>
        <w:spacing w:line="276" w:lineRule="auto"/>
        <w:jc w:val="center"/>
        <w:rPr>
          <w:b/>
          <w:u w:val="single"/>
        </w:rPr>
      </w:pPr>
    </w:p>
    <w:p w14:paraId="21484CE8" w14:textId="77777777" w:rsidR="003D30AB" w:rsidRDefault="003D30AB" w:rsidP="003D30AB">
      <w:pPr>
        <w:spacing w:line="276" w:lineRule="auto"/>
        <w:jc w:val="center"/>
        <w:rPr>
          <w:b/>
          <w:u w:val="single"/>
        </w:rPr>
      </w:pPr>
    </w:p>
    <w:p w14:paraId="6DBB2C7B" w14:textId="77777777" w:rsidR="003D30AB" w:rsidRDefault="003D30AB" w:rsidP="003D30AB">
      <w:pPr>
        <w:spacing w:line="276" w:lineRule="auto"/>
        <w:jc w:val="center"/>
        <w:rPr>
          <w:b/>
          <w:u w:val="single"/>
        </w:rPr>
      </w:pPr>
    </w:p>
    <w:p w14:paraId="40A66079" w14:textId="77777777" w:rsidR="003D30AB" w:rsidRPr="008E1109" w:rsidRDefault="003D30AB" w:rsidP="003D30AB">
      <w:pPr>
        <w:spacing w:line="276" w:lineRule="auto"/>
        <w:jc w:val="left"/>
        <w:rPr>
          <w:b/>
          <w:u w:val="single"/>
        </w:rPr>
      </w:pPr>
      <w:r w:rsidRPr="008E1109">
        <w:rPr>
          <w:b/>
          <w:u w:val="single"/>
        </w:rPr>
        <w:lastRenderedPageBreak/>
        <w:t>AI Acknowledgement</w:t>
      </w:r>
    </w:p>
    <w:p w14:paraId="49CFCA1D" w14:textId="53DC1CF3" w:rsidR="003D30AB" w:rsidRPr="008E1109" w:rsidRDefault="003D30AB" w:rsidP="003D30AB">
      <w:pPr>
        <w:spacing w:line="276" w:lineRule="auto"/>
        <w:jc w:val="left"/>
      </w:pPr>
      <w:r w:rsidRPr="008E1109">
        <w:t>I acknowledge the use of the AI tool (Chatgpt) to find any grammatical mista</w:t>
      </w:r>
      <w:r>
        <w:t>kes in my reflective log from 22</w:t>
      </w:r>
      <w:r>
        <w:rPr>
          <w:vertAlign w:val="superscript"/>
        </w:rPr>
        <w:t>nd</w:t>
      </w:r>
      <w:r w:rsidRPr="008E1109">
        <w:t xml:space="preserve"> October</w:t>
      </w:r>
      <w:r>
        <w:t xml:space="preserve"> 2025 to </w:t>
      </w:r>
      <w:r w:rsidR="00227E42">
        <w:t>07</w:t>
      </w:r>
      <w:r w:rsidRPr="008E1109">
        <w:rPr>
          <w:vertAlign w:val="superscript"/>
        </w:rPr>
        <w:t>th</w:t>
      </w:r>
      <w:r w:rsidRPr="008E1109">
        <w:t xml:space="preserve"> </w:t>
      </w:r>
      <w:r w:rsidR="00227E42">
        <w:t>November</w:t>
      </w:r>
      <w:r w:rsidRPr="008E1109">
        <w:t xml:space="preserve"> 2025 with the following prompt.</w:t>
      </w:r>
    </w:p>
    <w:p w14:paraId="4389914D" w14:textId="0C0258BE" w:rsidR="003D30AB" w:rsidRPr="008E1109" w:rsidRDefault="003D30AB" w:rsidP="003D30AB">
      <w:pPr>
        <w:numPr>
          <w:ilvl w:val="0"/>
          <w:numId w:val="1"/>
        </w:numPr>
        <w:spacing w:line="276" w:lineRule="auto"/>
        <w:jc w:val="left"/>
      </w:pPr>
      <w:r w:rsidRPr="008E1109">
        <w:t xml:space="preserve">Please check the writing properly and figure out if any grammatical </w:t>
      </w:r>
      <w:r w:rsidR="00227E42" w:rsidRPr="008E1109">
        <w:t>mistakes exist</w:t>
      </w:r>
      <w:r w:rsidRPr="008E1109">
        <w:t xml:space="preserve"> in my paper.</w:t>
      </w:r>
    </w:p>
    <w:p w14:paraId="0F981DDA" w14:textId="77777777" w:rsidR="003D30AB" w:rsidRDefault="003D30AB" w:rsidP="003D30AB">
      <w:pPr>
        <w:spacing w:line="276" w:lineRule="auto"/>
        <w:jc w:val="left"/>
        <w:rPr>
          <w:rFonts w:asciiTheme="majorHAnsi" w:eastAsiaTheme="majorEastAsia" w:hAnsiTheme="majorHAnsi" w:cstheme="majorBidi"/>
          <w:b/>
          <w:bCs/>
          <w:color w:val="0F4761" w:themeColor="accent1" w:themeShade="BF"/>
          <w:sz w:val="28"/>
          <w:szCs w:val="28"/>
        </w:rPr>
      </w:pPr>
      <w:r w:rsidRPr="008E1109">
        <w:t>However, I confirm that no AI-generated text is incorporated throughout the report, and I have properly cited all sources.</w:t>
      </w:r>
      <w:r w:rsidRPr="00DB3E34">
        <w:rPr>
          <w:b/>
          <w:sz w:val="28"/>
        </w:rPr>
        <w:br w:type="page"/>
      </w:r>
    </w:p>
    <w:sdt>
      <w:sdtPr>
        <w:rPr>
          <w:rFonts w:ascii="Times New Roman" w:eastAsiaTheme="minorHAnsi" w:hAnsi="Times New Roman" w:cstheme="minorBidi"/>
          <w:b w:val="0"/>
          <w:bCs w:val="0"/>
          <w:color w:val="auto"/>
          <w:sz w:val="24"/>
          <w:szCs w:val="22"/>
          <w:u w:val="none"/>
          <w:lang w:eastAsia="en-US"/>
        </w:rPr>
        <w:id w:val="-601032195"/>
        <w:docPartObj>
          <w:docPartGallery w:val="Table of Contents"/>
          <w:docPartUnique/>
        </w:docPartObj>
      </w:sdtPr>
      <w:sdtEndPr>
        <w:rPr>
          <w:noProof/>
        </w:rPr>
      </w:sdtEndPr>
      <w:sdtContent>
        <w:p w14:paraId="59BDF6BB" w14:textId="77777777" w:rsidR="003D30AB" w:rsidRDefault="003D30AB" w:rsidP="003D30AB">
          <w:pPr>
            <w:pStyle w:val="TOCHeading"/>
          </w:pPr>
          <w:r>
            <w:t>Table of Contents</w:t>
          </w:r>
        </w:p>
        <w:p w14:paraId="092C91F1" w14:textId="529B2810" w:rsidR="00573D48" w:rsidRDefault="003D30AB">
          <w:pPr>
            <w:pStyle w:val="TOC1"/>
            <w:tabs>
              <w:tab w:val="right" w:leader="dot" w:pos="9350"/>
            </w:tabs>
            <w:rPr>
              <w:rFonts w:asciiTheme="minorHAnsi" w:eastAsiaTheme="minorEastAsia"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13500095" w:history="1">
            <w:r w:rsidR="00573D48" w:rsidRPr="00AE6F7C">
              <w:rPr>
                <w:rStyle w:val="Hyperlink"/>
                <w:noProof/>
              </w:rPr>
              <w:t>Introduction</w:t>
            </w:r>
            <w:r w:rsidR="00573D48">
              <w:rPr>
                <w:noProof/>
                <w:webHidden/>
              </w:rPr>
              <w:tab/>
            </w:r>
            <w:r w:rsidR="00573D48">
              <w:rPr>
                <w:noProof/>
                <w:webHidden/>
              </w:rPr>
              <w:fldChar w:fldCharType="begin"/>
            </w:r>
            <w:r w:rsidR="00573D48">
              <w:rPr>
                <w:noProof/>
                <w:webHidden/>
              </w:rPr>
              <w:instrText xml:space="preserve"> PAGEREF _Toc213500095 \h </w:instrText>
            </w:r>
            <w:r w:rsidR="00573D48">
              <w:rPr>
                <w:noProof/>
                <w:webHidden/>
              </w:rPr>
            </w:r>
            <w:r w:rsidR="00573D48">
              <w:rPr>
                <w:noProof/>
                <w:webHidden/>
              </w:rPr>
              <w:fldChar w:fldCharType="separate"/>
            </w:r>
            <w:r w:rsidR="00573D48">
              <w:rPr>
                <w:noProof/>
                <w:webHidden/>
              </w:rPr>
              <w:t>4</w:t>
            </w:r>
            <w:r w:rsidR="00573D48">
              <w:rPr>
                <w:noProof/>
                <w:webHidden/>
              </w:rPr>
              <w:fldChar w:fldCharType="end"/>
            </w:r>
          </w:hyperlink>
        </w:p>
        <w:p w14:paraId="0DE78A9E" w14:textId="71C635F6" w:rsidR="00573D48" w:rsidRDefault="00573D48">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13500096" w:history="1">
            <w:r w:rsidRPr="00AE6F7C">
              <w:rPr>
                <w:rStyle w:val="Hyperlink"/>
                <w:noProof/>
              </w:rPr>
              <w:t>Critical reflection using Gibbs’ reflective cycle</w:t>
            </w:r>
            <w:r>
              <w:rPr>
                <w:noProof/>
                <w:webHidden/>
              </w:rPr>
              <w:tab/>
            </w:r>
            <w:r>
              <w:rPr>
                <w:noProof/>
                <w:webHidden/>
              </w:rPr>
              <w:fldChar w:fldCharType="begin"/>
            </w:r>
            <w:r>
              <w:rPr>
                <w:noProof/>
                <w:webHidden/>
              </w:rPr>
              <w:instrText xml:space="preserve"> PAGEREF _Toc213500096 \h </w:instrText>
            </w:r>
            <w:r>
              <w:rPr>
                <w:noProof/>
                <w:webHidden/>
              </w:rPr>
            </w:r>
            <w:r>
              <w:rPr>
                <w:noProof/>
                <w:webHidden/>
              </w:rPr>
              <w:fldChar w:fldCharType="separate"/>
            </w:r>
            <w:r>
              <w:rPr>
                <w:noProof/>
                <w:webHidden/>
              </w:rPr>
              <w:t>5</w:t>
            </w:r>
            <w:r>
              <w:rPr>
                <w:noProof/>
                <w:webHidden/>
              </w:rPr>
              <w:fldChar w:fldCharType="end"/>
            </w:r>
          </w:hyperlink>
        </w:p>
        <w:p w14:paraId="06BD8E7E" w14:textId="14AF7CBE" w:rsidR="00573D48" w:rsidRDefault="00573D48">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13500097" w:history="1">
            <w:r w:rsidRPr="00AE6F7C">
              <w:rPr>
                <w:rStyle w:val="Hyperlink"/>
                <w:noProof/>
              </w:rPr>
              <w:t>Conclusion</w:t>
            </w:r>
            <w:r>
              <w:rPr>
                <w:noProof/>
                <w:webHidden/>
              </w:rPr>
              <w:tab/>
            </w:r>
            <w:r>
              <w:rPr>
                <w:noProof/>
                <w:webHidden/>
              </w:rPr>
              <w:fldChar w:fldCharType="begin"/>
            </w:r>
            <w:r>
              <w:rPr>
                <w:noProof/>
                <w:webHidden/>
              </w:rPr>
              <w:instrText xml:space="preserve"> PAGEREF _Toc213500097 \h </w:instrText>
            </w:r>
            <w:r>
              <w:rPr>
                <w:noProof/>
                <w:webHidden/>
              </w:rPr>
            </w:r>
            <w:r>
              <w:rPr>
                <w:noProof/>
                <w:webHidden/>
              </w:rPr>
              <w:fldChar w:fldCharType="separate"/>
            </w:r>
            <w:r>
              <w:rPr>
                <w:noProof/>
                <w:webHidden/>
              </w:rPr>
              <w:t>8</w:t>
            </w:r>
            <w:r>
              <w:rPr>
                <w:noProof/>
                <w:webHidden/>
              </w:rPr>
              <w:fldChar w:fldCharType="end"/>
            </w:r>
          </w:hyperlink>
        </w:p>
        <w:p w14:paraId="31102901" w14:textId="662235F9" w:rsidR="00573D48" w:rsidRDefault="00573D48">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13500098" w:history="1">
            <w:r w:rsidRPr="00AE6F7C">
              <w:rPr>
                <w:rStyle w:val="Hyperlink"/>
                <w:noProof/>
              </w:rPr>
              <w:t>References</w:t>
            </w:r>
            <w:r>
              <w:rPr>
                <w:noProof/>
                <w:webHidden/>
              </w:rPr>
              <w:tab/>
            </w:r>
            <w:r>
              <w:rPr>
                <w:noProof/>
                <w:webHidden/>
              </w:rPr>
              <w:fldChar w:fldCharType="begin"/>
            </w:r>
            <w:r>
              <w:rPr>
                <w:noProof/>
                <w:webHidden/>
              </w:rPr>
              <w:instrText xml:space="preserve"> PAGEREF _Toc213500098 \h </w:instrText>
            </w:r>
            <w:r>
              <w:rPr>
                <w:noProof/>
                <w:webHidden/>
              </w:rPr>
            </w:r>
            <w:r>
              <w:rPr>
                <w:noProof/>
                <w:webHidden/>
              </w:rPr>
              <w:fldChar w:fldCharType="separate"/>
            </w:r>
            <w:r>
              <w:rPr>
                <w:noProof/>
                <w:webHidden/>
              </w:rPr>
              <w:t>9</w:t>
            </w:r>
            <w:r>
              <w:rPr>
                <w:noProof/>
                <w:webHidden/>
              </w:rPr>
              <w:fldChar w:fldCharType="end"/>
            </w:r>
          </w:hyperlink>
        </w:p>
        <w:p w14:paraId="3E814DFD" w14:textId="5401CBCD" w:rsidR="003D30AB" w:rsidRDefault="003D30AB" w:rsidP="003D30AB">
          <w:r>
            <w:rPr>
              <w:b/>
              <w:bCs/>
              <w:noProof/>
            </w:rPr>
            <w:fldChar w:fldCharType="end"/>
          </w:r>
        </w:p>
      </w:sdtContent>
    </w:sdt>
    <w:p w14:paraId="0199AEF7" w14:textId="77777777" w:rsidR="003D30AB" w:rsidRDefault="003D30AB" w:rsidP="003D30AB">
      <w:pPr>
        <w:spacing w:line="276" w:lineRule="auto"/>
        <w:jc w:val="left"/>
        <w:rPr>
          <w:rFonts w:asciiTheme="majorHAnsi" w:eastAsiaTheme="majorEastAsia" w:hAnsiTheme="majorHAnsi" w:cstheme="majorBidi"/>
          <w:b/>
          <w:bCs/>
          <w:color w:val="0F4761" w:themeColor="accent1" w:themeShade="BF"/>
          <w:sz w:val="28"/>
          <w:szCs w:val="28"/>
        </w:rPr>
      </w:pPr>
      <w:r>
        <w:br w:type="page"/>
      </w:r>
    </w:p>
    <w:p w14:paraId="7FD9FB37" w14:textId="77777777" w:rsidR="003D30AB" w:rsidRDefault="003D30AB" w:rsidP="003D30AB">
      <w:pPr>
        <w:pStyle w:val="Heading1"/>
        <w:sectPr w:rsidR="003D30AB" w:rsidSect="003D30A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p w14:paraId="688763BE" w14:textId="77777777" w:rsidR="003D30AB" w:rsidRDefault="003D30AB" w:rsidP="003D30AB">
      <w:pPr>
        <w:pStyle w:val="Heading1"/>
      </w:pPr>
      <w:bookmarkStart w:id="0" w:name="_Toc213500095"/>
      <w:r>
        <w:lastRenderedPageBreak/>
        <w:t>Introduction</w:t>
      </w:r>
      <w:bookmarkEnd w:id="0"/>
      <w:r>
        <w:t xml:space="preserve"> </w:t>
      </w:r>
    </w:p>
    <w:p w14:paraId="2D0A51A8" w14:textId="77777777" w:rsidR="003D30AB" w:rsidRPr="002A3C9D" w:rsidRDefault="003D30AB" w:rsidP="003D30AB">
      <w:r w:rsidRPr="002A3C9D">
        <w:t>I was a Level 6 student on a placement with Novotel Sheffield, and I was working in the Guest Service Operations section, which includes Meetings and Events, housekeeping coordination, and support of the public areas. The department offers meeting-room arrangements, event-refreshing services, guest-service queries and coordination between the housekeeping, maintenance and front-office departments in order to provide seamless experiences to business and leisure customers. During my time in the placement, I noticed a common problem: a lack of synergy among teams during peak event turnover, resulting in delays and pressure on services. This reflection critically examines the problem using Gibbs' Reflective Cycle (1988), and based on the Level 5 module on Management and Organisational Behaviour, I will suggest evidence-based improvements.</w:t>
      </w:r>
    </w:p>
    <w:p w14:paraId="7FEB6781" w14:textId="77777777" w:rsidR="003D30AB" w:rsidRDefault="003D30AB" w:rsidP="003D30AB">
      <w:pPr>
        <w:spacing w:line="276" w:lineRule="auto"/>
        <w:jc w:val="left"/>
        <w:rPr>
          <w:rFonts w:asciiTheme="majorHAnsi" w:eastAsiaTheme="majorEastAsia" w:hAnsiTheme="majorHAnsi" w:cstheme="majorBidi"/>
          <w:b/>
          <w:bCs/>
          <w:color w:val="0F4761" w:themeColor="accent1" w:themeShade="BF"/>
          <w:sz w:val="28"/>
          <w:szCs w:val="28"/>
          <w:u w:val="single"/>
        </w:rPr>
      </w:pPr>
      <w:r>
        <w:br w:type="page"/>
      </w:r>
    </w:p>
    <w:p w14:paraId="04EEB907" w14:textId="35C1C2F6" w:rsidR="003D30AB" w:rsidRDefault="003D30AB" w:rsidP="003D30AB">
      <w:pPr>
        <w:pStyle w:val="Heading1"/>
      </w:pPr>
      <w:bookmarkStart w:id="1" w:name="_Toc213500096"/>
      <w:r w:rsidRPr="00222913">
        <w:lastRenderedPageBreak/>
        <w:t xml:space="preserve">Critical </w:t>
      </w:r>
      <w:r>
        <w:t>r</w:t>
      </w:r>
      <w:r w:rsidRPr="00222913">
        <w:t xml:space="preserve">eflection </w:t>
      </w:r>
      <w:r>
        <w:t>u</w:t>
      </w:r>
      <w:r w:rsidRPr="00222913">
        <w:t xml:space="preserve">sing Gibbs’ </w:t>
      </w:r>
      <w:r>
        <w:t>r</w:t>
      </w:r>
      <w:r w:rsidRPr="00222913">
        <w:t xml:space="preserve">eflective </w:t>
      </w:r>
      <w:r>
        <w:t>c</w:t>
      </w:r>
      <w:r w:rsidRPr="00222913">
        <w:t>ycle</w:t>
      </w:r>
      <w:bookmarkEnd w:id="1"/>
    </w:p>
    <w:p w14:paraId="553CEA14" w14:textId="77777777" w:rsidR="003D30AB" w:rsidRDefault="003D30AB" w:rsidP="003D30AB">
      <w:r w:rsidRPr="00222913">
        <w:t>This reflection report uses Gibbs' Reflective Cycle (1988) to systematically analyse my placement experience (Pieper et al., 2020). It will take place through six steps of reflection, including description, feelings, evaluation, analysis, conclusion, and action plan, by guiding reflection to the next level of critical thinking to convert real challenges in the workplace into something valuable to learn and grow as a professional.</w:t>
      </w:r>
    </w:p>
    <w:p w14:paraId="111286E9" w14:textId="77777777" w:rsidR="003D30AB" w:rsidRDefault="003D30AB" w:rsidP="003D30AB">
      <w:r w:rsidRPr="00E20A18">
        <w:t>The busiest time of my placement was breakfast between 8:00 and 9:30 a.m. at Novotel Sheffield. Although the demand of guests can be predicted, the shift was allocated one chef only, which placed an instant strain on operations. The General Manager (GM) also came to the rescue a few mornings to assist with food preparation and oversee front-of-house service. Although this short-term assistance avoided a total breakdown of the services, it brought to light ineffective delegation, role confusion, and ensured no plan was made. Thus, food delivery became slower, trays of buffets were filled quickly, and settings were postponed, putting a strain on the staff and customers.</w:t>
      </w:r>
    </w:p>
    <w:p w14:paraId="1BA14F0E" w14:textId="77777777" w:rsidR="003D30AB" w:rsidRDefault="003D30AB" w:rsidP="003D30AB">
      <w:pPr>
        <w:rPr>
          <w:b/>
          <w:u w:val="single"/>
        </w:rPr>
      </w:pPr>
      <w:r w:rsidRPr="001E63DD">
        <w:t>Initially, I liked the action of the GM to intervene, which is how I viewed it as supportive leadership. As the trend persisted, however, I realised that there were underlying organisational problems under this intervention. I started to feel frustrated and underestimated, in particular, when there was no certainty in distributing work, and the era of appreciation was limited. These feelings were consistent with the Maslach and Leiter burnout model, in which exhaustion, cynicism and a lack of efficacy are manifested in cases when workers do not feel supported (Pehlivanoglu et al., 2024). Being a placement student who wanted to learn, I was not allowed to do anything but repetitive work, and poor communication made me feel constrained. This experience has helped me realise how leadership behaviour has a direct impact on motivation, morale and learning opportunities.</w:t>
      </w:r>
    </w:p>
    <w:p w14:paraId="602B5649" w14:textId="77777777" w:rsidR="003D30AB" w:rsidRPr="005716CB" w:rsidRDefault="003D30AB" w:rsidP="003D30AB">
      <w:r w:rsidRPr="001E63DD">
        <w:t xml:space="preserve">There were strengths and weaknesses of the situation. Short-term crisis management was exhibited when the GM intervened and avoided total collapse of the service. Nonetheless, it also indicated a prevailing situation of reactive leadership, as opposed to systematic oversight, which hurt motivation and experience with the guest. Based on the Two-Factor Theory proposed by Herzberg, the lack of motivators, i.e. recognition and development, decreased the level of satisfaction, and the weak supervision caused hygienic factors that resulted in dissatisfaction (Herzberg, 1959). As </w:t>
      </w:r>
      <w:r w:rsidRPr="001E63DD">
        <w:lastRenderedPageBreak/>
        <w:t>a guest, the dimension of SERVQUAL reliability was diminished by delays, which decreased the perceived service quality (Njelita and Opara, 2023). This experience helped to realise that without proper staffing and delegation, employee morale, as well as the satisfaction of the guests, declines.</w:t>
      </w:r>
    </w:p>
    <w:p w14:paraId="2A4D08E6" w14:textId="77777777" w:rsidR="003D30AB" w:rsidRDefault="003D30AB" w:rsidP="003D30AB">
      <w:r>
        <w:t>As Jones (2008) points out, the way of operation in guest service functions is to have a well-organised system that facilitates coordination, cleanliness and supervisory clarity. This lack of structure was manifested in the Novotel Sheffield breakfast service. The number of scheduled chefs during the busiest period was only one, which automatically made demand and capacity unbalanced. This indicated reliance on crisis intervention, but not strategic staffing, although its application was not in line with successful guest service operations since the GM intervened. Walker (2021) emphasises that the level of guest satisfaction depends on the effective alignment of the departments, but the communication between the management, service team, and the kitchen was uneven and was causing unnecessary delays.</w:t>
      </w:r>
    </w:p>
    <w:p w14:paraId="685B2BE8" w14:textId="77777777" w:rsidR="003D30AB" w:rsidRDefault="003D30AB" w:rsidP="003D30AB">
      <w:r>
        <w:t>As stated by Wood (2013), operation excellence relies on communication and a well-developed culture of service, which was undermined by the lack of clarity in delegation. Using the Action-Centred Leadership methodology by Adair (Aburahmah, 2021), the imbalance was apparent: the focus was on the task needs, whereas the team coordination and individual support were not taken into consideration. This is comparable to the produce or perish style of Blake and Mouton (1964), where short-term outcomes outweigh the staff's well-being and usually lead to long-term demotivation (Doring et al., 2024).</w:t>
      </w:r>
    </w:p>
    <w:p w14:paraId="0CB040A5" w14:textId="77777777" w:rsidR="003D30AB" w:rsidRDefault="003D30AB" w:rsidP="003D30AB">
      <w:r>
        <w:t>Interaction was also influenced. In the model of employee engagement proposed by Kahn (1990), meaningfulness, psychological safety and availability are needed in employee engagement, but repetitive crisis management and little recognition decreased autonomy and motivation (Mohd &amp; Pan Nai Ming, 2024). Equally, Zingers' (2009) engagement cycle emphasises recognition as a source of energy that is not present in this case (Cook, 2024).</w:t>
      </w:r>
    </w:p>
    <w:p w14:paraId="60ACB9DB" w14:textId="77777777" w:rsidR="003D30AB" w:rsidRDefault="003D30AB" w:rsidP="003D30AB">
      <w:r>
        <w:t xml:space="preserve">In the eyes of the guests, the orientation of SERVQUAL towards responsiveness, reliability and assurance proved to be compromised, since wait times and poor feedback and communication introduced service gaps (Njelita and Opara, 2023). The lack of a clear bottleneck between the kitchen and floor reveals a major point of vulnerability of service blueprinting that Wynn and Jones (2022) make when stating that demand and capacity misalignment is a vital vulnerability. Whereas </w:t>
      </w:r>
      <w:r>
        <w:lastRenderedPageBreak/>
        <w:t>hotels like Hilton and Marriott rely on digital dashboards and team huddles to enhance coordination (Cousins et al., 2023), at Novotel, sustainable solutions were not possible due to the reactive nature of the management based on heroic actions.</w:t>
      </w:r>
    </w:p>
    <w:p w14:paraId="3EF6D1C2" w14:textId="2FDA7F4B" w:rsidR="003D30AB" w:rsidRPr="001E63DD" w:rsidRDefault="003D30AB" w:rsidP="003D30AB">
      <w:r>
        <w:t>As an action plan I would i</w:t>
      </w:r>
      <w:r w:rsidRPr="001E63DD">
        <w:t>ntroduce daily 5-minute huddles between the kitchen and housekeeping liaison and service teams to ensure that the number of guests, room arrangements, food requests and role assignments are correct. This should be viewed as industry best practice in other hotels, such as the Hilton and Premier Inn, where team huddles are reinforced. I will monitor progress by the shortened delays of breakfast, decreased last-minute changes and communication in departments.</w:t>
      </w:r>
    </w:p>
    <w:p w14:paraId="471CE4FF" w14:textId="6AD7FEDB" w:rsidR="003D30AB" w:rsidRPr="001E63DD" w:rsidRDefault="0006214A" w:rsidP="003D30AB">
      <w:r>
        <w:t>Furthermore, I would c</w:t>
      </w:r>
      <w:r w:rsidR="003D30AB" w:rsidRPr="001E63DD">
        <w:t>reate a rudimentary common digital dashboard (based on PMS notes or Teams) that displays real-time room turnover, meeting-room preparation and food preparation status. This goes hand in hand with the modern technologies of guest service adopted in large hotel chains. The monitoring will be done through monitoring the decrease of the error rate, quicker room preparations and better communication between the back and the front of the house staff.</w:t>
      </w:r>
    </w:p>
    <w:p w14:paraId="58F79801" w14:textId="47E76EF8" w:rsidR="003D30AB" w:rsidRPr="001E63DD" w:rsidRDefault="0006214A" w:rsidP="003D30AB">
      <w:r>
        <w:t>And finally, I would a</w:t>
      </w:r>
      <w:r w:rsidR="003D30AB" w:rsidRPr="001E63DD">
        <w:t>dvise supervisors to have monthly coaching sessions on delegating workloads, communication, motivation and situational leadership. This will equip the team to cope with peak times without having to rely on a managerial intervention that is reactive in nature. I will measure success by the fact that the staff will be more engaged, the roles will be performed more regularly and more responsively during the peak times related to guests.</w:t>
      </w:r>
    </w:p>
    <w:p w14:paraId="5D62DE13" w14:textId="77777777" w:rsidR="003D30AB" w:rsidRPr="006E651C" w:rsidRDefault="003D30AB" w:rsidP="003D30AB"/>
    <w:p w14:paraId="34EE5EBD" w14:textId="77777777" w:rsidR="003D30AB" w:rsidRDefault="003D30AB" w:rsidP="003D30AB">
      <w:pPr>
        <w:spacing w:line="276" w:lineRule="auto"/>
        <w:jc w:val="left"/>
        <w:rPr>
          <w:rFonts w:asciiTheme="majorHAnsi" w:eastAsiaTheme="majorEastAsia" w:hAnsiTheme="majorHAnsi" w:cstheme="majorBidi"/>
          <w:b/>
          <w:bCs/>
          <w:color w:val="156082" w:themeColor="accent1"/>
          <w:sz w:val="26"/>
          <w:szCs w:val="26"/>
        </w:rPr>
      </w:pPr>
      <w:r>
        <w:br w:type="page"/>
      </w:r>
    </w:p>
    <w:p w14:paraId="37B5385A" w14:textId="418010F1" w:rsidR="003D30AB" w:rsidRPr="00A11624" w:rsidRDefault="003D30AB" w:rsidP="003F0BE2">
      <w:pPr>
        <w:pStyle w:val="Heading1"/>
      </w:pPr>
      <w:bookmarkStart w:id="2" w:name="_Toc213500097"/>
      <w:r>
        <w:lastRenderedPageBreak/>
        <w:t>Conclusion</w:t>
      </w:r>
      <w:bookmarkEnd w:id="2"/>
    </w:p>
    <w:p w14:paraId="3E3F974F" w14:textId="77777777" w:rsidR="003D30AB" w:rsidRDefault="003D30AB" w:rsidP="003D30AB">
      <w:r>
        <w:t xml:space="preserve">This position </w:t>
      </w:r>
      <w:r w:rsidRPr="006E651C">
        <w:t>brought out the fact that guest service operations require aggressive leadership, effective communication together with resource distribution. The repetitive use of reactive managerial assistance identified the inadequacy of staffing and ineffective coordination as the underminer of the motivation of personnel and customer satisfaction. The connection of this experience to my Level 5 module, Management and Organisational Behaviour, allowed me to realise the role played by organised delegation, involvement and supervisory planning. Comprehensively, the reflection broadened my perspective on the way operational bottlenecks are created and the way leadership behaviour influences the service quality. To continue, I would use proactive communication, better practices of capacity planning and recognition as my means of improving team performance and guest experience.</w:t>
      </w:r>
    </w:p>
    <w:p w14:paraId="6009168E" w14:textId="5742F67C" w:rsidR="003D30AB" w:rsidRPr="003D30AB" w:rsidRDefault="003D30AB" w:rsidP="003D30AB">
      <w:pPr>
        <w:spacing w:line="276" w:lineRule="auto"/>
        <w:jc w:val="left"/>
        <w:rPr>
          <w:b/>
          <w:u w:val="single"/>
        </w:rPr>
      </w:pPr>
      <w:r>
        <w:rPr>
          <w:b/>
          <w:bCs/>
        </w:rPr>
        <w:br w:type="page"/>
      </w:r>
    </w:p>
    <w:p w14:paraId="57B32D23" w14:textId="77777777" w:rsidR="003D30AB" w:rsidRDefault="003D30AB" w:rsidP="003D30AB">
      <w:pPr>
        <w:pStyle w:val="Heading1"/>
      </w:pPr>
      <w:bookmarkStart w:id="3" w:name="_Toc213500098"/>
      <w:r>
        <w:lastRenderedPageBreak/>
        <w:t>References</w:t>
      </w:r>
      <w:bookmarkEnd w:id="3"/>
    </w:p>
    <w:p w14:paraId="0FD7729B" w14:textId="77777777" w:rsidR="003D30AB" w:rsidRPr="002D5411" w:rsidRDefault="003D30AB" w:rsidP="003D30AB">
      <w:r>
        <w:t>Aburahmah, R. (2021)</w:t>
      </w:r>
      <w:r w:rsidRPr="002D5411">
        <w:t xml:space="preserve"> </w:t>
      </w:r>
      <w:r w:rsidRPr="002D5411">
        <w:rPr>
          <w:i/>
          <w:iCs/>
        </w:rPr>
        <w:t>The role of leadership in enhancing the TQM performance.</w:t>
      </w:r>
      <w:r w:rsidRPr="002D5411">
        <w:t xml:space="preserve"> İstanbul Kültür Üniversitesi / Lisansüstü Eğitim Enstitüsü / Endüstri Mühendisliği Ana Bilim Dalı / Mühendislik Yönetimi Bilim Dalı. Available at: </w:t>
      </w:r>
      <w:hyperlink r:id="rId14" w:tgtFrame="_new" w:history="1">
        <w:r w:rsidRPr="002D5411">
          <w:rPr>
            <w:rStyle w:val="Hyperlink"/>
          </w:rPr>
          <w:t>http://openaccess.iku.edu.tr/entities/publication/948e7334-af1e-497b-9e8d-fcc337ce33f7</w:t>
        </w:r>
      </w:hyperlink>
      <w:r w:rsidRPr="002D5411">
        <w:t xml:space="preserve"> (Accessed: 23 October 2025).</w:t>
      </w:r>
    </w:p>
    <w:p w14:paraId="57546472" w14:textId="77777777" w:rsidR="003D30AB" w:rsidRPr="002D5411" w:rsidRDefault="003D30AB" w:rsidP="003D30AB">
      <w:r w:rsidRPr="002D5411">
        <w:t xml:space="preserve">Cook, S.C. (2024) </w:t>
      </w:r>
      <w:r w:rsidRPr="002D5411">
        <w:rPr>
          <w:i/>
          <w:iCs/>
        </w:rPr>
        <w:t>Loneliness and the Urban American (Non-)Romantic.</w:t>
      </w:r>
      <w:r w:rsidRPr="002D5411">
        <w:t xml:space="preserve"> CUNY Academic Works. Available at: </w:t>
      </w:r>
      <w:hyperlink r:id="rId15" w:tgtFrame="_new" w:history="1">
        <w:r w:rsidRPr="002D5411">
          <w:rPr>
            <w:rStyle w:val="Hyperlink"/>
          </w:rPr>
          <w:t>https://academicworks.cuny.edu/gc_etds/5971/</w:t>
        </w:r>
      </w:hyperlink>
      <w:r w:rsidRPr="002D5411">
        <w:t xml:space="preserve"> (Accessed: 2</w:t>
      </w:r>
      <w:r>
        <w:t>2</w:t>
      </w:r>
      <w:r w:rsidRPr="002D5411">
        <w:t xml:space="preserve"> October 2025).</w:t>
      </w:r>
    </w:p>
    <w:p w14:paraId="5B9E55D5" w14:textId="3288F29E" w:rsidR="003D30AB" w:rsidRPr="002D5411" w:rsidRDefault="003D30AB" w:rsidP="003D30AB">
      <w:r w:rsidRPr="002D5411">
        <w:t>Cousins, J., Foske</w:t>
      </w:r>
      <w:r>
        <w:t>tt, D. and Gillespie, C. (2023)</w:t>
      </w:r>
      <w:r w:rsidRPr="002D5411">
        <w:t xml:space="preserve"> </w:t>
      </w:r>
      <w:r w:rsidRPr="002D5411">
        <w:rPr>
          <w:i/>
          <w:iCs/>
        </w:rPr>
        <w:t>Food and beverage management.</w:t>
      </w:r>
      <w:r w:rsidRPr="002D5411">
        <w:t xml:space="preserve"> Prentice Hall. Available at: </w:t>
      </w:r>
      <w:hyperlink r:id="rId16" w:tgtFrame="_new" w:history="1">
        <w:r w:rsidRPr="002D5411">
          <w:rPr>
            <w:rStyle w:val="Hyperlink"/>
          </w:rPr>
          <w:t>https://www.torrossa.com/gs/resourceProxy?an=5825880&amp;publisher=FZO374</w:t>
        </w:r>
      </w:hyperlink>
      <w:r w:rsidRPr="002D5411">
        <w:t xml:space="preserve"> (Accessed: </w:t>
      </w:r>
      <w:r w:rsidR="006D0D1E">
        <w:t>05</w:t>
      </w:r>
      <w:r w:rsidRPr="002D5411">
        <w:t xml:space="preserve"> </w:t>
      </w:r>
      <w:r w:rsidR="006D0D1E">
        <w:t xml:space="preserve">November </w:t>
      </w:r>
      <w:r w:rsidRPr="002D5411">
        <w:t>2025).</w:t>
      </w:r>
    </w:p>
    <w:p w14:paraId="644FC636" w14:textId="4B195840" w:rsidR="003D30AB" w:rsidRDefault="003D30AB" w:rsidP="003D30AB">
      <w:r w:rsidRPr="002D5411">
        <w:t xml:space="preserve">Döring, M., Pihl-Thingvad, S. and Vogel, R. (2024) ‘Time to rediscover task-oriented leadership? A multi-source, time-lagged study on leadership and well-being in public service jobs, </w:t>
      </w:r>
      <w:r w:rsidRPr="002D5411">
        <w:rPr>
          <w:i/>
          <w:iCs/>
        </w:rPr>
        <w:t>Public Management Review,</w:t>
      </w:r>
      <w:r w:rsidRPr="002D5411">
        <w:t xml:space="preserve"> 27(6), pp. 1–26. Available at: </w:t>
      </w:r>
      <w:hyperlink r:id="rId17" w:tgtFrame="_new" w:history="1">
        <w:r w:rsidRPr="002D5411">
          <w:rPr>
            <w:rStyle w:val="Hyperlink"/>
          </w:rPr>
          <w:t>https://doi.org/10.1080/14719037.2024.2411631</w:t>
        </w:r>
      </w:hyperlink>
      <w:r w:rsidRPr="002D5411">
        <w:t xml:space="preserve"> (Accessed: 2</w:t>
      </w:r>
      <w:r w:rsidR="00260948">
        <w:t>5</w:t>
      </w:r>
      <w:r w:rsidRPr="002D5411">
        <w:t xml:space="preserve"> October 2025).</w:t>
      </w:r>
    </w:p>
    <w:p w14:paraId="6373ECCB" w14:textId="77777777" w:rsidR="003D30AB" w:rsidRPr="002D5411" w:rsidRDefault="003D30AB" w:rsidP="003D30AB">
      <w:r>
        <w:t>Jones, T.J.A. (2008)</w:t>
      </w:r>
      <w:r w:rsidRPr="0025225F">
        <w:t xml:space="preserve"> </w:t>
      </w:r>
      <w:r w:rsidRPr="0025225F">
        <w:rPr>
          <w:i/>
          <w:iCs/>
        </w:rPr>
        <w:t>Professional management of housekeeping operations</w:t>
      </w:r>
      <w:r w:rsidRPr="0025225F">
        <w:t xml:space="preserve"> [electronic resource]. 5th edn. Hoboken, N.J.: John Wiley &amp; Sons.</w:t>
      </w:r>
    </w:p>
    <w:p w14:paraId="71500627" w14:textId="77777777" w:rsidR="003D30AB" w:rsidRPr="002D5411" w:rsidRDefault="003D30AB" w:rsidP="003D30AB">
      <w:r w:rsidRPr="002D5411">
        <w:t xml:space="preserve">Pehlivanoğlu, M.Ç., Civelek, M.E. and Taşova, M. (2024) ‘The effect of technological unemployment anxiety on employee burnout’, </w:t>
      </w:r>
      <w:r w:rsidRPr="002D5411">
        <w:rPr>
          <w:i/>
          <w:iCs/>
        </w:rPr>
        <w:t>Middle East Journal of Management,</w:t>
      </w:r>
      <w:r w:rsidRPr="002D5411">
        <w:t xml:space="preserve"> 11(4), pp. 382–398. Available at: </w:t>
      </w:r>
      <w:hyperlink r:id="rId18" w:tgtFrame="_new" w:history="1">
        <w:r w:rsidRPr="002D5411">
          <w:rPr>
            <w:rStyle w:val="Hyperlink"/>
          </w:rPr>
          <w:t>https://doi.org/10.1504/mejm.2024.139578</w:t>
        </w:r>
      </w:hyperlink>
      <w:r w:rsidRPr="002D5411">
        <w:t xml:space="preserve"> (Accessed: 2</w:t>
      </w:r>
      <w:r>
        <w:t>4</w:t>
      </w:r>
      <w:r w:rsidRPr="002D5411">
        <w:t xml:space="preserve"> October 2025).</w:t>
      </w:r>
    </w:p>
    <w:p w14:paraId="26090147" w14:textId="3A79036E" w:rsidR="003D30AB" w:rsidRPr="002D5411" w:rsidRDefault="003D30AB" w:rsidP="003D30AB">
      <w:r w:rsidRPr="002D5411">
        <w:t xml:space="preserve">Mohd, and Pan Nai Ming. (2024) ‘An overview of employee engagement and its relationship to employee performance: In the background of human resource development’, </w:t>
      </w:r>
      <w:r w:rsidRPr="002D5411">
        <w:rPr>
          <w:i/>
          <w:iCs/>
        </w:rPr>
        <w:t>International Journal of Academic Research in Business &amp; Social Sciences,</w:t>
      </w:r>
      <w:r w:rsidRPr="002D5411">
        <w:t xml:space="preserve"> 14(4). Available at: </w:t>
      </w:r>
      <w:hyperlink r:id="rId19" w:tgtFrame="_new" w:history="1">
        <w:r w:rsidRPr="002D5411">
          <w:rPr>
            <w:rStyle w:val="Hyperlink"/>
          </w:rPr>
          <w:t>https://doi.org/10.6007/ijarbss/v14-i4/21139</w:t>
        </w:r>
      </w:hyperlink>
      <w:r w:rsidRPr="002D5411">
        <w:t xml:space="preserve"> (Accessed: 2</w:t>
      </w:r>
      <w:r w:rsidR="00260948">
        <w:t>5</w:t>
      </w:r>
      <w:r w:rsidRPr="002D5411">
        <w:t xml:space="preserve"> October 2025).</w:t>
      </w:r>
    </w:p>
    <w:p w14:paraId="4282C50E" w14:textId="29D987E9" w:rsidR="003D30AB" w:rsidRPr="002D5411" w:rsidRDefault="003D30AB" w:rsidP="003D30AB">
      <w:r w:rsidRPr="002D5411">
        <w:t xml:space="preserve">Njelita, C.I. and Opara, P.C. (2023) 'Influence of reliability and responsiveness to service quality on commuters' satisfaction in a road transportation firm in Anambra State, Nigeria’, </w:t>
      </w:r>
      <w:r w:rsidRPr="002D5411">
        <w:rPr>
          <w:i/>
          <w:iCs/>
        </w:rPr>
        <w:t>Nnadiebube Journal of Social Sciences,</w:t>
      </w:r>
      <w:r w:rsidRPr="002D5411">
        <w:t xml:space="preserve"> 4(2), pp. 76–121. Available at: </w:t>
      </w:r>
      <w:hyperlink r:id="rId20" w:tgtFrame="_new" w:history="1">
        <w:r w:rsidRPr="002D5411">
          <w:rPr>
            <w:rStyle w:val="Hyperlink"/>
          </w:rPr>
          <w:t>https://nnadiebubejss.org/index.php/njss/article/view/54</w:t>
        </w:r>
      </w:hyperlink>
      <w:r w:rsidRPr="002D5411">
        <w:t xml:space="preserve"> (Accessed: </w:t>
      </w:r>
      <w:r w:rsidR="006D0D1E">
        <w:t>09</w:t>
      </w:r>
      <w:r w:rsidRPr="002D5411">
        <w:t xml:space="preserve"> </w:t>
      </w:r>
      <w:r w:rsidR="006D0D1E">
        <w:t>November</w:t>
      </w:r>
      <w:r w:rsidRPr="002D5411">
        <w:t xml:space="preserve"> 2025).</w:t>
      </w:r>
    </w:p>
    <w:p w14:paraId="2DCE6FC5" w14:textId="77777777" w:rsidR="003D30AB" w:rsidRDefault="003D30AB" w:rsidP="003D30AB">
      <w:r w:rsidRPr="002D5411">
        <w:lastRenderedPageBreak/>
        <w:t xml:space="preserve">Pieper, M., Roelle, J., vom Hofe, R., Salle, A. and Berthold, K. (2020) ‘Feedback in reflective journals fosters reflection skills of student teachers’, </w:t>
      </w:r>
      <w:r w:rsidRPr="002D5411">
        <w:rPr>
          <w:i/>
          <w:iCs/>
        </w:rPr>
        <w:t>Psychology Learning &amp; Teaching,</w:t>
      </w:r>
      <w:r w:rsidRPr="002D5411">
        <w:t xml:space="preserve"> 20(1), pp. 107–127. Available at: </w:t>
      </w:r>
      <w:hyperlink r:id="rId21" w:tgtFrame="_new" w:history="1">
        <w:r w:rsidRPr="002D5411">
          <w:rPr>
            <w:rStyle w:val="Hyperlink"/>
          </w:rPr>
          <w:t>https://doi.org/10.1177/1475725720966190</w:t>
        </w:r>
      </w:hyperlink>
      <w:r w:rsidRPr="002D5411">
        <w:t xml:space="preserve"> (Accessed: 2</w:t>
      </w:r>
      <w:r>
        <w:t>4</w:t>
      </w:r>
      <w:r w:rsidRPr="002D5411">
        <w:t xml:space="preserve"> October 2025).</w:t>
      </w:r>
    </w:p>
    <w:p w14:paraId="63A2AF8E" w14:textId="77777777" w:rsidR="003D30AB" w:rsidRPr="0025225F" w:rsidRDefault="003D30AB" w:rsidP="003D30AB">
      <w:r w:rsidRPr="0025225F">
        <w:t>Walker, J</w:t>
      </w:r>
      <w:r>
        <w:t>.R. (2021)</w:t>
      </w:r>
      <w:r w:rsidRPr="0025225F">
        <w:t xml:space="preserve"> </w:t>
      </w:r>
      <w:r w:rsidRPr="0025225F">
        <w:rPr>
          <w:i/>
          <w:iCs/>
        </w:rPr>
        <w:t>Introduction to hospitality.</w:t>
      </w:r>
      <w:r w:rsidRPr="0025225F">
        <w:t xml:space="preserve"> 8th edn, Global edition. Harlow, England: Pearson.</w:t>
      </w:r>
    </w:p>
    <w:p w14:paraId="7335D65D" w14:textId="77777777" w:rsidR="003D30AB" w:rsidRPr="002D5411" w:rsidRDefault="003D30AB" w:rsidP="003D30AB">
      <w:r>
        <w:t>Wood, R.C. (2013)</w:t>
      </w:r>
      <w:r w:rsidRPr="0025225F">
        <w:t xml:space="preserve"> </w:t>
      </w:r>
      <w:r w:rsidRPr="0025225F">
        <w:rPr>
          <w:i/>
          <w:iCs/>
        </w:rPr>
        <w:t>Key concepts in hospitality management.</w:t>
      </w:r>
      <w:r w:rsidRPr="0025225F">
        <w:t xml:space="preserve"> London: SAGE Publications Ltd.</w:t>
      </w:r>
    </w:p>
    <w:p w14:paraId="736DB0AF" w14:textId="63079F7B" w:rsidR="003D30AB" w:rsidRPr="002D5411" w:rsidRDefault="003D30AB" w:rsidP="003D30AB">
      <w:r w:rsidRPr="002D5411">
        <w:t xml:space="preserve">Wynn, M. and Jones, P. (2022) ‘IT strategy in the hotel industry in the digital era’, </w:t>
      </w:r>
      <w:r w:rsidRPr="002D5411">
        <w:rPr>
          <w:i/>
          <w:iCs/>
        </w:rPr>
        <w:t>Sustainability,</w:t>
      </w:r>
      <w:r w:rsidRPr="002D5411">
        <w:t xml:space="preserve"> 14(17), 10705. Available at: </w:t>
      </w:r>
      <w:hyperlink r:id="rId22" w:tgtFrame="_new" w:history="1">
        <w:r w:rsidRPr="002D5411">
          <w:rPr>
            <w:rStyle w:val="Hyperlink"/>
          </w:rPr>
          <w:t>https://doi.org/10.3390/su141710705</w:t>
        </w:r>
      </w:hyperlink>
      <w:r w:rsidRPr="002D5411">
        <w:t xml:space="preserve"> (Accessed: </w:t>
      </w:r>
      <w:r w:rsidR="006D0D1E">
        <w:t>30</w:t>
      </w:r>
      <w:r w:rsidRPr="002D5411">
        <w:t xml:space="preserve"> October 2025).</w:t>
      </w:r>
    </w:p>
    <w:p w14:paraId="52201000" w14:textId="77777777" w:rsidR="003D30AB" w:rsidRPr="00D7455E" w:rsidRDefault="003D30AB" w:rsidP="003D30AB"/>
    <w:p w14:paraId="544B9B8A" w14:textId="00FD212E" w:rsidR="00661472" w:rsidRPr="003D30AB" w:rsidRDefault="00661472" w:rsidP="003D30AB"/>
    <w:sectPr w:rsidR="00661472" w:rsidRPr="003D30AB" w:rsidSect="00DA79D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FCD4DE" w14:textId="77777777" w:rsidR="00461968" w:rsidRDefault="00461968">
      <w:pPr>
        <w:spacing w:after="0" w:line="240" w:lineRule="auto"/>
      </w:pPr>
      <w:r>
        <w:separator/>
      </w:r>
    </w:p>
  </w:endnote>
  <w:endnote w:type="continuationSeparator" w:id="0">
    <w:p w14:paraId="19DC4144" w14:textId="77777777" w:rsidR="00461968" w:rsidRDefault="004619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DC07C1" w14:textId="77777777" w:rsidR="003D30AB" w:rsidRDefault="003D30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22530D" w14:textId="77777777" w:rsidR="003D30AB" w:rsidRDefault="003D30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711755" w14:textId="77777777" w:rsidR="003D30AB" w:rsidRDefault="003D30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59185B" w14:textId="77777777" w:rsidR="00461968" w:rsidRDefault="00461968">
      <w:pPr>
        <w:spacing w:after="0" w:line="240" w:lineRule="auto"/>
      </w:pPr>
      <w:r>
        <w:separator/>
      </w:r>
    </w:p>
  </w:footnote>
  <w:footnote w:type="continuationSeparator" w:id="0">
    <w:p w14:paraId="6FD0C27D" w14:textId="77777777" w:rsidR="00461968" w:rsidRDefault="004619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4C95A9" w14:textId="77777777" w:rsidR="003D30AB" w:rsidRDefault="003D30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48B68A" w14:textId="77777777" w:rsidR="003D30AB" w:rsidRDefault="003D30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E70DD" w14:textId="77777777" w:rsidR="003D30AB" w:rsidRDefault="003D30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CD17FA"/>
    <w:multiLevelType w:val="hybridMultilevel"/>
    <w:tmpl w:val="883CD8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950274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89C"/>
    <w:rsid w:val="00037D5C"/>
    <w:rsid w:val="0006214A"/>
    <w:rsid w:val="00227E42"/>
    <w:rsid w:val="00260948"/>
    <w:rsid w:val="003D30AB"/>
    <w:rsid w:val="003F0BE2"/>
    <w:rsid w:val="00461968"/>
    <w:rsid w:val="00573D48"/>
    <w:rsid w:val="00661472"/>
    <w:rsid w:val="006D0D1E"/>
    <w:rsid w:val="00896B70"/>
    <w:rsid w:val="0099189C"/>
    <w:rsid w:val="00B14F5A"/>
    <w:rsid w:val="00BF2D2B"/>
    <w:rsid w:val="00D127FA"/>
    <w:rsid w:val="00DA79DA"/>
    <w:rsid w:val="00E2256C"/>
    <w:rsid w:val="00F149E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A07A2"/>
  <w15:chartTrackingRefBased/>
  <w15:docId w15:val="{457CB88C-4A4C-4EB2-B619-75148F97B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30AB"/>
    <w:pPr>
      <w:spacing w:after="200" w:line="360" w:lineRule="auto"/>
      <w:jc w:val="both"/>
    </w:pPr>
    <w:rPr>
      <w:rFonts w:ascii="Times New Roman" w:hAnsi="Times New Roman"/>
      <w:sz w:val="24"/>
      <w:lang w:val="en-US"/>
      <w14:ligatures w14:val="none"/>
    </w:rPr>
  </w:style>
  <w:style w:type="paragraph" w:styleId="Heading1">
    <w:name w:val="heading 1"/>
    <w:basedOn w:val="Normal"/>
    <w:next w:val="Normal"/>
    <w:link w:val="Heading1Char"/>
    <w:uiPriority w:val="9"/>
    <w:qFormat/>
    <w:rsid w:val="009918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918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18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18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18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18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18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18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18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8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918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18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18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18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18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18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18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189C"/>
    <w:rPr>
      <w:rFonts w:eastAsiaTheme="majorEastAsia" w:cstheme="majorBidi"/>
      <w:color w:val="272727" w:themeColor="text1" w:themeTint="D8"/>
    </w:rPr>
  </w:style>
  <w:style w:type="paragraph" w:styleId="Title">
    <w:name w:val="Title"/>
    <w:basedOn w:val="Normal"/>
    <w:next w:val="Normal"/>
    <w:link w:val="TitleChar"/>
    <w:uiPriority w:val="10"/>
    <w:qFormat/>
    <w:rsid w:val="009918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8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18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18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189C"/>
    <w:pPr>
      <w:spacing w:before="160"/>
      <w:jc w:val="center"/>
    </w:pPr>
    <w:rPr>
      <w:i/>
      <w:iCs/>
      <w:color w:val="404040" w:themeColor="text1" w:themeTint="BF"/>
    </w:rPr>
  </w:style>
  <w:style w:type="character" w:customStyle="1" w:styleId="QuoteChar">
    <w:name w:val="Quote Char"/>
    <w:basedOn w:val="DefaultParagraphFont"/>
    <w:link w:val="Quote"/>
    <w:uiPriority w:val="29"/>
    <w:rsid w:val="0099189C"/>
    <w:rPr>
      <w:i/>
      <w:iCs/>
      <w:color w:val="404040" w:themeColor="text1" w:themeTint="BF"/>
    </w:rPr>
  </w:style>
  <w:style w:type="paragraph" w:styleId="ListParagraph">
    <w:name w:val="List Paragraph"/>
    <w:basedOn w:val="Normal"/>
    <w:uiPriority w:val="34"/>
    <w:qFormat/>
    <w:rsid w:val="0099189C"/>
    <w:pPr>
      <w:ind w:left="720"/>
      <w:contextualSpacing/>
    </w:pPr>
  </w:style>
  <w:style w:type="character" w:styleId="IntenseEmphasis">
    <w:name w:val="Intense Emphasis"/>
    <w:basedOn w:val="DefaultParagraphFont"/>
    <w:uiPriority w:val="21"/>
    <w:qFormat/>
    <w:rsid w:val="0099189C"/>
    <w:rPr>
      <w:i/>
      <w:iCs/>
      <w:color w:val="0F4761" w:themeColor="accent1" w:themeShade="BF"/>
    </w:rPr>
  </w:style>
  <w:style w:type="paragraph" w:styleId="IntenseQuote">
    <w:name w:val="Intense Quote"/>
    <w:basedOn w:val="Normal"/>
    <w:next w:val="Normal"/>
    <w:link w:val="IntenseQuoteChar"/>
    <w:uiPriority w:val="30"/>
    <w:qFormat/>
    <w:rsid w:val="009918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189C"/>
    <w:rPr>
      <w:i/>
      <w:iCs/>
      <w:color w:val="0F4761" w:themeColor="accent1" w:themeShade="BF"/>
    </w:rPr>
  </w:style>
  <w:style w:type="character" w:styleId="IntenseReference">
    <w:name w:val="Intense Reference"/>
    <w:basedOn w:val="DefaultParagraphFont"/>
    <w:uiPriority w:val="32"/>
    <w:qFormat/>
    <w:rsid w:val="0099189C"/>
    <w:rPr>
      <w:b/>
      <w:bCs/>
      <w:smallCaps/>
      <w:color w:val="0F4761" w:themeColor="accent1" w:themeShade="BF"/>
      <w:spacing w:val="5"/>
    </w:rPr>
  </w:style>
  <w:style w:type="paragraph" w:styleId="Caption">
    <w:name w:val="caption"/>
    <w:basedOn w:val="Normal"/>
    <w:next w:val="Normal"/>
    <w:uiPriority w:val="35"/>
    <w:unhideWhenUsed/>
    <w:qFormat/>
    <w:rsid w:val="003D30AB"/>
    <w:pPr>
      <w:spacing w:line="240" w:lineRule="auto"/>
    </w:pPr>
    <w:rPr>
      <w:b/>
      <w:bCs/>
      <w:color w:val="156082" w:themeColor="accent1"/>
      <w:sz w:val="18"/>
      <w:szCs w:val="18"/>
    </w:rPr>
  </w:style>
  <w:style w:type="character" w:styleId="Hyperlink">
    <w:name w:val="Hyperlink"/>
    <w:basedOn w:val="DefaultParagraphFont"/>
    <w:uiPriority w:val="99"/>
    <w:unhideWhenUsed/>
    <w:rsid w:val="003D30AB"/>
    <w:rPr>
      <w:color w:val="467886" w:themeColor="hyperlink"/>
      <w:u w:val="single"/>
    </w:rPr>
  </w:style>
  <w:style w:type="paragraph" w:styleId="Header">
    <w:name w:val="header"/>
    <w:basedOn w:val="Normal"/>
    <w:link w:val="HeaderChar"/>
    <w:uiPriority w:val="99"/>
    <w:unhideWhenUsed/>
    <w:rsid w:val="003D30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30AB"/>
    <w:rPr>
      <w:rFonts w:ascii="Times New Roman" w:hAnsi="Times New Roman"/>
      <w:sz w:val="24"/>
      <w:lang w:val="en-US"/>
      <w14:ligatures w14:val="none"/>
    </w:rPr>
  </w:style>
  <w:style w:type="paragraph" w:styleId="Footer">
    <w:name w:val="footer"/>
    <w:basedOn w:val="Normal"/>
    <w:link w:val="FooterChar"/>
    <w:uiPriority w:val="99"/>
    <w:unhideWhenUsed/>
    <w:rsid w:val="003D30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30AB"/>
    <w:rPr>
      <w:rFonts w:ascii="Times New Roman" w:hAnsi="Times New Roman"/>
      <w:sz w:val="24"/>
      <w:lang w:val="en-US"/>
      <w14:ligatures w14:val="none"/>
    </w:rPr>
  </w:style>
  <w:style w:type="paragraph" w:styleId="TOCHeading">
    <w:name w:val="TOC Heading"/>
    <w:basedOn w:val="Heading1"/>
    <w:next w:val="Normal"/>
    <w:uiPriority w:val="39"/>
    <w:semiHidden/>
    <w:unhideWhenUsed/>
    <w:qFormat/>
    <w:rsid w:val="003D30AB"/>
    <w:pPr>
      <w:spacing w:before="480" w:after="0" w:line="276" w:lineRule="auto"/>
      <w:outlineLvl w:val="9"/>
    </w:pPr>
    <w:rPr>
      <w:b/>
      <w:bCs/>
      <w:sz w:val="28"/>
      <w:szCs w:val="28"/>
      <w:u w:val="single"/>
      <w:lang w:eastAsia="ja-JP"/>
    </w:rPr>
  </w:style>
  <w:style w:type="paragraph" w:styleId="TOC1">
    <w:name w:val="toc 1"/>
    <w:basedOn w:val="Normal"/>
    <w:next w:val="Normal"/>
    <w:autoRedefine/>
    <w:uiPriority w:val="39"/>
    <w:unhideWhenUsed/>
    <w:rsid w:val="003D30AB"/>
    <w:pPr>
      <w:spacing w:after="100"/>
    </w:pPr>
  </w:style>
  <w:style w:type="paragraph" w:styleId="TOC2">
    <w:name w:val="toc 2"/>
    <w:basedOn w:val="Normal"/>
    <w:next w:val="Normal"/>
    <w:autoRedefine/>
    <w:uiPriority w:val="39"/>
    <w:unhideWhenUsed/>
    <w:rsid w:val="003D30A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doi.org/10.1504/mejm.2024.139578" TargetMode="External"/><Relationship Id="rId3" Type="http://schemas.openxmlformats.org/officeDocument/2006/relationships/settings" Target="settings.xml"/><Relationship Id="rId21" Type="http://schemas.openxmlformats.org/officeDocument/2006/relationships/hyperlink" Target="https://doi.org/10.1177/1475725720966190" TargetMode="Externa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hyperlink" Target="https://doi.org/10.1080/14719037.2024.2411631" TargetMode="External"/><Relationship Id="rId2" Type="http://schemas.openxmlformats.org/officeDocument/2006/relationships/styles" Target="styles.xml"/><Relationship Id="rId16" Type="http://schemas.openxmlformats.org/officeDocument/2006/relationships/hyperlink" Target="https://www.torrossa.com/gs/resourceProxy?an=5825880&amp;publisher=FZO374" TargetMode="External"/><Relationship Id="rId20" Type="http://schemas.openxmlformats.org/officeDocument/2006/relationships/hyperlink" Target="https://nnadiebubejss.org/index.php/njss/article/view/5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cademicworks.cuny.edu/gc_etds/5971/" TargetMode="External"/><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doi.org/10.6007/ijarbss/v14-i4/21139" TargetMode="Externa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openaccess.iku.edu.tr/entities/publication/948e7334-af1e-497b-9e8d-fcc337ce33f7" TargetMode="External"/><Relationship Id="rId22" Type="http://schemas.openxmlformats.org/officeDocument/2006/relationships/hyperlink" Target="https://doi.org/10.3390/su1417107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10</Pages>
  <Words>1964</Words>
  <Characters>11196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Mihalcea</dc:creator>
  <cp:keywords/>
  <dc:description/>
  <cp:lastModifiedBy>Robert Mihalcea</cp:lastModifiedBy>
  <cp:revision>756</cp:revision>
  <dcterms:created xsi:type="dcterms:W3CDTF">2025-09-21T09:02:00Z</dcterms:created>
  <dcterms:modified xsi:type="dcterms:W3CDTF">2025-11-13T09:52:00Z</dcterms:modified>
</cp:coreProperties>
</file>