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Arial" w:cs="Arial" w:hAnsi="Arial" w:eastAsia="Arial"/>
          <w:sz w:val="24"/>
          <w:szCs w:val="24"/>
          <w:u w:color="000000"/>
          <w:rtl w:val="0"/>
        </w:rPr>
      </w:pPr>
      <w:r>
        <w:rPr>
          <w:rFonts w:ascii="Arial" w:hAnsi="Arial"/>
          <w:b w:val="1"/>
          <w:bCs w:val="1"/>
          <w:sz w:val="24"/>
          <w:szCs w:val="24"/>
          <w:u w:color="000000"/>
          <w:rtl w:val="0"/>
          <w:lang w:val="en-US"/>
        </w:rPr>
        <w:t>The law in relation to non-fatal offences against the person is no longer fit for purpose and is in need of reform. Discuss</w:t>
      </w:r>
      <w:r>
        <w:rPr>
          <w:rFonts w:ascii="Arial" w:hAnsi="Arial"/>
          <w:b w:val="1"/>
          <w:bCs w:val="1"/>
          <w:sz w:val="24"/>
          <w:szCs w:val="24"/>
          <w:u w:color="333333"/>
          <w:rtl w:val="0"/>
        </w:rPr>
        <w:t>.</w:t>
      </w:r>
      <w:r>
        <w:rPr>
          <w:rFonts w:ascii="Arial" w:hAnsi="Arial"/>
          <w:b w:val="1"/>
          <w:bCs w:val="1"/>
          <w:sz w:val="24"/>
          <w:szCs w:val="24"/>
          <w:u w:color="333333"/>
          <w:rtl w:val="0"/>
          <w:lang w:val="en-US"/>
        </w:rPr>
        <w:t xml:space="preserve"> </w:t>
      </w:r>
      <w:r>
        <w:rPr>
          <w:rFonts w:ascii="Arial" w:hAnsi="Arial"/>
          <w:sz w:val="24"/>
          <w:szCs w:val="24"/>
          <w:u w:color="000000"/>
          <w:rtl w:val="0"/>
          <w:lang w:val="en-US"/>
        </w:rPr>
        <w:t>2000 words</w:t>
      </w:r>
    </w:p>
    <w:p>
      <w:pPr>
        <w:pStyle w:val="Body"/>
        <w:bidi w:val="0"/>
        <w:spacing w:before="100" w:after="100"/>
        <w:ind w:left="0" w:right="0" w:firstLine="0"/>
        <w:jc w:val="left"/>
        <w:rPr>
          <w:rFonts w:ascii="Arial" w:cs="Arial" w:hAnsi="Arial" w:eastAsia="Arial"/>
          <w:sz w:val="24"/>
          <w:szCs w:val="24"/>
          <w:u w:color="000000"/>
          <w:rtl w:val="0"/>
        </w:rPr>
      </w:pPr>
    </w:p>
    <w:p>
      <w:pPr>
        <w:pStyle w:val="Body"/>
        <w:bidi w:val="0"/>
        <w:spacing w:before="100" w:after="100"/>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 xml:space="preserve">  Due to </w:t>
      </w:r>
      <w:r>
        <w:rPr>
          <w:rFonts w:ascii="Arial" w:hAnsi="Arial"/>
          <w:sz w:val="24"/>
          <w:szCs w:val="24"/>
          <w:u w:color="000000"/>
          <w:rtl w:val="0"/>
          <w:lang w:val="en-US"/>
        </w:rPr>
        <w:t>the outdated language used within the Offences Against the Person Act [1861]</w:t>
      </w:r>
      <w:r>
        <w:rPr>
          <w:rFonts w:ascii="Arial" w:hAnsi="Arial"/>
          <w:sz w:val="24"/>
          <w:szCs w:val="24"/>
          <w:u w:color="000000"/>
          <w:rtl w:val="0"/>
          <w:lang w:val="en-US"/>
        </w:rPr>
        <w:t xml:space="preserve"> it can be argued that to a great extent it should be reformed and updated to be more accurate to the current language terms. The Law Commission report of 2015 stated that the Act should replace the outdated terms with modern, clear and logical legislation such as in previous cases such as  R v Miller (1954)</w:t>
      </w:r>
      <w:r>
        <w:rPr>
          <w:rFonts w:ascii="Arial" w:cs="Arial" w:hAnsi="Arial" w:eastAsia="Arial"/>
          <w:sz w:val="24"/>
          <w:szCs w:val="24"/>
          <w:u w:color="000000"/>
          <w:vertAlign w:val="superscript"/>
          <w:rtl w:val="0"/>
        </w:rPr>
        <w:footnoteReference w:id="1"/>
      </w:r>
      <w:r>
        <w:rPr>
          <w:rFonts w:ascii="Arial" w:hAnsi="Arial"/>
          <w:sz w:val="24"/>
          <w:szCs w:val="24"/>
          <w:u w:color="000000"/>
          <w:rtl w:val="0"/>
          <w:lang w:val="en-US"/>
        </w:rPr>
        <w:t xml:space="preserve">  the court concluded that the defendant was guilty of ABH as he caused hysteria when raping his wife and therefore the definition of actual bodily harm was to be considered as any injury or hurt likely to interfere with the health of the victim which includes both physical and non physical harm. However in the later case of T v Director of Public Prosecutions (2003)</w:t>
      </w:r>
      <w:r>
        <w:rPr>
          <w:rFonts w:ascii="Arial" w:cs="Arial" w:hAnsi="Arial" w:eastAsia="Arial"/>
          <w:sz w:val="24"/>
          <w:szCs w:val="24"/>
          <w:u w:color="000000"/>
          <w:vertAlign w:val="superscript"/>
          <w:rtl w:val="0"/>
        </w:rPr>
        <w:footnoteReference w:id="2"/>
      </w:r>
      <w:r>
        <w:rPr>
          <w:rFonts w:ascii="Arial" w:hAnsi="Arial"/>
          <w:sz w:val="24"/>
          <w:szCs w:val="24"/>
          <w:u w:color="000000"/>
          <w:rtl w:val="0"/>
          <w:lang w:val="en-US"/>
        </w:rPr>
        <w:t xml:space="preserve"> it was determined by the court that harm must be seen to be more than trivial or minimal in order to be considered as ABH and therefore the language used within the </w:t>
      </w:r>
      <w:r>
        <w:rPr>
          <w:rFonts w:ascii="Arial" w:hAnsi="Arial"/>
          <w:sz w:val="24"/>
          <w:szCs w:val="24"/>
          <w:u w:color="000000"/>
          <w:rtl w:val="0"/>
          <w:lang w:val="en-US"/>
        </w:rPr>
        <w:t>Offences Against the Person Act</w:t>
      </w:r>
      <w:r>
        <w:rPr>
          <w:rFonts w:ascii="Arial" w:hAnsi="Arial"/>
          <w:sz w:val="24"/>
          <w:szCs w:val="24"/>
          <w:u w:color="000000"/>
          <w:rtl w:val="0"/>
          <w:lang w:val="en-US"/>
        </w:rPr>
        <w:t xml:space="preserve"> needs to be reformed as there has been uncertainty as to the definition of what classifies as </w:t>
      </w:r>
      <w:r>
        <w:rPr>
          <w:rFonts w:ascii="Arial" w:hAnsi="Arial" w:hint="default"/>
          <w:sz w:val="24"/>
          <w:szCs w:val="24"/>
          <w:u w:color="000000"/>
          <w:rtl w:val="0"/>
          <w:lang w:val="en-US"/>
        </w:rPr>
        <w:t>“</w:t>
      </w:r>
      <w:r>
        <w:rPr>
          <w:rFonts w:ascii="Arial" w:hAnsi="Arial"/>
          <w:sz w:val="24"/>
          <w:szCs w:val="24"/>
          <w:u w:color="000000"/>
          <w:rtl w:val="0"/>
          <w:lang w:val="en-US"/>
        </w:rPr>
        <w:t>actual bodily harm</w:t>
      </w:r>
      <w:r>
        <w:rPr>
          <w:rFonts w:ascii="Arial" w:hAnsi="Arial" w:hint="default"/>
          <w:sz w:val="24"/>
          <w:szCs w:val="24"/>
          <w:u w:color="000000"/>
          <w:rtl w:val="0"/>
          <w:lang w:val="en-US"/>
        </w:rPr>
        <w:t>”</w:t>
      </w:r>
      <w:r>
        <w:rPr>
          <w:rFonts w:ascii="Arial" w:hAnsi="Arial"/>
          <w:sz w:val="24"/>
          <w:szCs w:val="24"/>
          <w:u w:color="000000"/>
          <w:rtl w:val="0"/>
          <w:lang w:val="en-US"/>
        </w:rPr>
        <w:t xml:space="preserve">. The law in relation to non-fatal offences against the person is in need of reform as within the case of </w:t>
      </w:r>
      <w:r>
        <w:rPr>
          <w:rFonts w:ascii="Arial" w:hAnsi="Arial"/>
          <w:sz w:val="24"/>
          <w:szCs w:val="24"/>
          <w:u w:color="000000"/>
          <w:rtl w:val="0"/>
          <w:lang w:val="en-US"/>
        </w:rPr>
        <w:t>DPP v Smith [2006</w:t>
      </w:r>
      <w:r>
        <w:rPr>
          <w:rFonts w:ascii="Arial" w:hAnsi="Arial"/>
          <w:sz w:val="24"/>
          <w:szCs w:val="24"/>
          <w:u w:color="000000"/>
          <w:rtl w:val="0"/>
          <w:lang w:val="en-US"/>
        </w:rPr>
        <w:t>]</w:t>
      </w:r>
      <w:r>
        <w:rPr>
          <w:rFonts w:ascii="Arial" w:cs="Arial" w:hAnsi="Arial" w:eastAsia="Arial"/>
          <w:sz w:val="24"/>
          <w:szCs w:val="24"/>
          <w:u w:color="000000"/>
          <w:vertAlign w:val="superscript"/>
          <w:rtl w:val="0"/>
        </w:rPr>
        <w:footnoteReference w:id="3"/>
      </w:r>
      <w:r>
        <w:rPr>
          <w:rFonts w:ascii="Arial" w:hAnsi="Arial"/>
          <w:sz w:val="24"/>
          <w:szCs w:val="24"/>
          <w:u w:color="000000"/>
          <w:rtl w:val="0"/>
          <w:lang w:val="en-US"/>
        </w:rPr>
        <w:t xml:space="preserve"> as it had been determined that the offence of Aggravated Bodily Harm was committed but there was cause of concern over the outdated language, the </w:t>
      </w:r>
      <w:r>
        <w:rPr>
          <w:rFonts w:ascii="Arial" w:hAnsi="Arial"/>
          <w:sz w:val="24"/>
          <w:szCs w:val="24"/>
          <w:u w:color="000000"/>
          <w:rtl w:val="0"/>
          <w:lang w:val="en-US"/>
        </w:rPr>
        <w:t>appellant used kitchen scissors to cut off the complainant</w:t>
      </w:r>
      <w:r>
        <w:rPr>
          <w:rFonts w:ascii="Arial" w:hAnsi="Arial" w:hint="default"/>
          <w:sz w:val="24"/>
          <w:szCs w:val="24"/>
          <w:u w:color="000000"/>
          <w:rtl w:val="1"/>
        </w:rPr>
        <w:t>’</w:t>
      </w:r>
      <w:r>
        <w:rPr>
          <w:rFonts w:ascii="Arial" w:hAnsi="Arial"/>
          <w:sz w:val="24"/>
          <w:szCs w:val="24"/>
          <w:u w:color="000000"/>
          <w:rtl w:val="0"/>
          <w:lang w:val="en-US"/>
        </w:rPr>
        <w:t>s ponytail and some hair off the top of her head without her consent.</w:t>
      </w:r>
      <w:r>
        <w:rPr>
          <w:rFonts w:ascii="Arial" w:hAnsi="Arial"/>
          <w:sz w:val="24"/>
          <w:szCs w:val="24"/>
          <w:u w:color="000000"/>
          <w:rtl w:val="0"/>
          <w:lang w:val="en-US"/>
        </w:rPr>
        <w:t xml:space="preserve"> The court concluded that the term </w:t>
      </w:r>
      <w:r>
        <w:rPr>
          <w:rFonts w:ascii="Arial" w:hAnsi="Arial" w:hint="default"/>
          <w:sz w:val="24"/>
          <w:szCs w:val="24"/>
          <w:u w:color="000000"/>
          <w:rtl w:val="0"/>
          <w:lang w:val="en-US"/>
        </w:rPr>
        <w:t>“</w:t>
      </w:r>
      <w:r>
        <w:rPr>
          <w:rFonts w:ascii="Arial" w:hAnsi="Arial"/>
          <w:sz w:val="24"/>
          <w:szCs w:val="24"/>
          <w:u w:color="000000"/>
          <w:rtl w:val="0"/>
          <w:lang w:val="en-US"/>
        </w:rPr>
        <w:t>H</w:t>
      </w:r>
      <w:r>
        <w:rPr>
          <w:rFonts w:ascii="Arial" w:hAnsi="Arial"/>
          <w:sz w:val="24"/>
          <w:szCs w:val="24"/>
          <w:u w:color="000000"/>
          <w:rtl w:val="0"/>
        </w:rPr>
        <w:t>arm</w:t>
      </w:r>
      <w:r>
        <w:rPr>
          <w:rFonts w:ascii="Arial" w:hAnsi="Arial" w:hint="default"/>
          <w:sz w:val="24"/>
          <w:szCs w:val="24"/>
          <w:u w:color="000000"/>
          <w:rtl w:val="0"/>
          <w:lang w:val="en-US"/>
        </w:rPr>
        <w:t xml:space="preserve">” </w:t>
      </w:r>
      <w:r>
        <w:rPr>
          <w:rFonts w:ascii="Arial" w:hAnsi="Arial"/>
          <w:sz w:val="24"/>
          <w:szCs w:val="24"/>
          <w:u w:color="000000"/>
          <w:rtl w:val="0"/>
          <w:lang w:val="en-US"/>
        </w:rPr>
        <w:t>may therefore include the substantial cutting of a person</w:t>
      </w:r>
      <w:r>
        <w:rPr>
          <w:rFonts w:ascii="Arial" w:hAnsi="Arial" w:hint="default"/>
          <w:sz w:val="24"/>
          <w:szCs w:val="24"/>
          <w:u w:color="000000"/>
          <w:rtl w:val="1"/>
        </w:rPr>
        <w:t>’</w:t>
      </w:r>
      <w:r>
        <w:rPr>
          <w:rFonts w:ascii="Arial" w:hAnsi="Arial"/>
          <w:sz w:val="24"/>
          <w:szCs w:val="24"/>
          <w:u w:color="000000"/>
          <w:rtl w:val="0"/>
          <w:lang w:val="en-US"/>
        </w:rPr>
        <w:t xml:space="preserve">s hair. The court stated that in ordinary language, </w:t>
      </w:r>
      <w:r>
        <w:rPr>
          <w:rFonts w:ascii="Arial" w:hAnsi="Arial" w:hint="default"/>
          <w:sz w:val="24"/>
          <w:szCs w:val="24"/>
          <w:u w:color="000000"/>
          <w:rtl w:val="1"/>
          <w:lang w:val="ar-SA" w:bidi="ar-SA"/>
        </w:rPr>
        <w:t>“</w:t>
      </w:r>
      <w:r>
        <w:rPr>
          <w:rFonts w:ascii="Arial" w:hAnsi="Arial"/>
          <w:sz w:val="24"/>
          <w:szCs w:val="24"/>
          <w:u w:color="000000"/>
          <w:rtl w:val="0"/>
          <w:lang w:val="da-DK"/>
        </w:rPr>
        <w:t>harm</w:t>
      </w:r>
      <w:r>
        <w:rPr>
          <w:rFonts w:ascii="Arial" w:hAnsi="Arial" w:hint="default"/>
          <w:sz w:val="24"/>
          <w:szCs w:val="24"/>
          <w:u w:color="000000"/>
          <w:rtl w:val="0"/>
        </w:rPr>
        <w:t xml:space="preserve">” </w:t>
      </w:r>
      <w:r>
        <w:rPr>
          <w:rFonts w:ascii="Arial" w:hAnsi="Arial"/>
          <w:sz w:val="24"/>
          <w:szCs w:val="24"/>
          <w:u w:color="000000"/>
          <w:rtl w:val="0"/>
          <w:lang w:val="en-US"/>
        </w:rPr>
        <w:t xml:space="preserve">is not limited to </w:t>
      </w:r>
      <w:r>
        <w:rPr>
          <w:rFonts w:ascii="Arial" w:hAnsi="Arial" w:hint="default"/>
          <w:sz w:val="24"/>
          <w:szCs w:val="24"/>
          <w:u w:color="000000"/>
          <w:rtl w:val="1"/>
          <w:lang w:val="ar-SA" w:bidi="ar-SA"/>
        </w:rPr>
        <w:t>“</w:t>
      </w:r>
      <w:r>
        <w:rPr>
          <w:rFonts w:ascii="Arial" w:hAnsi="Arial"/>
          <w:sz w:val="24"/>
          <w:szCs w:val="24"/>
          <w:u w:color="000000"/>
          <w:rtl w:val="0"/>
          <w:lang w:val="en-US"/>
        </w:rPr>
        <w:t>injury</w:t>
      </w:r>
      <w:r>
        <w:rPr>
          <w:rFonts w:ascii="Arial" w:hAnsi="Arial" w:hint="default"/>
          <w:sz w:val="24"/>
          <w:szCs w:val="24"/>
          <w:u w:color="000000"/>
          <w:rtl w:val="0"/>
        </w:rPr>
        <w:t xml:space="preserve">” </w:t>
      </w:r>
      <w:r>
        <w:rPr>
          <w:rFonts w:ascii="Arial" w:hAnsi="Arial"/>
          <w:sz w:val="24"/>
          <w:szCs w:val="24"/>
          <w:u w:color="000000"/>
          <w:rtl w:val="0"/>
          <w:lang w:val="en-US"/>
        </w:rPr>
        <w:t xml:space="preserve">but extended to hurt or damage, and that </w:t>
      </w:r>
      <w:r>
        <w:rPr>
          <w:rFonts w:ascii="Arial" w:hAnsi="Arial" w:hint="default"/>
          <w:sz w:val="24"/>
          <w:szCs w:val="24"/>
          <w:u w:color="000000"/>
          <w:rtl w:val="1"/>
          <w:lang w:val="ar-SA" w:bidi="ar-SA"/>
        </w:rPr>
        <w:t>“</w:t>
      </w:r>
      <w:r>
        <w:rPr>
          <w:rFonts w:ascii="Arial" w:hAnsi="Arial"/>
          <w:sz w:val="24"/>
          <w:szCs w:val="24"/>
          <w:u w:color="000000"/>
          <w:rtl w:val="0"/>
        </w:rPr>
        <w:t>bodily</w:t>
      </w:r>
      <w:r>
        <w:rPr>
          <w:rFonts w:ascii="Arial" w:hAnsi="Arial" w:hint="default"/>
          <w:sz w:val="24"/>
          <w:szCs w:val="24"/>
          <w:u w:color="000000"/>
          <w:rtl w:val="0"/>
        </w:rPr>
        <w:t>”</w:t>
      </w:r>
      <w:r>
        <w:rPr>
          <w:rFonts w:ascii="Arial" w:hAnsi="Arial"/>
          <w:sz w:val="24"/>
          <w:szCs w:val="24"/>
          <w:u w:color="000000"/>
          <w:rtl w:val="0"/>
          <w:lang w:val="en-US"/>
        </w:rPr>
        <w:t xml:space="preserve">, whether used as an adjective or an adverb, is </w:t>
      </w:r>
      <w:r>
        <w:rPr>
          <w:rFonts w:ascii="Arial" w:hAnsi="Arial" w:hint="default"/>
          <w:sz w:val="24"/>
          <w:szCs w:val="24"/>
          <w:u w:color="000000"/>
          <w:rtl w:val="1"/>
          <w:lang w:val="ar-SA" w:bidi="ar-SA"/>
        </w:rPr>
        <w:t>“</w:t>
      </w:r>
      <w:r>
        <w:rPr>
          <w:rFonts w:ascii="Arial" w:hAnsi="Arial"/>
          <w:sz w:val="24"/>
          <w:szCs w:val="24"/>
          <w:u w:color="000000"/>
          <w:rtl w:val="0"/>
          <w:lang w:val="en-US"/>
        </w:rPr>
        <w:t>concerned with the body</w:t>
      </w:r>
      <w:r>
        <w:rPr>
          <w:rFonts w:ascii="Arial" w:hAnsi="Arial" w:hint="default"/>
          <w:sz w:val="24"/>
          <w:szCs w:val="24"/>
          <w:u w:color="000000"/>
          <w:rtl w:val="0"/>
        </w:rPr>
        <w:t xml:space="preserve">” </w:t>
      </w:r>
      <w:r>
        <w:rPr>
          <w:rFonts w:ascii="Arial" w:hAnsi="Arial"/>
          <w:sz w:val="24"/>
          <w:szCs w:val="24"/>
          <w:u w:color="000000"/>
          <w:rtl w:val="0"/>
          <w:lang w:val="en-US"/>
        </w:rPr>
        <w:t>and not limited to skin, flesh and bones.</w:t>
      </w:r>
      <w:r>
        <w:rPr>
          <w:rFonts w:ascii="Arial" w:hAnsi="Arial"/>
          <w:sz w:val="24"/>
          <w:szCs w:val="24"/>
          <w:u w:color="000000"/>
          <w:rtl w:val="0"/>
          <w:lang w:val="en-US"/>
        </w:rPr>
        <w:t xml:space="preserve"> This is supported by the case of R v Ireland and Burstow [1997]</w:t>
      </w:r>
      <w:r>
        <w:rPr>
          <w:rFonts w:ascii="Arial" w:cs="Arial" w:hAnsi="Arial" w:eastAsia="Arial"/>
          <w:sz w:val="24"/>
          <w:szCs w:val="24"/>
          <w:u w:color="000000"/>
          <w:vertAlign w:val="superscript"/>
          <w:rtl w:val="0"/>
        </w:rPr>
        <w:footnoteReference w:id="4"/>
      </w:r>
      <w:r>
        <w:rPr>
          <w:rFonts w:ascii="Arial" w:hAnsi="Arial"/>
          <w:sz w:val="24"/>
          <w:szCs w:val="24"/>
          <w:u w:color="000000"/>
          <w:rtl w:val="0"/>
          <w:lang w:val="en-US"/>
        </w:rPr>
        <w:t xml:space="preserve"> wherein the House of Lords were deciphering w</w:t>
      </w:r>
      <w:r>
        <w:rPr>
          <w:rFonts w:ascii="Arial" w:hAnsi="Arial"/>
          <w:sz w:val="24"/>
          <w:szCs w:val="24"/>
          <w:u w:color="000000"/>
          <w:rtl w:val="0"/>
          <w:lang w:val="en-US"/>
        </w:rPr>
        <w:t>hether psychiatric injury could be classified as bodily harm, as per s. 18, s. 20 and s. 47 of the 1861 Offences Against the Person Act</w:t>
      </w:r>
      <w:r>
        <w:rPr>
          <w:rFonts w:ascii="Arial" w:hAnsi="Arial"/>
          <w:sz w:val="24"/>
          <w:szCs w:val="24"/>
          <w:u w:color="000000"/>
          <w:rtl w:val="0"/>
          <w:lang w:val="en-US"/>
        </w:rPr>
        <w:t xml:space="preserve">, in conclusion they held that psychiatric injury did suffice to be considered as </w:t>
      </w:r>
      <w:r>
        <w:rPr>
          <w:rFonts w:ascii="Arial" w:hAnsi="Arial" w:hint="default"/>
          <w:sz w:val="24"/>
          <w:szCs w:val="24"/>
          <w:u w:color="000000"/>
          <w:rtl w:val="0"/>
          <w:lang w:val="en-US"/>
        </w:rPr>
        <w:t>‘</w:t>
      </w:r>
      <w:r>
        <w:rPr>
          <w:rFonts w:ascii="Arial" w:hAnsi="Arial"/>
          <w:sz w:val="24"/>
          <w:szCs w:val="24"/>
          <w:u w:color="000000"/>
          <w:rtl w:val="0"/>
          <w:lang w:val="en-US"/>
        </w:rPr>
        <w:t>bodily harm</w:t>
      </w:r>
      <w:r>
        <w:rPr>
          <w:rFonts w:ascii="Arial" w:hAnsi="Arial" w:hint="default"/>
          <w:sz w:val="24"/>
          <w:szCs w:val="24"/>
          <w:u w:color="000000"/>
          <w:rtl w:val="0"/>
          <w:lang w:val="en-US"/>
        </w:rPr>
        <w:t>’</w:t>
      </w:r>
      <w:r>
        <w:rPr>
          <w:rFonts w:ascii="Arial" w:hAnsi="Arial"/>
          <w:sz w:val="24"/>
          <w:szCs w:val="24"/>
          <w:u w:color="000000"/>
          <w:rtl w:val="0"/>
          <w:lang w:val="en-US"/>
        </w:rPr>
        <w:t xml:space="preserve">.Moreover the requirement of  </w:t>
      </w:r>
      <w:r>
        <w:rPr>
          <w:rFonts w:ascii="Arial" w:hAnsi="Arial" w:hint="default"/>
          <w:sz w:val="24"/>
          <w:szCs w:val="24"/>
          <w:u w:color="000000"/>
          <w:rtl w:val="0"/>
          <w:lang w:val="en-US"/>
        </w:rPr>
        <w:t>“</w:t>
      </w:r>
      <w:r>
        <w:rPr>
          <w:rFonts w:ascii="Arial" w:hAnsi="Arial"/>
          <w:sz w:val="24"/>
          <w:szCs w:val="24"/>
          <w:u w:color="000000"/>
          <w:rtl w:val="0"/>
          <w:lang w:val="en-US"/>
        </w:rPr>
        <w:t>Whosoever shall be convicted upon an indictment of any assault occasioning actual</w:t>
      </w:r>
      <w:r>
        <w:rPr>
          <w:rFonts w:ascii="Arial" w:hAnsi="Arial"/>
          <w:sz w:val="24"/>
          <w:szCs w:val="24"/>
          <w:u w:color="000000"/>
          <w:rtl w:val="0"/>
          <w:lang w:val="en-US"/>
        </w:rPr>
        <w:t xml:space="preserve"> bodily harm </w:t>
      </w:r>
      <w:r>
        <w:rPr>
          <w:rFonts w:ascii="Arial" w:hAnsi="Arial"/>
          <w:sz w:val="24"/>
          <w:szCs w:val="24"/>
          <w:u w:color="000000"/>
          <w:rtl w:val="0"/>
          <w:lang w:val="en-US"/>
        </w:rPr>
        <w:t>shall be liable</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requires reconsideration as the court also stated that </w:t>
      </w:r>
      <w:r>
        <w:rPr>
          <w:rFonts w:ascii="Arial" w:hAnsi="Arial" w:hint="default"/>
          <w:sz w:val="24"/>
          <w:szCs w:val="24"/>
          <w:u w:color="000000"/>
          <w:rtl w:val="1"/>
          <w:lang w:val="ar-SA" w:bidi="ar-SA"/>
        </w:rPr>
        <w:t>“</w:t>
      </w:r>
      <w:r>
        <w:rPr>
          <w:rFonts w:ascii="Arial" w:hAnsi="Arial"/>
          <w:sz w:val="24"/>
          <w:szCs w:val="24"/>
          <w:u w:color="000000"/>
          <w:rtl w:val="0"/>
          <w:lang w:val="en-US"/>
        </w:rPr>
        <w:t>Actual</w:t>
      </w:r>
      <w:r>
        <w:rPr>
          <w:rFonts w:ascii="Arial" w:hAnsi="Arial" w:hint="default"/>
          <w:sz w:val="24"/>
          <w:szCs w:val="24"/>
          <w:u w:color="000000"/>
          <w:rtl w:val="0"/>
        </w:rPr>
        <w:t>”</w:t>
      </w:r>
      <w:r>
        <w:rPr>
          <w:rFonts w:ascii="Arial" w:hAnsi="Arial"/>
          <w:sz w:val="24"/>
          <w:szCs w:val="24"/>
          <w:u w:color="000000"/>
          <w:rtl w:val="0"/>
          <w:lang w:val="en-US"/>
        </w:rPr>
        <w:t>, as defined in the authorities, means that the bodily harm should not be as trivial or trifling as to be effectively without significance.</w:t>
      </w:r>
      <w:r>
        <w:rPr>
          <w:rFonts w:ascii="Arial" w:hAnsi="Arial"/>
          <w:sz w:val="24"/>
          <w:szCs w:val="24"/>
          <w:u w:color="000000"/>
          <w:rtl w:val="0"/>
          <w:lang w:val="en-US"/>
        </w:rPr>
        <w:t xml:space="preserve"> The most recent case law defines </w:t>
      </w:r>
      <w:r>
        <w:rPr>
          <w:rFonts w:ascii="Arial" w:hAnsi="Arial" w:hint="default"/>
          <w:sz w:val="24"/>
          <w:szCs w:val="24"/>
          <w:u w:color="000000"/>
          <w:rtl w:val="0"/>
          <w:lang w:val="en-US"/>
        </w:rPr>
        <w:t>“</w:t>
      </w:r>
      <w:r>
        <w:rPr>
          <w:rFonts w:ascii="Arial" w:hAnsi="Arial"/>
          <w:sz w:val="24"/>
          <w:szCs w:val="24"/>
          <w:u w:color="000000"/>
          <w:rtl w:val="0"/>
          <w:lang w:val="en-US"/>
        </w:rPr>
        <w:t>actual bodily harm</w:t>
      </w:r>
      <w:r>
        <w:rPr>
          <w:rFonts w:ascii="Arial" w:hAnsi="Arial" w:hint="default"/>
          <w:sz w:val="24"/>
          <w:szCs w:val="24"/>
          <w:u w:color="000000"/>
          <w:rtl w:val="0"/>
          <w:lang w:val="en-US"/>
        </w:rPr>
        <w:t xml:space="preserve">” </w:t>
      </w:r>
      <w:r>
        <w:rPr>
          <w:rFonts w:ascii="Arial" w:hAnsi="Arial"/>
          <w:sz w:val="24"/>
          <w:szCs w:val="24"/>
          <w:u w:color="000000"/>
          <w:rtl w:val="0"/>
          <w:lang w:val="en-US"/>
        </w:rPr>
        <w:t>to be; e</w:t>
      </w:r>
      <w:r>
        <w:rPr>
          <w:rFonts w:ascii="Arial" w:hAnsi="Arial"/>
          <w:sz w:val="24"/>
          <w:szCs w:val="24"/>
          <w:u w:color="000000"/>
          <w:rtl w:val="0"/>
          <w:lang w:val="en-US"/>
        </w:rPr>
        <w:t>vidence of external bodily injury, or a bruise or break to the skin, is not a necessary ingredient, and neither is physical pain consequent upon the assault.</w:t>
      </w:r>
      <w:r>
        <w:rPr>
          <w:rFonts w:ascii="Arial" w:cs="Arial" w:hAnsi="Arial" w:eastAsia="Arial"/>
          <w:sz w:val="24"/>
          <w:szCs w:val="24"/>
          <w:u w:color="000000"/>
          <w:vertAlign w:val="superscript"/>
          <w:rtl w:val="0"/>
        </w:rPr>
        <w:footnoteReference w:id="5"/>
      </w:r>
      <w:r>
        <w:rPr>
          <w:rFonts w:ascii="Arial" w:hAnsi="Arial"/>
          <w:sz w:val="24"/>
          <w:szCs w:val="24"/>
          <w:u w:color="000000"/>
          <w:rtl w:val="0"/>
          <w:lang w:val="en-US"/>
        </w:rPr>
        <w:t xml:space="preserve"> Due to this we can infer that the law in relation to non-fatal offences against the person is in need of reform in order to simplify court proceedings in determining whether an offence has occurred.</w:t>
      </w:r>
    </w:p>
    <w:p>
      <w:pPr>
        <w:pStyle w:val="Body"/>
        <w:bidi w:val="0"/>
        <w:spacing w:before="100" w:after="100"/>
        <w:ind w:left="0" w:right="0" w:firstLine="0"/>
        <w:jc w:val="left"/>
        <w:rPr>
          <w:rFonts w:ascii="Arial" w:cs="Arial" w:hAnsi="Arial" w:eastAsia="Arial"/>
          <w:sz w:val="24"/>
          <w:szCs w:val="24"/>
          <w:u w:color="000000"/>
          <w:rtl w:val="0"/>
        </w:rPr>
      </w:pPr>
    </w:p>
    <w:p>
      <w:pPr>
        <w:pStyle w:val="Body"/>
        <w:bidi w:val="0"/>
        <w:spacing w:before="100" w:after="100"/>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 xml:space="preserve"> </w:t>
      </w:r>
      <w:r>
        <w:rPr>
          <w:rFonts w:ascii="Arial" w:hAnsi="Arial"/>
          <w:sz w:val="24"/>
          <w:szCs w:val="24"/>
          <w:u w:color="000000"/>
          <w:rtl w:val="0"/>
        </w:rPr>
        <w:t xml:space="preserve"> </w:t>
      </w:r>
      <w:r>
        <w:rPr>
          <w:rFonts w:ascii="Arial" w:hAnsi="Arial"/>
          <w:sz w:val="24"/>
          <w:szCs w:val="24"/>
          <w:u w:color="000000"/>
          <w:rtl w:val="0"/>
          <w:lang w:val="en-US"/>
        </w:rPr>
        <w:t>The law in relation to non-fatal offences against the person is not fit for purpose as</w:t>
      </w:r>
      <w:r>
        <w:rPr>
          <w:rFonts w:ascii="Arial" w:hAnsi="Arial"/>
          <w:sz w:val="24"/>
          <w:szCs w:val="24"/>
          <w:u w:color="000000"/>
          <w:rtl w:val="0"/>
          <w:lang w:val="en-US"/>
        </w:rPr>
        <w:t xml:space="preserve"> the Act contains offences that serve no purpose within a modern society</w:t>
      </w:r>
      <w:r>
        <w:rPr>
          <w:rFonts w:ascii="Arial" w:hAnsi="Arial"/>
          <w:sz w:val="24"/>
          <w:szCs w:val="24"/>
          <w:u w:color="000000"/>
          <w:rtl w:val="0"/>
          <w:lang w:val="en-US"/>
        </w:rPr>
        <w:t xml:space="preserve">. Within section 17 it states </w:t>
      </w:r>
      <w:r>
        <w:rPr>
          <w:rFonts w:ascii="Arial" w:hAnsi="Arial" w:hint="default"/>
          <w:sz w:val="24"/>
          <w:szCs w:val="24"/>
          <w:u w:color="000000"/>
          <w:rtl w:val="0"/>
          <w:lang w:val="en-US"/>
        </w:rPr>
        <w:t>‘</w:t>
      </w:r>
      <w:r>
        <w:rPr>
          <w:rFonts w:ascii="Arial" w:hAnsi="Arial"/>
          <w:sz w:val="24"/>
          <w:szCs w:val="24"/>
          <w:u w:color="000000"/>
          <w:rtl w:val="0"/>
          <w:lang w:val="en-US"/>
        </w:rPr>
        <w:t>Whosoever shall unlawfully and maliciously prevent or impede any person, being on</w:t>
      </w:r>
      <w:r>
        <w:rPr>
          <w:rFonts w:ascii="Arial" w:hAnsi="Arial"/>
          <w:sz w:val="24"/>
          <w:szCs w:val="24"/>
          <w:u w:color="000000"/>
          <w:rtl w:val="0"/>
          <w:lang w:val="en-US"/>
        </w:rPr>
        <w:t xml:space="preserve"> </w:t>
      </w:r>
      <w:r>
        <w:rPr>
          <w:rFonts w:ascii="Arial" w:hAnsi="Arial"/>
          <w:sz w:val="24"/>
          <w:szCs w:val="24"/>
          <w:u w:color="000000"/>
          <w:rtl w:val="0"/>
          <w:lang w:val="en-US"/>
        </w:rPr>
        <w:t>board of or having quitted any ship or vessel which shall be in distress, or wrecked,</w:t>
      </w:r>
      <w:r>
        <w:rPr>
          <w:rFonts w:ascii="Arial" w:hAnsi="Arial"/>
          <w:sz w:val="24"/>
          <w:szCs w:val="24"/>
          <w:u w:color="000000"/>
          <w:rtl w:val="0"/>
          <w:lang w:val="en-US"/>
        </w:rPr>
        <w:t xml:space="preserve"> </w:t>
      </w:r>
      <w:r>
        <w:rPr>
          <w:rFonts w:ascii="Arial" w:hAnsi="Arial"/>
          <w:sz w:val="24"/>
          <w:szCs w:val="24"/>
          <w:u w:color="000000"/>
          <w:rtl w:val="0"/>
          <w:lang w:val="en-US"/>
        </w:rPr>
        <w:t>stranded, or cast on shore, in his endeavour to save his life, or shall unlawfully and</w:t>
      </w:r>
      <w:r>
        <w:rPr>
          <w:rFonts w:ascii="Arial" w:hAnsi="Arial"/>
          <w:sz w:val="24"/>
          <w:szCs w:val="24"/>
          <w:u w:color="000000"/>
          <w:rtl w:val="0"/>
          <w:lang w:val="en-US"/>
        </w:rPr>
        <w:t xml:space="preserve"> </w:t>
      </w:r>
      <w:r>
        <w:rPr>
          <w:rFonts w:ascii="Arial" w:hAnsi="Arial"/>
          <w:sz w:val="24"/>
          <w:szCs w:val="24"/>
          <w:u w:color="000000"/>
          <w:rtl w:val="0"/>
          <w:lang w:val="en-US"/>
        </w:rPr>
        <w:t>maliciously prevent or impede any person in his endeavour to save the life of any such</w:t>
      </w:r>
      <w:r>
        <w:rPr>
          <w:rFonts w:ascii="Arial" w:hAnsi="Arial"/>
          <w:sz w:val="24"/>
          <w:szCs w:val="24"/>
          <w:u w:color="000000"/>
          <w:rtl w:val="0"/>
          <w:lang w:val="en-US"/>
        </w:rPr>
        <w:t xml:space="preserve"> </w:t>
      </w:r>
      <w:r>
        <w:rPr>
          <w:rFonts w:ascii="Arial" w:hAnsi="Arial"/>
          <w:sz w:val="24"/>
          <w:szCs w:val="24"/>
          <w:u w:color="000000"/>
          <w:rtl w:val="0"/>
          <w:lang w:val="en-US"/>
        </w:rPr>
        <w:t>person as in this section first aforesaid, shall be guilty of felony, and being convicted</w:t>
      </w:r>
      <w:r>
        <w:rPr>
          <w:rFonts w:ascii="Arial" w:hAnsi="Arial"/>
          <w:sz w:val="24"/>
          <w:szCs w:val="24"/>
          <w:u w:color="000000"/>
          <w:rtl w:val="0"/>
          <w:lang w:val="en-US"/>
        </w:rPr>
        <w:t xml:space="preserve"> </w:t>
      </w:r>
      <w:r>
        <w:rPr>
          <w:rFonts w:ascii="Arial" w:hAnsi="Arial"/>
          <w:sz w:val="24"/>
          <w:szCs w:val="24"/>
          <w:u w:color="000000"/>
          <w:rtl w:val="0"/>
          <w:lang w:val="en-US"/>
        </w:rPr>
        <w:t>thereof shall be liable</w:t>
      </w:r>
      <w:r>
        <w:rPr>
          <w:rFonts w:ascii="Arial" w:hAnsi="Arial" w:hint="default"/>
          <w:sz w:val="24"/>
          <w:szCs w:val="24"/>
          <w:u w:color="000000"/>
          <w:rtl w:val="0"/>
          <w:lang w:val="en-US"/>
        </w:rPr>
        <w:t>’</w:t>
      </w:r>
      <w:r>
        <w:rPr>
          <w:rFonts w:ascii="Arial" w:hAnsi="Arial"/>
          <w:sz w:val="24"/>
          <w:szCs w:val="24"/>
          <w:u w:color="000000"/>
          <w:rtl w:val="0"/>
          <w:lang w:val="en-US"/>
        </w:rPr>
        <w:t>. This section refers to concepts that are no longer recognised (</w:t>
      </w:r>
      <w:r>
        <w:rPr>
          <w:rFonts w:ascii="Arial" w:hAnsi="Arial" w:hint="default"/>
          <w:sz w:val="24"/>
          <w:szCs w:val="24"/>
          <w:u w:color="000000"/>
          <w:rtl w:val="1"/>
          <w:lang w:val="ar-SA" w:bidi="ar-SA"/>
        </w:rPr>
        <w:t>“</w:t>
      </w:r>
      <w:r>
        <w:rPr>
          <w:rFonts w:ascii="Arial" w:hAnsi="Arial"/>
          <w:sz w:val="24"/>
          <w:szCs w:val="24"/>
          <w:u w:color="000000"/>
          <w:rtl w:val="0"/>
        </w:rPr>
        <w:t>felony</w:t>
      </w:r>
      <w:r>
        <w:rPr>
          <w:rFonts w:ascii="Arial" w:hAnsi="Arial" w:hint="default"/>
          <w:sz w:val="24"/>
          <w:szCs w:val="24"/>
          <w:u w:color="000000"/>
          <w:rtl w:val="0"/>
        </w:rPr>
        <w:t>”</w:t>
      </w:r>
      <w:r>
        <w:rPr>
          <w:rFonts w:ascii="Arial" w:hAnsi="Arial"/>
          <w:sz w:val="24"/>
          <w:szCs w:val="24"/>
          <w:u w:color="000000"/>
          <w:rtl w:val="0"/>
          <w:lang w:val="en-US"/>
        </w:rPr>
        <w:t xml:space="preserve">) within law in a modern society, therefore this actively demonstrates that the act is in need of reform to update the law. The Law Commission report 2015, concluded that within section 17 </w:t>
      </w:r>
      <w:r>
        <w:rPr>
          <w:rFonts w:ascii="Arial" w:hAnsi="Arial" w:hint="default"/>
          <w:sz w:val="24"/>
          <w:szCs w:val="24"/>
          <w:u w:color="000000"/>
          <w:rtl w:val="0"/>
          <w:lang w:val="en-US"/>
        </w:rPr>
        <w:t>“</w:t>
      </w:r>
      <w:r>
        <w:rPr>
          <w:rFonts w:ascii="Arial" w:hAnsi="Arial"/>
          <w:sz w:val="24"/>
          <w:szCs w:val="24"/>
          <w:u w:color="000000"/>
          <w:rtl w:val="0"/>
          <w:lang w:val="en-US"/>
        </w:rPr>
        <w:t>t</w:t>
      </w:r>
      <w:r>
        <w:rPr>
          <w:rFonts w:ascii="Arial" w:hAnsi="Arial"/>
          <w:sz w:val="24"/>
          <w:szCs w:val="24"/>
          <w:u w:color="000000"/>
          <w:rtl w:val="0"/>
          <w:lang w:val="en-US"/>
        </w:rPr>
        <w:t xml:space="preserve">he language is archaic and obscure. It includes obsolete offences such as </w:t>
      </w:r>
      <w:r>
        <w:rPr>
          <w:rFonts w:ascii="Arial" w:hAnsi="Arial" w:hint="default"/>
          <w:sz w:val="24"/>
          <w:szCs w:val="24"/>
          <w:u w:color="000000"/>
          <w:rtl w:val="1"/>
          <w:lang w:val="ar-SA" w:bidi="ar-SA"/>
        </w:rPr>
        <w:t>“</w:t>
      </w:r>
      <w:r>
        <w:rPr>
          <w:rFonts w:ascii="Arial" w:hAnsi="Arial"/>
          <w:sz w:val="24"/>
          <w:szCs w:val="24"/>
          <w:u w:color="000000"/>
          <w:rtl w:val="0"/>
          <w:lang w:val="en-US"/>
        </w:rPr>
        <w:t>impeding an escape from a shipwreck</w:t>
      </w:r>
      <w:r>
        <w:rPr>
          <w:rFonts w:ascii="Arial" w:hAnsi="Arial" w:hint="default"/>
          <w:sz w:val="24"/>
          <w:szCs w:val="24"/>
          <w:u w:color="000000"/>
          <w:rtl w:val="0"/>
        </w:rPr>
        <w:t>”</w:t>
      </w:r>
      <w:r>
        <w:rPr>
          <w:rFonts w:ascii="Arial" w:hAnsi="Arial"/>
          <w:sz w:val="24"/>
          <w:szCs w:val="24"/>
          <w:u w:color="000000"/>
          <w:rtl w:val="0"/>
          <w:lang w:val="en-US"/>
        </w:rPr>
        <w:t xml:space="preserve">. In addition to this the report suggested that in order for the </w:t>
      </w:r>
      <w:r>
        <w:rPr>
          <w:rFonts w:ascii="Arial" w:hAnsi="Arial"/>
          <w:sz w:val="24"/>
          <w:szCs w:val="24"/>
          <w:u w:color="000000"/>
          <w:rtl w:val="0"/>
          <w:lang w:val="en-US"/>
        </w:rPr>
        <w:t>Offences Against the Person Act</w:t>
      </w:r>
      <w:r>
        <w:rPr>
          <w:rFonts w:ascii="Arial" w:hAnsi="Arial"/>
          <w:sz w:val="24"/>
          <w:szCs w:val="24"/>
          <w:u w:color="000000"/>
          <w:rtl w:val="0"/>
          <w:lang w:val="en-US"/>
        </w:rPr>
        <w:t xml:space="preserve"> to be greater fitted for purpose within a modern society there should be the creation of a new offence of </w:t>
      </w:r>
      <w:r>
        <w:rPr>
          <w:rFonts w:ascii="Arial" w:hAnsi="Arial" w:hint="default"/>
          <w:sz w:val="24"/>
          <w:szCs w:val="24"/>
          <w:u w:color="000000"/>
          <w:rtl w:val="1"/>
          <w:lang w:val="ar-SA" w:bidi="ar-SA"/>
        </w:rPr>
        <w:t>“</w:t>
      </w:r>
      <w:r>
        <w:rPr>
          <w:rFonts w:ascii="Arial" w:hAnsi="Arial"/>
          <w:sz w:val="24"/>
          <w:szCs w:val="24"/>
          <w:u w:color="000000"/>
          <w:rtl w:val="0"/>
          <w:lang w:val="en-US"/>
        </w:rPr>
        <w:t>aggravated assault</w:t>
      </w:r>
      <w:r>
        <w:rPr>
          <w:rFonts w:ascii="Arial" w:hAnsi="Arial" w:hint="default"/>
          <w:sz w:val="24"/>
          <w:szCs w:val="24"/>
          <w:u w:color="000000"/>
          <w:rtl w:val="0"/>
        </w:rPr>
        <w:t>”</w:t>
      </w:r>
      <w:r>
        <w:rPr>
          <w:rFonts w:ascii="Arial" w:hAnsi="Arial"/>
          <w:sz w:val="24"/>
          <w:szCs w:val="24"/>
          <w:u w:color="000000"/>
          <w:rtl w:val="0"/>
        </w:rPr>
        <w:t xml:space="preserve">, </w:t>
      </w:r>
      <w:r>
        <w:rPr>
          <w:rFonts w:ascii="Arial" w:hAnsi="Arial"/>
          <w:sz w:val="24"/>
          <w:szCs w:val="24"/>
          <w:u w:color="000000"/>
          <w:rtl w:val="0"/>
          <w:lang w:val="en-US"/>
        </w:rPr>
        <w:t xml:space="preserve">the purpose of this will be </w:t>
      </w:r>
      <w:r>
        <w:rPr>
          <w:rFonts w:ascii="Arial" w:hAnsi="Arial"/>
          <w:sz w:val="24"/>
          <w:szCs w:val="24"/>
          <w:u w:color="000000"/>
          <w:rtl w:val="0"/>
          <w:lang w:val="en-US"/>
        </w:rPr>
        <w:t>to bridge the gap between common assault and the much more serious actual bodily harm (ABH)</w:t>
      </w:r>
      <w:r>
        <w:rPr>
          <w:rFonts w:ascii="Arial" w:hAnsi="Arial"/>
          <w:sz w:val="24"/>
          <w:szCs w:val="24"/>
          <w:u w:color="000000"/>
          <w:rtl w:val="0"/>
          <w:lang w:val="en-US"/>
        </w:rPr>
        <w:t xml:space="preserve">. In order for the Act to have purpose within a modern society the reform must be seen to extend the offence of threats to kill to also include threats to cause serious injury as well as threats to rape. </w:t>
      </w:r>
      <w:r>
        <w:rPr>
          <w:rFonts w:ascii="Arial" w:hAnsi="Arial"/>
          <w:sz w:val="24"/>
          <w:szCs w:val="24"/>
          <w:u w:color="000000"/>
          <w:rtl w:val="0"/>
          <w:lang w:val="en-US"/>
        </w:rPr>
        <w:t>The Commission</w:t>
      </w:r>
      <w:r>
        <w:rPr>
          <w:rFonts w:ascii="Arial" w:hAnsi="Arial" w:hint="default"/>
          <w:sz w:val="24"/>
          <w:szCs w:val="24"/>
          <w:u w:color="000000"/>
          <w:rtl w:val="1"/>
        </w:rPr>
        <w:t>’</w:t>
      </w:r>
      <w:r>
        <w:rPr>
          <w:rFonts w:ascii="Arial" w:hAnsi="Arial"/>
          <w:sz w:val="24"/>
          <w:szCs w:val="24"/>
          <w:u w:color="000000"/>
          <w:rtl w:val="0"/>
          <w:lang w:val="en-US"/>
        </w:rPr>
        <w:t xml:space="preserve">s recommendation </w:t>
      </w:r>
      <w:r>
        <w:rPr>
          <w:rFonts w:ascii="Arial" w:hAnsi="Arial"/>
          <w:sz w:val="24"/>
          <w:szCs w:val="24"/>
          <w:u w:color="000000"/>
          <w:rtl w:val="0"/>
          <w:lang w:val="en-US"/>
        </w:rPr>
        <w:t xml:space="preserve">in reforming the </w:t>
      </w:r>
      <w:r>
        <w:rPr>
          <w:rFonts w:ascii="Arial" w:hAnsi="Arial"/>
          <w:sz w:val="24"/>
          <w:szCs w:val="24"/>
          <w:u w:color="000000"/>
          <w:rtl w:val="0"/>
          <w:lang w:val="en-US"/>
        </w:rPr>
        <w:t>Offences Against the Person Act</w:t>
      </w:r>
      <w:r>
        <w:rPr>
          <w:rFonts w:ascii="Arial" w:hAnsi="Arial"/>
          <w:sz w:val="24"/>
          <w:szCs w:val="24"/>
          <w:u w:color="000000"/>
          <w:rtl w:val="0"/>
          <w:lang w:val="en-US"/>
        </w:rPr>
        <w:t xml:space="preserve"> include</w:t>
      </w:r>
      <w:r>
        <w:rPr>
          <w:rFonts w:ascii="Arial" w:hAnsi="Arial"/>
          <w:sz w:val="24"/>
          <w:szCs w:val="24"/>
          <w:u w:color="000000"/>
          <w:rtl w:val="0"/>
          <w:lang w:val="en-US"/>
        </w:rPr>
        <w:t xml:space="preserve"> exten</w:t>
      </w:r>
      <w:r>
        <w:rPr>
          <w:rFonts w:ascii="Arial" w:hAnsi="Arial"/>
          <w:sz w:val="24"/>
          <w:szCs w:val="24"/>
          <w:u w:color="000000"/>
          <w:rtl w:val="0"/>
          <w:lang w:val="en-US"/>
        </w:rPr>
        <w:t>ding</w:t>
      </w:r>
      <w:r>
        <w:rPr>
          <w:rFonts w:ascii="Arial" w:hAnsi="Arial"/>
          <w:sz w:val="24"/>
          <w:szCs w:val="24"/>
          <w:u w:color="000000"/>
          <w:rtl w:val="0"/>
          <w:lang w:val="en-US"/>
        </w:rPr>
        <w:t xml:space="preserve"> the </w:t>
      </w:r>
      <w:r>
        <w:rPr>
          <w:rFonts w:ascii="Arial" w:hAnsi="Arial"/>
          <w:sz w:val="24"/>
          <w:szCs w:val="24"/>
          <w:u w:color="000000"/>
          <w:rtl w:val="0"/>
          <w:lang w:val="en-US"/>
        </w:rPr>
        <w:t>t</w:t>
      </w:r>
      <w:r>
        <w:rPr>
          <w:rFonts w:ascii="Arial" w:hAnsi="Arial"/>
          <w:sz w:val="24"/>
          <w:szCs w:val="24"/>
          <w:u w:color="000000"/>
          <w:rtl w:val="0"/>
          <w:lang w:val="en-US"/>
        </w:rPr>
        <w:t>hreatening</w:t>
      </w:r>
      <w:r>
        <w:rPr>
          <w:rFonts w:ascii="Arial" w:hAnsi="Arial"/>
          <w:sz w:val="24"/>
          <w:szCs w:val="24"/>
          <w:u w:color="000000"/>
          <w:rtl w:val="0"/>
          <w:lang w:val="en-US"/>
        </w:rPr>
        <w:t xml:space="preserve"> </w:t>
      </w:r>
      <w:r>
        <w:rPr>
          <w:rFonts w:ascii="Arial" w:hAnsi="Arial"/>
          <w:sz w:val="24"/>
          <w:szCs w:val="24"/>
          <w:u w:color="000000"/>
          <w:rtl w:val="0"/>
          <w:lang w:val="en-US"/>
        </w:rPr>
        <w:t xml:space="preserve">offences </w:t>
      </w:r>
      <w:r>
        <w:rPr>
          <w:rFonts w:ascii="Arial" w:hAnsi="Arial"/>
          <w:sz w:val="24"/>
          <w:szCs w:val="24"/>
          <w:u w:color="000000"/>
          <w:rtl w:val="0"/>
          <w:lang w:val="en-US"/>
        </w:rPr>
        <w:t xml:space="preserve">which </w:t>
      </w:r>
      <w:r>
        <w:rPr>
          <w:rFonts w:ascii="Arial" w:hAnsi="Arial"/>
          <w:sz w:val="24"/>
          <w:szCs w:val="24"/>
          <w:u w:color="000000"/>
          <w:rtl w:val="0"/>
          <w:lang w:val="en-US"/>
        </w:rPr>
        <w:t>include threats to rape and threats to cause serious injury</w:t>
      </w:r>
      <w:r>
        <w:rPr>
          <w:rFonts w:ascii="Arial" w:hAnsi="Arial"/>
          <w:sz w:val="24"/>
          <w:szCs w:val="24"/>
          <w:u w:color="000000"/>
          <w:rtl w:val="0"/>
          <w:lang w:val="en-US"/>
        </w:rPr>
        <w:t xml:space="preserve"> to also</w:t>
      </w:r>
      <w:r>
        <w:rPr>
          <w:rFonts w:ascii="Arial" w:hAnsi="Arial"/>
          <w:sz w:val="24"/>
          <w:szCs w:val="24"/>
          <w:u w:color="000000"/>
          <w:rtl w:val="0"/>
          <w:lang w:val="en-US"/>
        </w:rPr>
        <w:t xml:space="preserve"> allow offending behaviour to be charged and tried at an appropriate level. In the existing law there are no offences that fall between a threat to kill, which carries a 10-year maximum sentence, and a threat to assault, with a maximum sentence of six months</w:t>
      </w:r>
      <w:r>
        <w:rPr>
          <w:rFonts w:ascii="Arial" w:hAnsi="Arial"/>
          <w:sz w:val="24"/>
          <w:szCs w:val="24"/>
          <w:u w:color="000000"/>
          <w:rtl w:val="0"/>
          <w:lang w:val="en-US"/>
        </w:rPr>
        <w:t>. The Offences Against the Persons Act has been criticised for being badly drafted and requires reform due to the uncertainty surrounding the requirements such as the defendants conduct has to have wounded or inflected grievous bodily harm upon any person. However, due to Regina v Bollom [2004]</w:t>
      </w:r>
      <w:r>
        <w:rPr>
          <w:rFonts w:ascii="Arial" w:cs="Arial" w:hAnsi="Arial" w:eastAsia="Arial"/>
          <w:sz w:val="24"/>
          <w:szCs w:val="24"/>
          <w:u w:color="000000"/>
          <w:vertAlign w:val="superscript"/>
          <w:rtl w:val="0"/>
        </w:rPr>
        <w:footnoteReference w:id="6"/>
      </w:r>
      <w:r>
        <w:rPr>
          <w:rFonts w:ascii="Arial" w:hAnsi="Arial"/>
          <w:sz w:val="24"/>
          <w:szCs w:val="24"/>
          <w:u w:color="000000"/>
          <w:rtl w:val="0"/>
          <w:lang w:val="en-US"/>
        </w:rPr>
        <w:t xml:space="preserve"> the jury must be made to understand how injury on an adult in full health would be less serious than on a young child or, and elderly or, sick person. Fulford J stated that </w:t>
      </w:r>
      <w:r>
        <w:rPr>
          <w:rFonts w:ascii="Arial" w:hAnsi="Arial" w:hint="default"/>
          <w:sz w:val="24"/>
          <w:szCs w:val="24"/>
          <w:u w:color="000000"/>
          <w:rtl w:val="0"/>
          <w:lang w:val="en-US"/>
        </w:rPr>
        <w:t>“</w:t>
      </w:r>
      <w:r>
        <w:rPr>
          <w:rFonts w:ascii="Arial" w:hAnsi="Arial"/>
          <w:sz w:val="24"/>
          <w:szCs w:val="24"/>
          <w:u w:color="000000"/>
          <w:rtl w:val="0"/>
          <w:lang w:val="en-US"/>
        </w:rPr>
        <w:t>In deciding whether injuries are grievous, an assessment has to be made of, amongst other things, the effect of the harm on the particular individual. We have no doubt that in determining the gravity of these injuries, it was necessary to consider them in their real context.</w:t>
      </w:r>
      <w:r>
        <w:rPr>
          <w:rFonts w:ascii="Arial" w:hAnsi="Arial" w:hint="default"/>
          <w:sz w:val="24"/>
          <w:szCs w:val="24"/>
          <w:u w:color="000000"/>
          <w:rtl w:val="0"/>
          <w:lang w:val="en-US"/>
        </w:rPr>
        <w:t xml:space="preserve">”  </w:t>
      </w:r>
      <w:r>
        <w:rPr>
          <w:rFonts w:ascii="Arial" w:hAnsi="Arial"/>
          <w:sz w:val="24"/>
          <w:szCs w:val="24"/>
          <w:u w:color="000000"/>
          <w:rtl w:val="0"/>
          <w:lang w:val="en-US"/>
        </w:rPr>
        <w:t>This indicates how the Act needs reform in order to serve a greater purpose within a modern society and court to effectively apply the law for people of all ages and health. Additionally in R v Burstow [1997]</w:t>
      </w:r>
      <w:r>
        <w:rPr>
          <w:rFonts w:ascii="Arial" w:cs="Arial" w:hAnsi="Arial" w:eastAsia="Arial"/>
          <w:sz w:val="24"/>
          <w:szCs w:val="24"/>
          <w:u w:color="000000"/>
          <w:vertAlign w:val="superscript"/>
          <w:rtl w:val="0"/>
        </w:rPr>
        <w:footnoteReference w:id="7"/>
      </w:r>
      <w:r>
        <w:rPr>
          <w:rFonts w:ascii="Arial" w:hAnsi="Arial"/>
          <w:sz w:val="24"/>
          <w:szCs w:val="24"/>
          <w:u w:color="000000"/>
          <w:rtl w:val="0"/>
          <w:lang w:val="en-US"/>
        </w:rPr>
        <w:t xml:space="preserve"> Lord Steyn argued </w:t>
      </w:r>
      <w:r>
        <w:rPr>
          <w:rFonts w:ascii="Arial" w:hAnsi="Arial" w:hint="default"/>
          <w:sz w:val="24"/>
          <w:szCs w:val="24"/>
          <w:u w:color="000000"/>
          <w:rtl w:val="1"/>
        </w:rPr>
        <w:t>‘</w:t>
      </w:r>
      <w:r>
        <w:rPr>
          <w:rFonts w:ascii="Arial" w:hAnsi="Arial"/>
          <w:sz w:val="24"/>
          <w:szCs w:val="24"/>
          <w:u w:color="000000"/>
          <w:rtl w:val="0"/>
          <w:lang w:val="en-US"/>
        </w:rPr>
        <w:t>the Victorian legislator would not have in mind psychiatric illness</w:t>
      </w:r>
      <w:r>
        <w:rPr>
          <w:rFonts w:ascii="Arial" w:hAnsi="Arial" w:hint="default"/>
          <w:sz w:val="24"/>
          <w:szCs w:val="24"/>
          <w:u w:color="000000"/>
          <w:rtl w:val="1"/>
        </w:rPr>
        <w:t>’</w:t>
      </w:r>
      <w:r>
        <w:rPr>
          <w:rFonts w:ascii="Arial" w:hAnsi="Arial"/>
          <w:sz w:val="24"/>
          <w:szCs w:val="24"/>
          <w:u w:color="000000"/>
          <w:rtl w:val="0"/>
        </w:rPr>
        <w:t xml:space="preserve">. </w:t>
      </w:r>
      <w:r>
        <w:rPr>
          <w:rFonts w:ascii="Arial" w:hAnsi="Arial"/>
          <w:sz w:val="24"/>
          <w:szCs w:val="24"/>
          <w:u w:color="000000"/>
          <w:rtl w:val="0"/>
          <w:lang w:val="en-US"/>
        </w:rPr>
        <w:t xml:space="preserve">Mental health issues are not reflected within the law in comparison to modern society therefore the Victorian approach is no longer necessary. </w:t>
      </w:r>
    </w:p>
    <w:p>
      <w:pPr>
        <w:pStyle w:val="Body"/>
        <w:bidi w:val="0"/>
        <w:spacing w:before="100" w:after="100"/>
        <w:ind w:left="0" w:right="0" w:firstLine="0"/>
        <w:jc w:val="left"/>
        <w:rPr>
          <w:rFonts w:ascii="Arial" w:cs="Arial" w:hAnsi="Arial" w:eastAsia="Arial"/>
          <w:sz w:val="24"/>
          <w:szCs w:val="24"/>
          <w:u w:color="000000"/>
          <w:rtl w:val="0"/>
        </w:rPr>
      </w:pPr>
    </w:p>
    <w:p>
      <w:pPr>
        <w:pStyle w:val="Body"/>
        <w:bidi w:val="0"/>
        <w:spacing w:before="100" w:after="100"/>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 xml:space="preserve"> </w:t>
      </w:r>
      <w:r>
        <w:rPr>
          <w:rFonts w:ascii="Arial" w:hAnsi="Arial"/>
          <w:sz w:val="24"/>
          <w:szCs w:val="24"/>
          <w:u w:color="000000"/>
          <w:rtl w:val="0"/>
        </w:rPr>
        <w:t xml:space="preserve"> </w:t>
      </w:r>
      <w:r>
        <w:rPr>
          <w:rFonts w:ascii="Arial" w:hAnsi="Arial"/>
          <w:sz w:val="24"/>
          <w:szCs w:val="24"/>
          <w:u w:color="000000"/>
          <w:rtl w:val="0"/>
          <w:lang w:val="en-US"/>
        </w:rPr>
        <w:t xml:space="preserve">The </w:t>
      </w:r>
      <w:r>
        <w:rPr>
          <w:rFonts w:ascii="Arial" w:hAnsi="Arial"/>
          <w:sz w:val="24"/>
          <w:szCs w:val="24"/>
          <w:u w:color="000000"/>
          <w:rtl w:val="0"/>
          <w:lang w:val="en-US"/>
        </w:rPr>
        <w:t>Offences Against the Person Act</w:t>
      </w:r>
      <w:r>
        <w:rPr>
          <w:rFonts w:ascii="Arial" w:hAnsi="Arial"/>
          <w:sz w:val="24"/>
          <w:szCs w:val="24"/>
          <w:u w:color="000000"/>
          <w:rtl w:val="0"/>
          <w:lang w:val="en-US"/>
        </w:rPr>
        <w:t xml:space="preserve">  is no longer fit for purpose and in need if reform due to </w:t>
      </w:r>
      <w:r>
        <w:rPr>
          <w:rFonts w:ascii="Arial" w:hAnsi="Arial"/>
          <w:sz w:val="24"/>
          <w:szCs w:val="24"/>
          <w:u w:color="000000"/>
          <w:rtl w:val="0"/>
          <w:lang w:val="en-US"/>
        </w:rPr>
        <w:t xml:space="preserve">the unclear hierarchy of offences contained within the Act. </w:t>
      </w:r>
      <w:r>
        <w:rPr>
          <w:rFonts w:ascii="Arial" w:hAnsi="Arial"/>
          <w:sz w:val="24"/>
          <w:szCs w:val="24"/>
          <w:u w:color="000000"/>
          <w:rtl w:val="0"/>
          <w:lang w:val="en-US"/>
        </w:rPr>
        <w:t>The Law Commission Report stated "</w:t>
      </w:r>
      <w:r>
        <w:rPr>
          <w:rFonts w:ascii="Arial" w:hAnsi="Arial"/>
          <w:sz w:val="24"/>
          <w:szCs w:val="24"/>
          <w:u w:color="000000"/>
          <w:rtl w:val="0"/>
          <w:lang w:val="en-US"/>
        </w:rPr>
        <w:t>The Act covers numerous offences, including those popularly known as ABH and GBH, but they are not coherently classified in order of seriousness or clearly defined.</w:t>
      </w:r>
      <w:r>
        <w:rPr>
          <w:rFonts w:ascii="Arial" w:hAnsi="Arial" w:hint="default"/>
          <w:sz w:val="24"/>
          <w:szCs w:val="24"/>
          <w:u w:color="000000"/>
          <w:rtl w:val="0"/>
          <w:lang w:val="en-US"/>
        </w:rPr>
        <w:t xml:space="preserve">” </w:t>
      </w:r>
      <w:r>
        <w:rPr>
          <w:rFonts w:ascii="Arial" w:hAnsi="Arial"/>
          <w:sz w:val="24"/>
          <w:szCs w:val="24"/>
          <w:u w:color="000000"/>
          <w:rtl w:val="0"/>
          <w:lang w:val="en-US"/>
        </w:rPr>
        <w:t>As of this conclusion they</w:t>
      </w:r>
      <w:r>
        <w:rPr>
          <w:rFonts w:ascii="Arial" w:hAnsi="Arial"/>
          <w:sz w:val="24"/>
          <w:szCs w:val="24"/>
          <w:u w:color="000000"/>
          <w:rtl w:val="0"/>
          <w:lang w:val="en-US"/>
        </w:rPr>
        <w:t xml:space="preserve"> recommend that the Act be replaced with modern legislation based on a Bill drafted during an earlier Home Office attempt at reform. The new Bill is easier to understand. The offences are made clearer and presented in a more logical hierarchy and, for some, a requirement has been introduced that the defendant must have foreseen the level of harm caused.</w:t>
      </w:r>
      <w:r>
        <w:rPr>
          <w:rFonts w:ascii="Arial" w:hAnsi="Arial"/>
          <w:sz w:val="24"/>
          <w:szCs w:val="24"/>
          <w:u w:color="000000"/>
          <w:rtl w:val="0"/>
          <w:lang w:val="en-US"/>
        </w:rPr>
        <w:t xml:space="preserve"> The Commission inferred that the current Act fails to acknowledge the serious, violent nature of some of the offences leading </w:t>
      </w:r>
      <w:r>
        <w:rPr>
          <w:rFonts w:ascii="Arial" w:hAnsi="Arial"/>
          <w:sz w:val="24"/>
          <w:szCs w:val="24"/>
          <w:u w:color="000000"/>
          <w:rtl w:val="0"/>
          <w:lang w:val="en-US"/>
        </w:rPr>
        <w:t>many assaults causing injury are currently charged as common assault</w:t>
      </w:r>
      <w:r>
        <w:rPr>
          <w:rFonts w:ascii="Arial" w:hAnsi="Arial"/>
          <w:sz w:val="24"/>
          <w:szCs w:val="24"/>
          <w:u w:color="000000"/>
          <w:rtl w:val="0"/>
          <w:lang w:val="en-US"/>
        </w:rPr>
        <w:t xml:space="preserve"> this is a clear indication that the Act needs reforming to establish a stricter hierarchy of offences in order to ensure justice is pursued for the victims. In the report the new recommended new offence of </w:t>
      </w:r>
      <w:r>
        <w:rPr>
          <w:rFonts w:ascii="Arial" w:hAnsi="Arial" w:hint="default"/>
          <w:sz w:val="24"/>
          <w:szCs w:val="24"/>
          <w:u w:color="000000"/>
          <w:rtl w:val="1"/>
          <w:lang w:val="ar-SA" w:bidi="ar-SA"/>
        </w:rPr>
        <w:t>“</w:t>
      </w:r>
      <w:r>
        <w:rPr>
          <w:rFonts w:ascii="Arial" w:hAnsi="Arial"/>
          <w:sz w:val="24"/>
          <w:szCs w:val="24"/>
          <w:u w:color="000000"/>
          <w:rtl w:val="0"/>
          <w:lang w:val="en-US"/>
        </w:rPr>
        <w:t>aggravated assault</w:t>
      </w:r>
      <w:r>
        <w:rPr>
          <w:rFonts w:ascii="Arial" w:hAnsi="Arial" w:hint="default"/>
          <w:sz w:val="24"/>
          <w:szCs w:val="24"/>
          <w:u w:color="000000"/>
          <w:rtl w:val="0"/>
        </w:rPr>
        <w:t>”</w:t>
      </w:r>
      <w:r>
        <w:rPr>
          <w:rFonts w:ascii="Arial" w:hAnsi="Arial"/>
          <w:sz w:val="24"/>
          <w:szCs w:val="24"/>
          <w:u w:color="000000"/>
          <w:rtl w:val="0"/>
          <w:lang w:val="en-US"/>
        </w:rPr>
        <w:t xml:space="preserve"> should carry a maximum sentence of 12 months and only be triable in a Magistrates</w:t>
      </w:r>
      <w:r>
        <w:rPr>
          <w:rFonts w:ascii="Arial" w:hAnsi="Arial" w:hint="default"/>
          <w:sz w:val="24"/>
          <w:szCs w:val="24"/>
          <w:u w:color="000000"/>
          <w:rtl w:val="0"/>
          <w:lang w:val="en-US"/>
        </w:rPr>
        <w:t xml:space="preserve">’ </w:t>
      </w:r>
      <w:r>
        <w:rPr>
          <w:rFonts w:ascii="Arial" w:hAnsi="Arial"/>
          <w:sz w:val="24"/>
          <w:szCs w:val="24"/>
          <w:u w:color="000000"/>
          <w:rtl w:val="0"/>
          <w:lang w:val="en-US"/>
        </w:rPr>
        <w:t>court. The reasoning for this would be to aid the diversion of low-level injury cases  by prosecutors from the expensive Crown Court to the Magistrates Court this will be parallel to the increase in Magistrates</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sentencing powers to 12 months introduced by the </w:t>
      </w:r>
      <w:r>
        <w:rPr>
          <w:rFonts w:ascii="Arial" w:hAnsi="Arial"/>
          <w:sz w:val="24"/>
          <w:szCs w:val="24"/>
          <w:u w:color="000000"/>
          <w:rtl w:val="0"/>
          <w:lang w:val="en-US"/>
        </w:rPr>
        <w:t>Criminal Justice Act 2003</w:t>
      </w:r>
      <w:r>
        <w:rPr>
          <w:rFonts w:ascii="Arial" w:hAnsi="Arial"/>
          <w:sz w:val="24"/>
          <w:szCs w:val="24"/>
          <w:u w:color="000000"/>
          <w:rtl w:val="0"/>
          <w:lang w:val="en-US"/>
        </w:rPr>
        <w:t>. The Law Commission Report in 2015 is not the only instance in which the lack of clarity surrounding the hierarchy of offences within the</w:t>
      </w:r>
      <w:r>
        <w:rPr>
          <w:rFonts w:ascii="Arial" w:hAnsi="Arial"/>
          <w:sz w:val="24"/>
          <w:szCs w:val="24"/>
          <w:u w:color="000000"/>
          <w:rtl w:val="0"/>
          <w:lang w:val="en-US"/>
        </w:rPr>
        <w:t xml:space="preserve"> Offences Against the Person Act</w:t>
      </w:r>
      <w:r>
        <w:rPr>
          <w:rFonts w:ascii="Arial" w:hAnsi="Arial"/>
          <w:sz w:val="24"/>
          <w:szCs w:val="24"/>
          <w:u w:color="000000"/>
          <w:rtl w:val="0"/>
          <w:lang w:val="en-US"/>
        </w:rPr>
        <w:t xml:space="preserve"> has been criticised.</w:t>
      </w:r>
      <w:r>
        <w:rPr>
          <w:rFonts w:ascii="Arial" w:hAnsi="Arial"/>
          <w:sz w:val="24"/>
          <w:szCs w:val="24"/>
          <w:u w:color="000000"/>
          <w:rtl w:val="0"/>
          <w:lang w:val="en-US"/>
        </w:rPr>
        <w:t xml:space="preserve"> Professor David Ormerod QC, Law Commissioner for criminal law, s</w:t>
      </w:r>
      <w:r>
        <w:rPr>
          <w:rFonts w:ascii="Arial" w:hAnsi="Arial"/>
          <w:sz w:val="24"/>
          <w:szCs w:val="24"/>
          <w:u w:color="000000"/>
          <w:rtl w:val="0"/>
          <w:lang w:val="en-US"/>
        </w:rPr>
        <w:t>tated</w:t>
      </w:r>
      <w:r>
        <w:rPr>
          <w:rFonts w:ascii="Arial" w:hAnsi="Arial"/>
          <w:sz w:val="24"/>
          <w:szCs w:val="24"/>
          <w:u w:color="000000"/>
          <w:rtl w:val="0"/>
        </w:rPr>
        <w:t>:</w:t>
      </w:r>
      <w:r>
        <w:rPr>
          <w:rFonts w:ascii="Arial" w:hAnsi="Arial" w:hint="default"/>
          <w:sz w:val="24"/>
          <w:szCs w:val="24"/>
          <w:u w:color="000000"/>
          <w:rtl w:val="1"/>
          <w:lang w:val="ar-SA" w:bidi="ar-SA"/>
        </w:rPr>
        <w:t>“</w:t>
      </w:r>
      <w:r>
        <w:rPr>
          <w:rFonts w:ascii="Arial" w:hAnsi="Arial"/>
          <w:sz w:val="24"/>
          <w:szCs w:val="24"/>
          <w:u w:color="000000"/>
          <w:rtl w:val="0"/>
          <w:lang w:val="en-US"/>
        </w:rPr>
        <w:t>If implemented, our recommended reforms will produce a clear, modern statutory code to deal with offences of violence. A logical hierarchy of clearly defined offences will allow prosecutors to make more appropriate and efficient use of valuable court time. And properly labelled offences will make sure the true nature of violent behaviour is recognised for what it is.</w:t>
      </w:r>
      <w:r>
        <w:rPr>
          <w:rFonts w:ascii="Arial" w:hAnsi="Arial" w:hint="default"/>
          <w:sz w:val="24"/>
          <w:szCs w:val="24"/>
          <w:u w:color="000000"/>
          <w:rtl w:val="0"/>
        </w:rPr>
        <w:t>”</w:t>
      </w:r>
      <w:r>
        <w:rPr>
          <w:rFonts w:ascii="Arial" w:hAnsi="Arial"/>
          <w:sz w:val="24"/>
          <w:szCs w:val="24"/>
          <w:u w:color="000000"/>
          <w:rtl w:val="0"/>
          <w:lang w:val="en-US"/>
        </w:rPr>
        <w:t xml:space="preserve"> Lord Justice Henry criticised the lack of clarity surrounding assault and battery due to the lack of statutory definition of either terms which consequently leads to a lack of codification. He observed in the case of </w:t>
      </w:r>
      <w:r>
        <w:rPr>
          <w:rFonts w:ascii="Arial" w:hAnsi="Arial"/>
          <w:sz w:val="24"/>
          <w:szCs w:val="24"/>
          <w:u w:color="000000"/>
          <w:rtl w:val="0"/>
          <w:lang w:val="en-US"/>
        </w:rPr>
        <w:t>Lynsey [1995]</w:t>
      </w:r>
      <w:r>
        <w:rPr>
          <w:rFonts w:ascii="Arial" w:cs="Arial" w:hAnsi="Arial" w:eastAsia="Arial"/>
          <w:sz w:val="24"/>
          <w:szCs w:val="24"/>
          <w:u w:color="000000"/>
          <w:vertAlign w:val="superscript"/>
          <w:rtl w:val="0"/>
        </w:rPr>
        <w:footnoteReference w:id="8"/>
      </w:r>
      <w:r>
        <w:rPr>
          <w:rFonts w:ascii="Arial" w:hAnsi="Arial"/>
          <w:sz w:val="24"/>
          <w:szCs w:val="24"/>
          <w:u w:color="000000"/>
          <w:rtl w:val="0"/>
          <w:lang w:val="en-US"/>
        </w:rPr>
        <w:t xml:space="preserve">  that the Offences Against the Person Act is in need of reform, </w:t>
      </w:r>
      <w:r>
        <w:rPr>
          <w:rFonts w:ascii="Arial" w:hAnsi="Arial" w:hint="default"/>
          <w:sz w:val="24"/>
          <w:szCs w:val="24"/>
          <w:u w:color="000000"/>
          <w:rtl w:val="1"/>
          <w:lang w:val="ar-SA" w:bidi="ar-SA"/>
        </w:rPr>
        <w:t>“</w:t>
      </w:r>
      <w:r>
        <w:rPr>
          <w:rFonts w:ascii="Arial" w:hAnsi="Arial"/>
          <w:sz w:val="24"/>
          <w:szCs w:val="24"/>
          <w:u w:color="000000"/>
          <w:rtl w:val="0"/>
          <w:lang w:val="en-US"/>
        </w:rPr>
        <w:t xml:space="preserve">The present appeal </w:t>
      </w:r>
      <w:r>
        <w:rPr>
          <w:rFonts w:ascii="Arial" w:hAnsi="Arial" w:hint="default"/>
          <w:sz w:val="24"/>
          <w:szCs w:val="24"/>
          <w:u w:color="000000"/>
          <w:rtl w:val="0"/>
        </w:rPr>
        <w:t xml:space="preserve">… </w:t>
      </w:r>
      <w:r>
        <w:rPr>
          <w:rFonts w:ascii="Arial" w:hAnsi="Arial"/>
          <w:sz w:val="24"/>
          <w:szCs w:val="24"/>
          <w:u w:color="000000"/>
          <w:rtl w:val="0"/>
          <w:lang w:val="en-US"/>
        </w:rPr>
        <w:t>is of no practical importance whatsoever but is yet another example of how bad laws cost money and clog up courts with better things to do.</w:t>
      </w:r>
      <w:r>
        <w:rPr>
          <w:rFonts w:ascii="Arial" w:hAnsi="Arial" w:hint="default"/>
          <w:sz w:val="24"/>
          <w:szCs w:val="24"/>
          <w:u w:color="000000"/>
          <w:rtl w:val="0"/>
        </w:rPr>
        <w:t>”</w:t>
      </w:r>
      <w:r>
        <w:rPr>
          <w:rFonts w:ascii="Arial" w:hAnsi="Arial"/>
          <w:sz w:val="24"/>
          <w:szCs w:val="24"/>
          <w:u w:color="000000"/>
          <w:rtl w:val="0"/>
          <w:lang w:val="en-US"/>
        </w:rPr>
        <w:t xml:space="preserve">  The unclear hierarchy is apparent when considering section 20; </w:t>
      </w:r>
      <w:r>
        <w:rPr>
          <w:rFonts w:ascii="Arial" w:hAnsi="Arial" w:hint="default"/>
          <w:sz w:val="24"/>
          <w:szCs w:val="24"/>
          <w:u w:color="000000"/>
          <w:rtl w:val="0"/>
          <w:lang w:val="en-US"/>
        </w:rPr>
        <w:t>‘</w:t>
      </w:r>
      <w:r>
        <w:rPr>
          <w:rFonts w:ascii="Arial" w:hAnsi="Arial"/>
          <w:sz w:val="24"/>
          <w:szCs w:val="24"/>
          <w:u w:color="000000"/>
          <w:rtl w:val="0"/>
          <w:lang w:val="en-US"/>
        </w:rPr>
        <w:t>unlawfully and maliciously wound or inflict any grievous bodily harm upon any other person, either with or without any weapon or instrument, shall be guilty of a misd</w:t>
      </w:r>
      <w:r>
        <w:rPr>
          <w:rFonts w:ascii="Arial" w:hAnsi="Arial"/>
          <w:sz w:val="24"/>
          <w:szCs w:val="24"/>
          <w:u w:color="000000"/>
          <w:rtl w:val="0"/>
          <w:lang w:val="en-US"/>
        </w:rPr>
        <w:t>e</w:t>
      </w:r>
      <w:r>
        <w:rPr>
          <w:rFonts w:ascii="Arial" w:hAnsi="Arial"/>
          <w:sz w:val="24"/>
          <w:szCs w:val="24"/>
          <w:u w:color="000000"/>
          <w:rtl w:val="0"/>
          <w:lang w:val="en-US"/>
        </w:rPr>
        <w:t>meanor</w:t>
      </w:r>
      <w:r>
        <w:rPr>
          <w:rFonts w:ascii="Arial" w:hAnsi="Arial" w:hint="default"/>
          <w:sz w:val="24"/>
          <w:szCs w:val="24"/>
          <w:u w:color="000000"/>
          <w:rtl w:val="0"/>
          <w:lang w:val="en-US"/>
        </w:rPr>
        <w:t>’</w:t>
      </w:r>
      <w:r>
        <w:rPr>
          <w:rFonts w:ascii="Arial" w:hAnsi="Arial"/>
          <w:sz w:val="24"/>
          <w:szCs w:val="24"/>
          <w:u w:color="000000"/>
          <w:rtl w:val="0"/>
        </w:rPr>
        <w:t>,</w:t>
      </w:r>
      <w:r>
        <w:rPr>
          <w:rFonts w:ascii="Arial" w:hAnsi="Arial"/>
          <w:sz w:val="24"/>
          <w:szCs w:val="24"/>
          <w:u w:color="000000"/>
          <w:rtl w:val="0"/>
          <w:lang w:val="en-US"/>
        </w:rPr>
        <w:t xml:space="preserve"> and section 47; </w:t>
      </w:r>
      <w:r>
        <w:rPr>
          <w:rFonts w:ascii="Arial" w:hAnsi="Arial" w:hint="default"/>
          <w:sz w:val="24"/>
          <w:szCs w:val="24"/>
          <w:u w:color="000000"/>
          <w:rtl w:val="0"/>
          <w:lang w:val="en-US"/>
        </w:rPr>
        <w:t>‘</w:t>
      </w:r>
      <w:r>
        <w:rPr>
          <w:rFonts w:ascii="Arial" w:hAnsi="Arial"/>
          <w:sz w:val="24"/>
          <w:szCs w:val="24"/>
          <w:u w:color="000000"/>
          <w:rtl w:val="0"/>
          <w:lang w:val="en-US"/>
        </w:rPr>
        <w:t>it is an offence to commit an assault occasioning actual bodily harm</w:t>
      </w:r>
      <w:r>
        <w:rPr>
          <w:rFonts w:ascii="Arial" w:hAnsi="Arial" w:hint="default"/>
          <w:sz w:val="24"/>
          <w:szCs w:val="24"/>
          <w:u w:color="000000"/>
          <w:rtl w:val="0"/>
          <w:lang w:val="en-US"/>
        </w:rPr>
        <w:t>’</w:t>
      </w:r>
      <w:r>
        <w:rPr>
          <w:rFonts w:ascii="Arial" w:hAnsi="Arial"/>
          <w:sz w:val="24"/>
          <w:szCs w:val="24"/>
          <w:u w:color="000000"/>
          <w:rtl w:val="0"/>
          <w:lang w:val="en-US"/>
        </w:rPr>
        <w:t xml:space="preserve">. Both sections in the Act have a maximum penalty of up to five years imprisonment even though section 20 is deemed a more serious crime this clarifies that the Act requires reform in order to establish a fair punishment for actions that are more violent in nature. </w:t>
      </w:r>
    </w:p>
    <w:p>
      <w:pPr>
        <w:pStyle w:val="Body"/>
        <w:bidi w:val="0"/>
        <w:spacing w:before="100" w:after="100"/>
        <w:ind w:left="0" w:right="0" w:firstLine="0"/>
        <w:jc w:val="left"/>
        <w:rPr>
          <w:rFonts w:ascii="Arial" w:cs="Arial" w:hAnsi="Arial" w:eastAsia="Arial"/>
          <w:sz w:val="24"/>
          <w:szCs w:val="24"/>
          <w:u w:color="000000"/>
          <w:rtl w:val="0"/>
        </w:rPr>
      </w:pPr>
    </w:p>
    <w:p>
      <w:pPr>
        <w:pStyle w:val="Body"/>
        <w:bidi w:val="0"/>
        <w:spacing w:before="100" w:after="100"/>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 xml:space="preserve">Recommendations made by Professor David Ormerod QC is likely to a great extent improve the Offences Against the Persons Act in establishing a fairer punishment for those who have committed acts that are violent in nature. By creating a modern extension of sentencing lengths it will aid the court in choosing a punishment that will fit the crime and provide justice for the victims and their families. Moreover, </w:t>
      </w:r>
      <w:r>
        <w:rPr>
          <w:rFonts w:ascii="Arial" w:hAnsi="Arial"/>
          <w:sz w:val="24"/>
          <w:szCs w:val="24"/>
          <w:u w:color="000000"/>
          <w:rtl w:val="0"/>
        </w:rPr>
        <w:t>Lord Steyn</w:t>
      </w:r>
      <w:r>
        <w:rPr>
          <w:rFonts w:ascii="Arial" w:hAnsi="Arial"/>
          <w:sz w:val="24"/>
          <w:szCs w:val="24"/>
          <w:u w:color="000000"/>
          <w:rtl w:val="0"/>
          <w:lang w:val="en-US"/>
        </w:rPr>
        <w:t xml:space="preserve"> stated that the Act requires modification in order to consider issues such as mental health that society has a deeper understanding and acknowledgement in todays law in comparison to in 1861, by altering the Act it will be easier for juries to charge defendants who have committed mental assault against someone as the current Act does not include this. On the other hand as seen in </w:t>
      </w:r>
      <w:r>
        <w:rPr>
          <w:rFonts w:ascii="Arial" w:hAnsi="Arial"/>
          <w:sz w:val="24"/>
          <w:szCs w:val="24"/>
          <w:u w:color="000000"/>
          <w:rtl w:val="0"/>
          <w:lang w:val="de-DE"/>
        </w:rPr>
        <w:t>R v Chan-Fook [1994]</w:t>
      </w:r>
      <w:r>
        <w:rPr>
          <w:rFonts w:ascii="Arial" w:cs="Arial" w:hAnsi="Arial" w:eastAsia="Arial"/>
          <w:sz w:val="24"/>
          <w:szCs w:val="24"/>
          <w:u w:color="000000"/>
          <w:vertAlign w:val="superscript"/>
          <w:rtl w:val="0"/>
        </w:rPr>
        <w:footnoteReference w:id="9"/>
      </w:r>
      <w:r>
        <w:rPr>
          <w:rFonts w:ascii="Arial" w:hAnsi="Arial"/>
          <w:sz w:val="24"/>
          <w:szCs w:val="24"/>
          <w:u w:color="000000"/>
          <w:rtl w:val="0"/>
          <w:lang w:val="en-US"/>
        </w:rPr>
        <w:t xml:space="preserve"> the case law has considered this and therefore aided future cases in persecuting those who have not committed a </w:t>
      </w:r>
      <w:r>
        <w:rPr>
          <w:rFonts w:ascii="Arial" w:hAnsi="Arial" w:hint="default"/>
          <w:sz w:val="24"/>
          <w:szCs w:val="24"/>
          <w:u w:color="000000"/>
          <w:rtl w:val="0"/>
          <w:lang w:val="en-US"/>
        </w:rPr>
        <w:t>‘</w:t>
      </w:r>
      <w:r>
        <w:rPr>
          <w:rFonts w:ascii="Arial" w:hAnsi="Arial"/>
          <w:sz w:val="24"/>
          <w:szCs w:val="24"/>
          <w:u w:color="000000"/>
          <w:rtl w:val="0"/>
          <w:lang w:val="en-US"/>
        </w:rPr>
        <w:t>physical harm</w:t>
      </w:r>
      <w:r>
        <w:rPr>
          <w:rFonts w:ascii="Arial" w:hAnsi="Arial" w:hint="default"/>
          <w:sz w:val="24"/>
          <w:szCs w:val="24"/>
          <w:u w:color="000000"/>
          <w:rtl w:val="0"/>
          <w:lang w:val="en-US"/>
        </w:rPr>
        <w:t>’</w:t>
      </w:r>
      <w:r>
        <w:rPr>
          <w:rFonts w:ascii="Arial" w:hAnsi="Arial"/>
          <w:sz w:val="24"/>
          <w:szCs w:val="24"/>
          <w:u w:color="000000"/>
          <w:rtl w:val="0"/>
          <w:lang w:val="en-US"/>
        </w:rPr>
        <w:t xml:space="preserve">.It can therefore be argued that although the law needs to be amended in order for clarification of requirements for assault and battery, for judges and juries, it does not need to alter the  conditions for </w:t>
      </w:r>
      <w:r>
        <w:rPr>
          <w:rFonts w:ascii="Arial" w:hAnsi="Arial" w:hint="default"/>
          <w:sz w:val="24"/>
          <w:szCs w:val="24"/>
          <w:u w:color="000000"/>
          <w:rtl w:val="0"/>
          <w:lang w:val="en-US"/>
        </w:rPr>
        <w:t>‘</w:t>
      </w:r>
      <w:r>
        <w:rPr>
          <w:rFonts w:ascii="Arial" w:hAnsi="Arial"/>
          <w:sz w:val="24"/>
          <w:szCs w:val="24"/>
          <w:u w:color="000000"/>
          <w:rtl w:val="0"/>
          <w:lang w:val="en-US"/>
        </w:rPr>
        <w:t>mental harm</w:t>
      </w:r>
      <w:r>
        <w:rPr>
          <w:rFonts w:ascii="Arial" w:hAnsi="Arial" w:hint="default"/>
          <w:sz w:val="24"/>
          <w:szCs w:val="24"/>
          <w:u w:color="000000"/>
          <w:rtl w:val="0"/>
          <w:lang w:val="en-US"/>
        </w:rPr>
        <w:t xml:space="preserve">’ </w:t>
      </w:r>
      <w:r>
        <w:rPr>
          <w:rFonts w:ascii="Arial" w:hAnsi="Arial"/>
          <w:sz w:val="24"/>
          <w:szCs w:val="24"/>
          <w:u w:color="000000"/>
          <w:rtl w:val="0"/>
          <w:lang w:val="en-US"/>
        </w:rPr>
        <w:t xml:space="preserve">to an extent. It can also be argued that if the law is modernised it will therefore have a greater purpose within society, and shorten court case lengths as the legislation will be easier to understand for everyone involved in the court proceedings. </w:t>
      </w:r>
    </w:p>
    <w:p>
      <w:pPr>
        <w:pStyle w:val="Body"/>
        <w:bidi w:val="0"/>
        <w:spacing w:before="100" w:after="100"/>
        <w:ind w:left="0" w:right="0" w:firstLine="0"/>
        <w:jc w:val="left"/>
        <w:rPr>
          <w:rFonts w:ascii="Arial" w:cs="Arial" w:hAnsi="Arial" w:eastAsia="Arial"/>
          <w:sz w:val="24"/>
          <w:szCs w:val="24"/>
          <w:u w:color="000000"/>
          <w:rtl w:val="0"/>
        </w:rPr>
      </w:pPr>
    </w:p>
    <w:p>
      <w:pPr>
        <w:pStyle w:val="Body"/>
        <w:bidi w:val="0"/>
        <w:ind w:left="0" w:right="0" w:firstLine="0"/>
        <w:jc w:val="left"/>
        <w:rPr>
          <w:rFonts w:ascii="Arial" w:cs="Arial" w:hAnsi="Arial" w:eastAsia="Arial"/>
          <w:sz w:val="24"/>
          <w:szCs w:val="24"/>
          <w:u w:color="000000"/>
          <w:rtl w:val="0"/>
        </w:rPr>
      </w:pPr>
    </w:p>
    <w:p>
      <w:pPr>
        <w:pStyle w:val="Body"/>
        <w:bidi w:val="0"/>
        <w:spacing w:before="100" w:after="100"/>
        <w:ind w:left="0" w:right="0" w:firstLine="0"/>
        <w:jc w:val="left"/>
        <w:rPr>
          <w:rFonts w:ascii="Arial" w:cs="Arial" w:hAnsi="Arial" w:eastAsia="Arial"/>
          <w:sz w:val="24"/>
          <w:szCs w:val="24"/>
          <w:u w:color="000000"/>
          <w:rtl w:val="0"/>
        </w:rPr>
      </w:pPr>
    </w:p>
    <w:p>
      <w:pPr>
        <w:pStyle w:val="Footnote"/>
        <w:rPr>
          <w:rFonts w:ascii="Arial" w:cs="Arial" w:hAnsi="Arial" w:eastAsia="Arial"/>
          <w:sz w:val="24"/>
          <w:szCs w:val="24"/>
        </w:rPr>
      </w:pPr>
    </w:p>
    <w:p>
      <w:pPr>
        <w:pStyle w:val="Body"/>
        <w:bidi w:val="0"/>
        <w:spacing w:before="100" w:after="100"/>
        <w:ind w:left="0" w:right="0" w:firstLine="0"/>
        <w:jc w:val="left"/>
        <w:rPr>
          <w:rFonts w:ascii="Arial" w:cs="Arial" w:hAnsi="Arial" w:eastAsia="Arial"/>
          <w:sz w:val="24"/>
          <w:szCs w:val="24"/>
          <w:u w:color="000000"/>
          <w:rtl w:val="0"/>
        </w:rPr>
      </w:pPr>
    </w:p>
    <w:p>
      <w:pPr>
        <w:pStyle w:val="Body"/>
        <w:bidi w:val="0"/>
        <w:spacing w:before="100" w:after="100"/>
        <w:ind w:left="0" w:right="0" w:firstLine="0"/>
        <w:jc w:val="left"/>
        <w:rPr>
          <w:rFonts w:ascii="Arial" w:cs="Arial" w:hAnsi="Arial" w:eastAsia="Arial"/>
          <w:sz w:val="24"/>
          <w:szCs w:val="24"/>
          <w:u w:color="000000"/>
          <w:rtl w:val="0"/>
        </w:rPr>
      </w:pPr>
    </w:p>
    <w:p>
      <w:pPr>
        <w:pStyle w:val="Footnote"/>
        <w:numPr>
          <w:ilvl w:val="0"/>
          <w:numId w:val="2"/>
        </w:numPr>
        <w:rPr>
          <w:rFonts w:ascii="Arial" w:hAnsi="Arial"/>
          <w:sz w:val="24"/>
          <w:szCs w:val="24"/>
        </w:rPr>
      </w:pPr>
      <w:r>
        <w:rPr>
          <w:rFonts w:ascii="Arial" w:hAnsi="Arial"/>
          <w:sz w:val="24"/>
          <w:szCs w:val="24"/>
          <w:rtl w:val="0"/>
        </w:rPr>
        <w:t xml:space="preserve"> </w:t>
      </w:r>
      <w:r>
        <w:rPr>
          <w:rFonts w:ascii="Arial" w:hAnsi="Arial"/>
          <w:sz w:val="24"/>
          <w:szCs w:val="24"/>
          <w:rtl w:val="0"/>
          <w:lang w:val="en-US"/>
        </w:rPr>
        <w:t xml:space="preserve">Director of Public Prosecutions </w:t>
      </w:r>
      <w:r>
        <w:rPr>
          <w:rFonts w:ascii="Arial" w:hAnsi="Arial"/>
          <w:sz w:val="24"/>
          <w:szCs w:val="24"/>
          <w:rtl w:val="0"/>
          <w:lang w:val="en-US"/>
        </w:rPr>
        <w:t>v Smith [2006] EWHC 94</w:t>
      </w:r>
    </w:p>
    <w:p>
      <w:pPr>
        <w:pStyle w:val="Footnote"/>
        <w:numPr>
          <w:ilvl w:val="0"/>
          <w:numId w:val="2"/>
        </w:numPr>
        <w:rPr>
          <w:rFonts w:ascii="Arial" w:hAnsi="Arial"/>
          <w:sz w:val="24"/>
          <w:szCs w:val="24"/>
          <w:lang w:val="en-US"/>
        </w:rPr>
      </w:pPr>
      <w:r>
        <w:rPr>
          <w:rFonts w:ascii="Arial" w:hAnsi="Arial"/>
          <w:sz w:val="24"/>
          <w:szCs w:val="24"/>
          <w:rtl w:val="0"/>
          <w:lang w:val="en-US"/>
        </w:rPr>
        <w:t>Lynsey [1995] 3 All ER 654</w:t>
      </w:r>
    </w:p>
    <w:p>
      <w:pPr>
        <w:pStyle w:val="Footnote"/>
        <w:numPr>
          <w:ilvl w:val="0"/>
          <w:numId w:val="2"/>
        </w:numPr>
        <w:rPr>
          <w:rFonts w:ascii="Arial" w:hAnsi="Arial"/>
          <w:sz w:val="24"/>
          <w:szCs w:val="24"/>
          <w:lang w:val="en-US"/>
        </w:rPr>
      </w:pPr>
      <w:r>
        <w:rPr>
          <w:rFonts w:ascii="Arial" w:hAnsi="Arial"/>
          <w:sz w:val="24"/>
          <w:szCs w:val="24"/>
          <w:rtl w:val="0"/>
          <w:lang w:val="en-US"/>
        </w:rPr>
        <w:t>Regina v Bollom [2004] 2 Cr App R 50</w:t>
      </w:r>
    </w:p>
    <w:p>
      <w:pPr>
        <w:pStyle w:val="Footnote"/>
        <w:numPr>
          <w:ilvl w:val="0"/>
          <w:numId w:val="2"/>
        </w:numPr>
        <w:rPr>
          <w:rFonts w:ascii="Arial" w:hAnsi="Arial"/>
          <w:sz w:val="24"/>
          <w:szCs w:val="24"/>
        </w:rPr>
      </w:pPr>
      <w:r>
        <w:rPr>
          <w:rFonts w:ascii="Arial" w:hAnsi="Arial"/>
          <w:sz w:val="24"/>
          <w:szCs w:val="24"/>
          <w:rtl w:val="0"/>
        </w:rPr>
        <w:t>R</w:t>
      </w:r>
      <w:r>
        <w:rPr>
          <w:rFonts w:ascii="Arial" w:hAnsi="Arial"/>
          <w:sz w:val="24"/>
          <w:szCs w:val="24"/>
          <w:rtl w:val="0"/>
          <w:lang w:val="en-US"/>
        </w:rPr>
        <w:t>egina</w:t>
      </w:r>
      <w:r>
        <w:rPr>
          <w:rFonts w:ascii="Arial" w:hAnsi="Arial"/>
          <w:sz w:val="24"/>
          <w:szCs w:val="24"/>
          <w:rtl w:val="0"/>
          <w:lang w:val="de-DE"/>
        </w:rPr>
        <w:t xml:space="preserve"> v Chan-Fook [1994] 1 WLR 689</w:t>
      </w:r>
    </w:p>
    <w:p>
      <w:pPr>
        <w:pStyle w:val="Footnote"/>
        <w:numPr>
          <w:ilvl w:val="0"/>
          <w:numId w:val="2"/>
        </w:numPr>
        <w:rPr>
          <w:rFonts w:ascii="Arial" w:hAnsi="Arial"/>
          <w:sz w:val="24"/>
          <w:szCs w:val="24"/>
          <w:lang w:val="en-US"/>
        </w:rPr>
      </w:pPr>
      <w:r>
        <w:rPr>
          <w:rFonts w:ascii="Arial" w:hAnsi="Arial"/>
          <w:sz w:val="24"/>
          <w:szCs w:val="24"/>
          <w:rtl w:val="0"/>
          <w:lang w:val="en-US"/>
        </w:rPr>
        <w:t>Regina v Ireland and Burstow [1997] UKHL 34</w:t>
      </w:r>
    </w:p>
    <w:p>
      <w:pPr>
        <w:pStyle w:val="Footnote"/>
        <w:numPr>
          <w:ilvl w:val="0"/>
          <w:numId w:val="2"/>
        </w:numPr>
        <w:rPr>
          <w:rFonts w:ascii="Arial" w:hAnsi="Arial"/>
          <w:sz w:val="24"/>
          <w:szCs w:val="24"/>
          <w:lang w:val="en-US"/>
        </w:rPr>
      </w:pPr>
      <w:r>
        <w:rPr>
          <w:rFonts w:ascii="Arial" w:hAnsi="Arial"/>
          <w:sz w:val="24"/>
          <w:szCs w:val="24"/>
          <w:rtl w:val="0"/>
          <w:lang w:val="en-US"/>
        </w:rPr>
        <w:t>Regina v Miller (1954)  2QB 282</w:t>
      </w:r>
    </w:p>
    <w:p>
      <w:pPr>
        <w:pStyle w:val="Footnote"/>
        <w:numPr>
          <w:ilvl w:val="0"/>
          <w:numId w:val="2"/>
        </w:numPr>
        <w:rPr>
          <w:rFonts w:ascii="Arial" w:hAnsi="Arial"/>
          <w:sz w:val="24"/>
          <w:szCs w:val="24"/>
        </w:rPr>
      </w:pPr>
      <w:r>
        <w:rPr>
          <w:rFonts w:ascii="Arial" w:hAnsi="Arial"/>
          <w:sz w:val="24"/>
          <w:szCs w:val="24"/>
          <w:rtl w:val="0"/>
        </w:rPr>
        <w:t xml:space="preserve"> </w:t>
      </w:r>
      <w:r>
        <w:rPr>
          <w:rFonts w:ascii="Arial" w:hAnsi="Arial"/>
          <w:sz w:val="24"/>
          <w:szCs w:val="24"/>
          <w:rtl w:val="0"/>
          <w:lang w:val="en-US"/>
        </w:rPr>
        <w:t xml:space="preserve">T v Director of Public Prosecutions (2003) EWHC 266 </w:t>
      </w:r>
      <w:r>
        <w:rPr>
          <w:rFonts w:ascii="Arial" w:cs="Arial" w:hAnsi="Arial" w:eastAsia="Arial"/>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Arial" w:cs="Arial" w:hAnsi="Arial" w:eastAsia="Arial"/>
        </w:rPr>
        <w:footnoteRef/>
      </w:r>
      <w:r>
        <w:rPr>
          <w:rFonts w:ascii="Arial" w:hAnsi="Arial"/>
          <w:rtl w:val="0"/>
        </w:rPr>
        <w:t xml:space="preserve"> </w:t>
      </w:r>
      <w:r>
        <w:rPr>
          <w:rFonts w:ascii="Arial" w:hAnsi="Arial"/>
          <w:rtl w:val="0"/>
          <w:lang w:val="en-US"/>
        </w:rPr>
        <w:t>Regina v Miller (1954)  2QB 282</w:t>
      </w:r>
    </w:p>
  </w:footnote>
  <w:footnote w:id="2">
    <w:p>
      <w:pPr>
        <w:pStyle w:val="Footnote"/>
      </w:pPr>
      <w:r>
        <w:rPr>
          <w:rFonts w:ascii="Arial" w:cs="Arial" w:hAnsi="Arial" w:eastAsia="Arial"/>
        </w:rPr>
        <w:footnoteRef/>
      </w:r>
      <w:r>
        <w:rPr>
          <w:rFonts w:ascii="Arial" w:hAnsi="Arial"/>
          <w:rtl w:val="0"/>
        </w:rPr>
        <w:t xml:space="preserve"> </w:t>
      </w:r>
      <w:r>
        <w:rPr>
          <w:rFonts w:ascii="Arial" w:hAnsi="Arial"/>
          <w:rtl w:val="0"/>
          <w:lang w:val="en-US"/>
        </w:rPr>
        <w:t xml:space="preserve">T v Director of Public Prosecutions (2003) EWHC 266 </w:t>
      </w:r>
    </w:p>
  </w:footnote>
  <w:footnote w:id="3">
    <w:p>
      <w:pPr>
        <w:pStyle w:val="Footnote"/>
      </w:pPr>
      <w:r>
        <w:rPr>
          <w:rFonts w:ascii="Arial" w:cs="Arial" w:hAnsi="Arial" w:eastAsia="Arial"/>
        </w:rPr>
        <w:footnoteRef/>
      </w:r>
      <w:r>
        <w:rPr>
          <w:rFonts w:ascii="Arial" w:hAnsi="Arial"/>
          <w:rtl w:val="0"/>
        </w:rPr>
        <w:t xml:space="preserve"> </w:t>
      </w:r>
      <w:r>
        <w:rPr>
          <w:rFonts w:ascii="Arial" w:hAnsi="Arial"/>
          <w:rtl w:val="0"/>
          <w:lang w:val="en-US"/>
        </w:rPr>
        <w:t xml:space="preserve">Director of Public Prosecutions </w:t>
      </w:r>
      <w:r>
        <w:rPr>
          <w:rFonts w:ascii="Arial" w:hAnsi="Arial"/>
          <w:rtl w:val="0"/>
          <w:lang w:val="en-US"/>
        </w:rPr>
        <w:t>v Smith [2006] EWHC 94</w:t>
      </w:r>
    </w:p>
  </w:footnote>
  <w:footnote w:id="4">
    <w:p>
      <w:pPr>
        <w:pStyle w:val="Footnote"/>
      </w:pPr>
      <w:r>
        <w:rPr>
          <w:rFonts w:ascii="Arial" w:cs="Arial" w:hAnsi="Arial" w:eastAsia="Arial"/>
        </w:rPr>
        <w:footnoteRef/>
      </w:r>
      <w:r>
        <w:rPr>
          <w:rFonts w:ascii="Arial" w:hAnsi="Arial"/>
          <w:rtl w:val="0"/>
        </w:rPr>
        <w:t xml:space="preserve"> </w:t>
      </w:r>
      <w:r>
        <w:rPr>
          <w:rFonts w:ascii="Arial" w:hAnsi="Arial"/>
          <w:rtl w:val="0"/>
          <w:lang w:val="en-US"/>
        </w:rPr>
        <w:t>R v Ireland and Burstow [1997] UKHL 34</w:t>
      </w:r>
    </w:p>
  </w:footnote>
  <w:footnote w:id="5">
    <w:p>
      <w:pPr>
        <w:pStyle w:val="Footnote"/>
      </w:pPr>
      <w:r>
        <w:rPr>
          <w:rFonts w:ascii="Arial" w:cs="Arial" w:hAnsi="Arial" w:eastAsia="Arial"/>
        </w:rPr>
        <w:footnoteRef/>
      </w:r>
      <w:r>
        <w:rPr>
          <w:rFonts w:ascii="Arial" w:hAnsi="Arial"/>
          <w:rtl w:val="0"/>
        </w:rPr>
        <w:t xml:space="preserve"> </w:t>
      </w:r>
      <w:r>
        <w:rPr>
          <w:rFonts w:ascii="Arial" w:hAnsi="Arial"/>
          <w:rtl w:val="0"/>
          <w:lang w:val="en-US"/>
        </w:rPr>
        <w:t xml:space="preserve">Director of Public Prosecutions </w:t>
      </w:r>
      <w:r>
        <w:rPr>
          <w:rFonts w:ascii="Arial" w:hAnsi="Arial"/>
          <w:rtl w:val="0"/>
          <w:lang w:val="en-US"/>
        </w:rPr>
        <w:t>v Smith [2006] EWHC 94</w:t>
      </w:r>
    </w:p>
  </w:footnote>
  <w:footnote w:id="6">
    <w:p>
      <w:pPr>
        <w:pStyle w:val="Footnote"/>
      </w:pPr>
      <w:r>
        <w:rPr>
          <w:rFonts w:ascii="Arial" w:cs="Arial" w:hAnsi="Arial" w:eastAsia="Arial"/>
        </w:rPr>
        <w:footnoteRef/>
      </w:r>
      <w:r>
        <w:rPr>
          <w:rFonts w:ascii="Arial" w:hAnsi="Arial"/>
          <w:rtl w:val="0"/>
        </w:rPr>
        <w:t xml:space="preserve"> </w:t>
      </w:r>
      <w:r>
        <w:rPr>
          <w:rFonts w:ascii="Arial" w:hAnsi="Arial"/>
          <w:rtl w:val="0"/>
          <w:lang w:val="en-US"/>
        </w:rPr>
        <w:t>Regina v Bollom [2004] 2 Cr App R 50</w:t>
      </w:r>
    </w:p>
  </w:footnote>
  <w:footnote w:id="7">
    <w:p>
      <w:pPr>
        <w:pStyle w:val="Footnote"/>
      </w:pPr>
      <w:r>
        <w:rPr>
          <w:rFonts w:ascii="Arial" w:cs="Arial" w:hAnsi="Arial" w:eastAsia="Arial"/>
        </w:rPr>
        <w:footnoteRef/>
      </w:r>
      <w:r>
        <w:rPr>
          <w:rFonts w:ascii="Arial" w:hAnsi="Arial"/>
          <w:rtl w:val="0"/>
          <w:lang w:val="en-US"/>
        </w:rPr>
        <w:t xml:space="preserve"> Ireland v Burstow [1997]</w:t>
      </w:r>
      <w:r>
        <w:rPr>
          <w:rFonts w:ascii="Arial" w:hAnsi="Arial"/>
          <w:rtl w:val="0"/>
          <w:lang w:val="en-US"/>
        </w:rPr>
        <w:t xml:space="preserve"> UKHL 34</w:t>
      </w:r>
      <w:r>
        <w:rPr>
          <w:rFonts w:ascii="Arial" w:cs="Arial" w:hAnsi="Arial" w:eastAsia="Arial"/>
        </w:rPr>
      </w:r>
    </w:p>
  </w:footnote>
  <w:footnote w:id="8">
    <w:p>
      <w:pPr>
        <w:pStyle w:val="Footnote"/>
      </w:pPr>
      <w:r>
        <w:rPr>
          <w:rFonts w:ascii="Arial" w:cs="Arial" w:hAnsi="Arial" w:eastAsia="Arial"/>
        </w:rPr>
        <w:footnoteRef/>
      </w:r>
      <w:r>
        <w:rPr>
          <w:rFonts w:ascii="Arial" w:hAnsi="Arial"/>
          <w:rtl w:val="0"/>
          <w:lang w:val="en-US"/>
        </w:rPr>
        <w:t xml:space="preserve">  Lynsey [1995] 3 All ER 654</w:t>
      </w:r>
      <w:r>
        <w:rPr>
          <w:rFonts w:ascii="Arial" w:cs="Arial" w:hAnsi="Arial" w:eastAsia="Arial"/>
        </w:rPr>
      </w:r>
    </w:p>
  </w:footnote>
  <w:footnote w:id="9">
    <w:p>
      <w:pPr>
        <w:pStyle w:val="Footnote"/>
      </w:pPr>
      <w:r>
        <w:rPr>
          <w:rFonts w:ascii="Arial" w:cs="Arial" w:hAnsi="Arial" w:eastAsia="Arial"/>
        </w:rPr>
        <w:footnoteRef/>
      </w:r>
      <w:r>
        <w:rPr>
          <w:rFonts w:ascii="Arial" w:hAnsi="Arial"/>
          <w:rtl w:val="0"/>
          <w:lang w:val="de-DE"/>
        </w:rPr>
        <w:t xml:space="preserve"> R v Chan-Fook [1994] 1 WLR 689 </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Harvard"/>
  </w:abstractNum>
  <w:abstractNum w:abstractNumId="1">
    <w:multiLevelType w:val="hybridMultilevel"/>
    <w:styleLink w:val="Harvard"/>
    <w:lvl w:ilvl="0">
      <w:start w:val="1"/>
      <w:numFmt w:val="upperRoman"/>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upperLetter"/>
      <w:suff w:val="nothing"/>
      <w:lvlText w:val="%1.%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1.%2.%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lowerLetter"/>
      <w:suff w:val="nothing"/>
      <w:lvlText w:val="%1.%2.%3.%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Letter"/>
      <w:suff w:val="nothing"/>
      <w:lvlText w:val="%1.%2.%3.%4)(%5)(%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lowerRoman"/>
      <w:suff w:val="nothing"/>
      <w:lvlText w:val="%1.%2.%3.%4)(%5)(%6)%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Letter"/>
      <w:suff w:val="nothing"/>
      <w:lvlText w:val="%1.%2.%3.%4)(%5)(%6)%7)(%8)(%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Harvard">
    <w:name w:val="Harvard"/>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