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C39EE" w14:textId="77777777" w:rsidR="006C3C02" w:rsidRPr="00E764CB" w:rsidRDefault="006C3C02" w:rsidP="00345B96">
      <w:pPr>
        <w:rPr>
          <w:rFonts w:cs="Arial"/>
          <w:b/>
          <w:bCs/>
          <w:sz w:val="32"/>
          <w:szCs w:val="32"/>
        </w:rPr>
      </w:pPr>
    </w:p>
    <w:p w14:paraId="7B471B1A" w14:textId="05FEB444" w:rsidR="006C3C02" w:rsidRDefault="006C3C02" w:rsidP="006C3C02">
      <w:pPr>
        <w:jc w:val="center"/>
        <w:rPr>
          <w:rFonts w:cs="Arial"/>
          <w:b/>
          <w:bCs/>
          <w:sz w:val="48"/>
          <w:szCs w:val="48"/>
        </w:rPr>
      </w:pPr>
      <w:r w:rsidRPr="00E764CB">
        <w:rPr>
          <w:rFonts w:cs="Arial"/>
          <w:b/>
          <w:bCs/>
          <w:sz w:val="48"/>
          <w:szCs w:val="48"/>
        </w:rPr>
        <w:t>Dissertation</w:t>
      </w:r>
    </w:p>
    <w:p w14:paraId="17564017" w14:textId="2E7B772A" w:rsidR="00151D19" w:rsidRPr="00E764CB" w:rsidRDefault="00151D19" w:rsidP="006C3C02">
      <w:pPr>
        <w:jc w:val="center"/>
        <w:rPr>
          <w:rFonts w:cs="Arial"/>
          <w:b/>
          <w:bCs/>
          <w:sz w:val="48"/>
          <w:szCs w:val="48"/>
        </w:rPr>
      </w:pPr>
      <w:r>
        <w:rPr>
          <w:rFonts w:cs="Arial"/>
          <w:b/>
          <w:bCs/>
          <w:sz w:val="48"/>
          <w:szCs w:val="48"/>
        </w:rPr>
        <w:t>Chapter 3</w:t>
      </w:r>
    </w:p>
    <w:p w14:paraId="6955DE02" w14:textId="77777777" w:rsidR="006C3C02" w:rsidRDefault="006C3C02" w:rsidP="006C3C02">
      <w:pPr>
        <w:spacing w:line="278" w:lineRule="auto"/>
        <w:ind w:left="360"/>
        <w:jc w:val="center"/>
        <w:rPr>
          <w:rFonts w:cs="Arial"/>
          <w:b/>
          <w:bCs/>
        </w:rPr>
      </w:pPr>
    </w:p>
    <w:p w14:paraId="3E19F8C5" w14:textId="77777777" w:rsidR="006C3C02" w:rsidRDefault="006C3C02" w:rsidP="006C3C02">
      <w:pPr>
        <w:spacing w:line="278" w:lineRule="auto"/>
        <w:ind w:left="360"/>
        <w:jc w:val="center"/>
        <w:rPr>
          <w:rFonts w:cs="Arial"/>
          <w:b/>
          <w:bCs/>
        </w:rPr>
      </w:pPr>
      <w:r w:rsidRPr="00EC19B3">
        <w:rPr>
          <w:rFonts w:cs="Arial"/>
          <w:b/>
          <w:bCs/>
        </w:rPr>
        <w:t>Student Name: Suma Begum</w:t>
      </w:r>
    </w:p>
    <w:p w14:paraId="46519DA5" w14:textId="77777777" w:rsidR="006C3C02" w:rsidRDefault="006C3C02" w:rsidP="006C3C02">
      <w:pPr>
        <w:spacing w:line="278" w:lineRule="auto"/>
        <w:ind w:left="360"/>
        <w:jc w:val="center"/>
        <w:rPr>
          <w:rFonts w:cs="Arial"/>
          <w:b/>
          <w:bCs/>
        </w:rPr>
      </w:pPr>
      <w:r w:rsidRPr="00EC19B3">
        <w:rPr>
          <w:rFonts w:cs="Arial"/>
          <w:b/>
          <w:bCs/>
        </w:rPr>
        <w:t>Student ID: 2123484</w:t>
      </w:r>
    </w:p>
    <w:p w14:paraId="444DF416" w14:textId="77777777" w:rsidR="006C3C02" w:rsidRPr="00E764CB" w:rsidRDefault="006C3C02" w:rsidP="006C3C02">
      <w:pPr>
        <w:jc w:val="center"/>
        <w:rPr>
          <w:rFonts w:cs="Arial"/>
        </w:rPr>
      </w:pPr>
    </w:p>
    <w:p w14:paraId="38B7391F" w14:textId="431B364B" w:rsidR="00A077F2" w:rsidRPr="00345B96" w:rsidRDefault="00A077F2" w:rsidP="00345B96">
      <w:pPr>
        <w:jc w:val="center"/>
        <w:rPr>
          <w:rFonts w:cs="Arial"/>
          <w:b/>
          <w:bCs/>
          <w:sz w:val="32"/>
          <w:szCs w:val="32"/>
        </w:rPr>
      </w:pPr>
      <w:r w:rsidRPr="00063B4C">
        <w:rPr>
          <w:rFonts w:cs="Arial"/>
          <w:sz w:val="60"/>
          <w:szCs w:val="60"/>
        </w:rPr>
        <w:br/>
      </w:r>
    </w:p>
    <w:p w14:paraId="4B296FB8" w14:textId="66C51172" w:rsidR="006C3C02" w:rsidRDefault="006C3C02">
      <w:pPr>
        <w:spacing w:line="259" w:lineRule="auto"/>
        <w:jc w:val="left"/>
        <w:rPr>
          <w:b/>
          <w:bCs/>
          <w:sz w:val="28"/>
          <w:szCs w:val="28"/>
        </w:rPr>
      </w:pPr>
    </w:p>
    <w:p w14:paraId="6EDC5C0C" w14:textId="3FFD6BC9" w:rsidR="00A23EFB" w:rsidRPr="00A23EFB" w:rsidRDefault="00A23EFB" w:rsidP="00A23EFB">
      <w:pPr>
        <w:jc w:val="center"/>
        <w:rPr>
          <w:rFonts w:eastAsia="Arial Unicode MS" w:cs="Arial"/>
          <w:b/>
          <w:sz w:val="48"/>
          <w:szCs w:val="48"/>
        </w:rPr>
      </w:pPr>
      <w:r w:rsidRPr="00A23EFB">
        <w:rPr>
          <w:rFonts w:eastAsia="Arial Unicode MS" w:cs="Arial"/>
          <w:b/>
          <w:sz w:val="48"/>
          <w:szCs w:val="48"/>
        </w:rPr>
        <w:t>Title – "The Effectiveness of Community-Based Dementia Support Programs for Adults Aged 65 and Over in the UK: A Systematic Review.</w:t>
      </w:r>
    </w:p>
    <w:p w14:paraId="6FEEC9AB" w14:textId="77777777" w:rsidR="00BC7F33" w:rsidRDefault="00BC7F33">
      <w:pPr>
        <w:spacing w:line="259" w:lineRule="auto"/>
        <w:jc w:val="left"/>
        <w:rPr>
          <w:rFonts w:eastAsiaTheme="majorEastAsia" w:cstheme="majorBidi"/>
          <w:b/>
          <w:sz w:val="32"/>
          <w:szCs w:val="40"/>
        </w:rPr>
      </w:pPr>
      <w:r>
        <w:br w:type="page"/>
      </w:r>
    </w:p>
    <w:p w14:paraId="631D9872" w14:textId="28701BFF" w:rsidR="00BC7F33" w:rsidRPr="009C0D00" w:rsidRDefault="00BC7F33" w:rsidP="00BC7F33">
      <w:pPr>
        <w:pStyle w:val="Heading1"/>
      </w:pPr>
      <w:bookmarkStart w:id="0" w:name="_Toc204831437"/>
      <w:r w:rsidRPr="009C0D00">
        <w:lastRenderedPageBreak/>
        <w:t>CHAPTER 3 – Academic Methodology Poster</w:t>
      </w:r>
      <w:bookmarkEnd w:id="0"/>
    </w:p>
    <w:p w14:paraId="1D718E63" w14:textId="36BBA2A0" w:rsidR="00BC7F33" w:rsidRPr="00BC7F33" w:rsidRDefault="00BC7F33" w:rsidP="00BC7F33">
      <w:pPr>
        <w:pStyle w:val="Heading2"/>
      </w:pPr>
      <w:bookmarkStart w:id="1" w:name="_Toc204831438"/>
      <w:r w:rsidRPr="009C0D00">
        <w:t>3.1 Academic Methodology Poster</w:t>
      </w:r>
      <w:bookmarkEnd w:id="1"/>
    </w:p>
    <w:p w14:paraId="051B43C5" w14:textId="77777777" w:rsidR="00BC7F33" w:rsidRDefault="00BC7F33" w:rsidP="0072601A">
      <w:r>
        <w:rPr>
          <w:noProof/>
        </w:rPr>
        <w:drawing>
          <wp:inline distT="0" distB="0" distL="0" distR="0" wp14:anchorId="6CC01D4C" wp14:editId="6A94DE2C">
            <wp:extent cx="5943600" cy="33705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70580"/>
                    </a:xfrm>
                    <a:prstGeom prst="rect">
                      <a:avLst/>
                    </a:prstGeom>
                  </pic:spPr>
                </pic:pic>
              </a:graphicData>
            </a:graphic>
          </wp:inline>
        </w:drawing>
      </w:r>
    </w:p>
    <w:p w14:paraId="4681BECA" w14:textId="77777777" w:rsidR="00BC7F33" w:rsidRPr="00D75494" w:rsidRDefault="00BC7F33" w:rsidP="00BC7F33">
      <w:pPr>
        <w:pStyle w:val="Heading2"/>
      </w:pPr>
      <w:bookmarkStart w:id="2" w:name="_Toc204831439"/>
      <w:r w:rsidRPr="009C0D00">
        <w:t>3.2 Additional Information</w:t>
      </w:r>
      <w:bookmarkEnd w:id="2"/>
    </w:p>
    <w:p w14:paraId="7A8116D5" w14:textId="77777777" w:rsidR="00BC7F33" w:rsidRPr="009C0D00" w:rsidRDefault="00BC7F33" w:rsidP="00BC7F33">
      <w:pPr>
        <w:rPr>
          <w:b/>
          <w:bCs/>
        </w:rPr>
      </w:pPr>
      <w:r w:rsidRPr="00D75494">
        <w:rPr>
          <w:b/>
          <w:bCs/>
        </w:rPr>
        <w:t>3.2.1 – Introduction</w:t>
      </w:r>
    </w:p>
    <w:p w14:paraId="06D30874" w14:textId="42B8D3AD" w:rsidR="00BC7F33" w:rsidRDefault="00BC7F33" w:rsidP="0072601A">
      <w:r w:rsidRPr="009C0D00">
        <w:t>This passage backs up the methodology shown in the scholarly poster by giving further depth and understanding. It provides a sketch of the rationale, the structure and the particular procedures undertaken in completing a systematic review on the effectiveness of community-based dementia support programmes to older adults in the UK. Since dementia is an increasing issue in terms of community health, especially the adults aged 65 and over, community-based support is essential. The provisions of a clear description of the search, selection, analysis, and ethical procedures implemented demonstrate the transparency, academic rigour, and validity of research findings guiding the practice and policy formul</w:t>
      </w:r>
      <w:r>
        <w:t>ation.</w:t>
      </w:r>
    </w:p>
    <w:p w14:paraId="3889D1E8" w14:textId="2757C138" w:rsidR="006707CF" w:rsidRPr="009C0D00" w:rsidRDefault="006707CF" w:rsidP="006707CF">
      <w:pPr>
        <w:rPr>
          <w:b/>
          <w:bCs/>
        </w:rPr>
      </w:pPr>
      <w:r w:rsidRPr="009C0D00">
        <w:rPr>
          <w:b/>
          <w:bCs/>
        </w:rPr>
        <w:t>3.2.2 Search Strategy</w:t>
      </w:r>
    </w:p>
    <w:p w14:paraId="0A23294F" w14:textId="3A23AC8A" w:rsidR="006707CF" w:rsidRPr="009C0D00" w:rsidRDefault="006707CF" w:rsidP="006707CF">
      <w:r w:rsidRPr="009C0D00">
        <w:t xml:space="preserve">There must be a </w:t>
      </w:r>
      <w:r w:rsidR="00580FEC" w:rsidRPr="009C0D00">
        <w:t>well-organised</w:t>
      </w:r>
      <w:r w:rsidRPr="009C0D00">
        <w:t xml:space="preserve"> and duplicable search strategy to be able to retrieve high-quality literature. </w:t>
      </w:r>
      <w:r w:rsidR="00580FEC" w:rsidRPr="009C0D00">
        <w:t>The most</w:t>
      </w:r>
      <w:r w:rsidRPr="009C0D00">
        <w:t xml:space="preserve"> significant databases which were used in this review were the CINAHL, PubMed and the Cochrane </w:t>
      </w:r>
      <w:r w:rsidR="00580FEC" w:rsidRPr="009C0D00">
        <w:t>Library</w:t>
      </w:r>
      <w:r w:rsidRPr="009C0D00">
        <w:t xml:space="preserve">. The basis of the research aim was used to create the search </w:t>
      </w:r>
      <w:r w:rsidRPr="009C0D00">
        <w:lastRenderedPageBreak/>
        <w:t xml:space="preserve">terms with combinations of keywords, including but not limited to dementia, community support, UK, older adults, and effectiveness. The searches were refined by using </w:t>
      </w:r>
      <w:r w:rsidR="00580FEC" w:rsidRPr="009C0D00">
        <w:t>Boolean</w:t>
      </w:r>
      <w:r w:rsidRPr="009C0D00">
        <w:t xml:space="preserve"> operators (AND, OR) as well as the truncation methods. Limiters filters were </w:t>
      </w:r>
      <w:r w:rsidR="00580FEC" w:rsidRPr="009C0D00">
        <w:t>used</w:t>
      </w:r>
      <w:r w:rsidRPr="009C0D00">
        <w:t xml:space="preserve"> to limit the research to full-text, English language and 10 </w:t>
      </w:r>
      <w:r w:rsidR="00580FEC" w:rsidRPr="009C0D00">
        <w:t>10-year</w:t>
      </w:r>
      <w:r w:rsidRPr="009C0D00">
        <w:t xml:space="preserve"> publication limit. This guaranteed the arousal of breadth and significance to the research question (</w:t>
      </w:r>
      <w:proofErr w:type="spellStart"/>
      <w:r w:rsidRPr="009C0D00">
        <w:t>Jesson</w:t>
      </w:r>
      <w:proofErr w:type="spellEnd"/>
      <w:r w:rsidRPr="009C0D00">
        <w:t xml:space="preserve">, Matheson </w:t>
      </w:r>
      <w:r w:rsidR="005F1735">
        <w:t>and</w:t>
      </w:r>
      <w:r w:rsidRPr="009C0D00">
        <w:t xml:space="preserve"> Lacey, 2011).</w:t>
      </w:r>
    </w:p>
    <w:p w14:paraId="1A4677F1" w14:textId="77777777" w:rsidR="006707CF" w:rsidRPr="00D75494" w:rsidRDefault="006707CF" w:rsidP="006707CF">
      <w:pPr>
        <w:rPr>
          <w:b/>
          <w:bCs/>
        </w:rPr>
      </w:pPr>
      <w:r w:rsidRPr="00D75494">
        <w:rPr>
          <w:b/>
          <w:bCs/>
        </w:rPr>
        <w:t>3.2.3 – Searching for Information</w:t>
      </w:r>
    </w:p>
    <w:p w14:paraId="088371E8" w14:textId="1905B88D" w:rsidR="006707CF" w:rsidRPr="009C0D00" w:rsidRDefault="00580FEC" w:rsidP="006707CF">
      <w:r w:rsidRPr="009C0D00">
        <w:t>The information</w:t>
      </w:r>
      <w:r w:rsidR="006707CF" w:rsidRPr="009C0D00">
        <w:t xml:space="preserve"> retrieval process started by using exploratory keyword queries by trying to locate appropriate terminologies. Relevance was enhanced by the use of controlled vocabulary, e.g. </w:t>
      </w:r>
      <w:proofErr w:type="spellStart"/>
      <w:r w:rsidR="006707CF" w:rsidRPr="009C0D00">
        <w:t>MeSH</w:t>
      </w:r>
      <w:proofErr w:type="spellEnd"/>
      <w:r w:rsidR="006707CF" w:rsidRPr="009C0D00">
        <w:t xml:space="preserve"> terms in PubMed and CINAHL Subject Headings. The Boolean operators (e.g. community care AND dementia AND UK AND elderly) were used to narrow down the search strings.</w:t>
      </w:r>
    </w:p>
    <w:p w14:paraId="35B58FD9" w14:textId="22557E60" w:rsidR="006707CF" w:rsidRPr="009C0D00" w:rsidRDefault="006707CF" w:rsidP="006707CF">
      <w:r w:rsidRPr="009C0D00">
        <w:t xml:space="preserve">Every search was recorded in order to make </w:t>
      </w:r>
      <w:r w:rsidR="00580FEC" w:rsidRPr="009C0D00">
        <w:t>it</w:t>
      </w:r>
      <w:r w:rsidRPr="009C0D00">
        <w:t xml:space="preserve"> transparent and reproducible. The inclusion of grey literature was regarded as a way to obtain NHS reports, social care </w:t>
      </w:r>
      <w:r w:rsidR="00580FEC" w:rsidRPr="009C0D00">
        <w:t>evaluations</w:t>
      </w:r>
      <w:r w:rsidRPr="009C0D00">
        <w:t xml:space="preserve">, and programme reviews that were not </w:t>
      </w:r>
      <w:r w:rsidR="00580FEC" w:rsidRPr="009C0D00">
        <w:t>peer-reviewed</w:t>
      </w:r>
      <w:r w:rsidRPr="009C0D00">
        <w:t>. The relevant policy documents were accessed on Google Scholar and government websites (such as NICE and NHS England).</w:t>
      </w:r>
    </w:p>
    <w:p w14:paraId="115C4503" w14:textId="77777777" w:rsidR="006707CF" w:rsidRPr="009C0D00" w:rsidRDefault="006707CF" w:rsidP="006707CF">
      <w:r w:rsidRPr="009C0D00">
        <w:t>Inclusion and exclusion criteria were used to screen articles both on title and abstract then full text. Information was stored, tagged and organised in Zotero. The refinement of the search was an iterative process, i.e. in case some terms produced too many irrelevant results, those were changed or reconfigured.</w:t>
      </w:r>
    </w:p>
    <w:p w14:paraId="1BD03B04" w14:textId="5523B5C5" w:rsidR="006707CF" w:rsidRPr="009C0D00" w:rsidRDefault="006707CF" w:rsidP="006707CF">
      <w:r w:rsidRPr="009C0D00">
        <w:t>The search ended up with 25 articles that were to be reviewed in detail. The variety of sources of information made the overview balanced by means of lowering publication bias. With the help of effective searching, it was possible to identify evidence-based outcomes and connect them to areas that informed about cognitive improvement, accessibility of the services, and social impact of dementia interventions (</w:t>
      </w:r>
      <w:r w:rsidR="00D21E83" w:rsidRPr="00D21E83">
        <w:t>Papaioannou</w:t>
      </w:r>
      <w:r w:rsidRPr="009C0D00">
        <w:t xml:space="preserve"> et al., 2016).</w:t>
      </w:r>
    </w:p>
    <w:p w14:paraId="487AF74C" w14:textId="06A49CA9" w:rsidR="006707CF" w:rsidRPr="00D75494" w:rsidRDefault="006707CF" w:rsidP="006707CF">
      <w:pPr>
        <w:rPr>
          <w:b/>
          <w:bCs/>
        </w:rPr>
      </w:pPr>
      <w:r w:rsidRPr="00D75494">
        <w:rPr>
          <w:b/>
          <w:bCs/>
        </w:rPr>
        <w:t>3.2.4 – Research Validation</w:t>
      </w:r>
    </w:p>
    <w:p w14:paraId="3CE102C3" w14:textId="1B95593C" w:rsidR="006707CF" w:rsidRPr="009C0D00" w:rsidRDefault="006707CF" w:rsidP="006707CF">
      <w:r w:rsidRPr="009C0D00">
        <w:t xml:space="preserve">The importance of validation of sources in secondary research is to establish the reliability, credibility and </w:t>
      </w:r>
      <w:r w:rsidR="00580FEC" w:rsidRPr="009C0D00">
        <w:t>academicism</w:t>
      </w:r>
      <w:r w:rsidRPr="009C0D00">
        <w:t xml:space="preserve"> of the research. The automatic quality appraisal of each study involved in the review has been performed by using an essential quality appraisal checklist based on the Critical Appraisal Skills Programme (CASP) based on study design, ethical approval, findings clarity, and population relevance.</w:t>
      </w:r>
    </w:p>
    <w:p w14:paraId="1F33B60E" w14:textId="77777777" w:rsidR="006707CF" w:rsidRPr="009C0D00" w:rsidRDefault="006707CF" w:rsidP="006707CF">
      <w:r w:rsidRPr="009C0D00">
        <w:lastRenderedPageBreak/>
        <w:t>The requirements were consistency with people aged above 65 (oldest old) participating in any study, and community interventions conducted in the UK. The studies were excluded that have low sample size, unclear reporting of outcomes or lacks methodological transparency.</w:t>
      </w:r>
    </w:p>
    <w:p w14:paraId="1A85B3AF" w14:textId="4D2A0265" w:rsidR="006707CF" w:rsidRPr="009C0D00" w:rsidRDefault="006707CF" w:rsidP="006707CF">
      <w:r w:rsidRPr="009C0D00">
        <w:t xml:space="preserve">Submission of government publications that are not peer-reviewed was possible provided that they were published by an official and authoritative body like NHS England or the Public Health England. Any possible conflict of interest, funding bias or poor transparency was also considered in the review. The systematic review was kept honest by employing approved appraisal models and creating good inclusion boundaries (Noble </w:t>
      </w:r>
      <w:r w:rsidR="005F1735">
        <w:t>and</w:t>
      </w:r>
      <w:r w:rsidRPr="009C0D00">
        <w:t xml:space="preserve"> Smith, 2015). This validating process allowed justifying all the explanations gained based on the solid and trustworthy information.</w:t>
      </w:r>
    </w:p>
    <w:p w14:paraId="164AF8C6" w14:textId="6202D38C" w:rsidR="006707CF" w:rsidRPr="009C0D00" w:rsidRDefault="006707CF" w:rsidP="006707CF">
      <w:pPr>
        <w:rPr>
          <w:b/>
          <w:bCs/>
        </w:rPr>
      </w:pPr>
      <w:r w:rsidRPr="009C0D00">
        <w:rPr>
          <w:b/>
          <w:bCs/>
        </w:rPr>
        <w:t>3.2.5 -Inclusion and Exclusion Criteria</w:t>
      </w:r>
    </w:p>
    <w:p w14:paraId="5536803F" w14:textId="77777777" w:rsidR="006707CF" w:rsidRPr="009C0D00" w:rsidRDefault="006707CF" w:rsidP="006707CF">
      <w:pPr>
        <w:rPr>
          <w:b/>
          <w:bCs/>
        </w:rPr>
      </w:pPr>
      <w:r w:rsidRPr="009C0D00">
        <w:rPr>
          <w:b/>
          <w:bCs/>
        </w:rPr>
        <w:t>Inclusion criteria:</w:t>
      </w:r>
    </w:p>
    <w:p w14:paraId="26E2D332" w14:textId="7DBA4D3E" w:rsidR="006707CF" w:rsidRPr="009C0D00" w:rsidRDefault="006707CF" w:rsidP="006707CF">
      <w:pPr>
        <w:pStyle w:val="ListParagraph"/>
        <w:numPr>
          <w:ilvl w:val="0"/>
          <w:numId w:val="13"/>
        </w:numPr>
      </w:pPr>
      <w:r w:rsidRPr="009C0D00">
        <w:t xml:space="preserve">Publications 2014 </w:t>
      </w:r>
      <w:r w:rsidR="00345B96">
        <w:t xml:space="preserve">to </w:t>
      </w:r>
      <w:r w:rsidRPr="009C0D00">
        <w:t>202</w:t>
      </w:r>
      <w:r w:rsidR="00345B96">
        <w:t>5</w:t>
      </w:r>
    </w:p>
    <w:p w14:paraId="66CCE4A0" w14:textId="34EFB6A6" w:rsidR="006707CF" w:rsidRPr="009C0D00" w:rsidRDefault="006707CF" w:rsidP="006707CF">
      <w:pPr>
        <w:pStyle w:val="ListParagraph"/>
        <w:numPr>
          <w:ilvl w:val="0"/>
          <w:numId w:val="13"/>
        </w:numPr>
      </w:pPr>
      <w:r w:rsidRPr="009C0D00">
        <w:t>Publications that have been peer reviewed or published as a government policy paper</w:t>
      </w:r>
    </w:p>
    <w:p w14:paraId="5D6BC88E" w14:textId="77777777" w:rsidR="006707CF" w:rsidRPr="009C0D00" w:rsidRDefault="006707CF" w:rsidP="006707CF">
      <w:pPr>
        <w:pStyle w:val="ListParagraph"/>
        <w:numPr>
          <w:ilvl w:val="0"/>
          <w:numId w:val="13"/>
        </w:numPr>
      </w:pPr>
      <w:r w:rsidRPr="009C0D00">
        <w:t>Target population is persons 65+, with dementia</w:t>
      </w:r>
    </w:p>
    <w:p w14:paraId="0AF9E826" w14:textId="51BD172B" w:rsidR="006707CF" w:rsidRPr="009C0D00" w:rsidRDefault="006707CF" w:rsidP="006707CF">
      <w:pPr>
        <w:pStyle w:val="ListParagraph"/>
        <w:numPr>
          <w:ilvl w:val="0"/>
          <w:numId w:val="13"/>
        </w:numPr>
      </w:pPr>
      <w:r w:rsidRPr="009C0D00">
        <w:t>Non-resident community-based support was tested</w:t>
      </w:r>
    </w:p>
    <w:p w14:paraId="304BB73F" w14:textId="77777777" w:rsidR="006707CF" w:rsidRPr="009C0D00" w:rsidRDefault="006707CF" w:rsidP="006707CF">
      <w:pPr>
        <w:pStyle w:val="ListParagraph"/>
        <w:numPr>
          <w:ilvl w:val="0"/>
          <w:numId w:val="13"/>
        </w:numPr>
      </w:pPr>
      <w:r w:rsidRPr="009C0D00">
        <w:t>It is written in English and in full text</w:t>
      </w:r>
    </w:p>
    <w:p w14:paraId="63C1C3A0" w14:textId="77777777" w:rsidR="006707CF" w:rsidRPr="009C0D00" w:rsidRDefault="006707CF" w:rsidP="006707CF">
      <w:pPr>
        <w:rPr>
          <w:b/>
          <w:bCs/>
        </w:rPr>
      </w:pPr>
      <w:r w:rsidRPr="009C0D00">
        <w:rPr>
          <w:b/>
          <w:bCs/>
        </w:rPr>
        <w:t>Exclusion criteria:</w:t>
      </w:r>
    </w:p>
    <w:p w14:paraId="1B7AC5DE" w14:textId="2C6A43B8" w:rsidR="006707CF" w:rsidRPr="009C0D00" w:rsidRDefault="006707CF" w:rsidP="006707CF">
      <w:pPr>
        <w:pStyle w:val="ListParagraph"/>
        <w:numPr>
          <w:ilvl w:val="0"/>
          <w:numId w:val="16"/>
        </w:numPr>
      </w:pPr>
      <w:r w:rsidRPr="009C0D00">
        <w:t>Studies from more than 10 years ago</w:t>
      </w:r>
    </w:p>
    <w:p w14:paraId="500588F9" w14:textId="2D4989A8" w:rsidR="006707CF" w:rsidRPr="009C0D00" w:rsidRDefault="006707CF" w:rsidP="006707CF">
      <w:pPr>
        <w:pStyle w:val="ListParagraph"/>
        <w:numPr>
          <w:ilvl w:val="0"/>
          <w:numId w:val="16"/>
        </w:numPr>
      </w:pPr>
      <w:r w:rsidRPr="009C0D00">
        <w:t>Non-UK-based interventions</w:t>
      </w:r>
    </w:p>
    <w:p w14:paraId="7F64A28D" w14:textId="68784A2D" w:rsidR="006707CF" w:rsidRPr="009C0D00" w:rsidRDefault="006707CF" w:rsidP="006707CF">
      <w:pPr>
        <w:pStyle w:val="ListParagraph"/>
        <w:numPr>
          <w:ilvl w:val="0"/>
          <w:numId w:val="16"/>
        </w:numPr>
      </w:pPr>
      <w:r w:rsidRPr="009C0D00">
        <w:t>Research carried out in a hospital, a nursing home or an institutional setting</w:t>
      </w:r>
    </w:p>
    <w:p w14:paraId="52BD0337" w14:textId="23163B1B" w:rsidR="006707CF" w:rsidRPr="009C0D00" w:rsidRDefault="006707CF" w:rsidP="006707CF">
      <w:pPr>
        <w:pStyle w:val="ListParagraph"/>
        <w:numPr>
          <w:ilvl w:val="0"/>
          <w:numId w:val="16"/>
        </w:numPr>
      </w:pPr>
      <w:r w:rsidRPr="009C0D00">
        <w:t>Unethical, transparent, and unrestricted articles</w:t>
      </w:r>
    </w:p>
    <w:p w14:paraId="2EB3FF32" w14:textId="01725291" w:rsidR="006707CF" w:rsidRPr="009C0D00" w:rsidRDefault="006707CF" w:rsidP="006707CF">
      <w:r w:rsidRPr="009C0D00">
        <w:t>These requirements enabled the review to be selective, relevant to UK policy and practice, and to see the alignment with the needs of the target population (Aveyard, 20</w:t>
      </w:r>
      <w:r w:rsidR="00D21E83">
        <w:t>23</w:t>
      </w:r>
      <w:r w:rsidRPr="009C0D00">
        <w:t>).</w:t>
      </w:r>
    </w:p>
    <w:p w14:paraId="43934401" w14:textId="3AED8474" w:rsidR="006707CF" w:rsidRPr="009C0D00" w:rsidRDefault="006707CF" w:rsidP="006707CF">
      <w:pPr>
        <w:rPr>
          <w:b/>
          <w:bCs/>
        </w:rPr>
      </w:pPr>
      <w:r w:rsidRPr="00D75494">
        <w:rPr>
          <w:b/>
          <w:bCs/>
        </w:rPr>
        <w:t>3.2.6 – Analysing Research</w:t>
      </w:r>
    </w:p>
    <w:p w14:paraId="468A3C44" w14:textId="7BC8A725" w:rsidR="006707CF" w:rsidRPr="009C0D00" w:rsidRDefault="006707CF" w:rsidP="006707CF">
      <w:r w:rsidRPr="009C0D00">
        <w:t xml:space="preserve">They used thematic analysis on the reviews to give </w:t>
      </w:r>
      <w:r w:rsidR="00295E27" w:rsidRPr="009C0D00">
        <w:t xml:space="preserve">an </w:t>
      </w:r>
      <w:r w:rsidRPr="009C0D00">
        <w:t xml:space="preserve">interpretation </w:t>
      </w:r>
      <w:r w:rsidR="00295E27" w:rsidRPr="009C0D00">
        <w:t>of</w:t>
      </w:r>
      <w:r w:rsidRPr="009C0D00">
        <w:t xml:space="preserve"> a qualitative and quantitative study. There were key themes such as:</w:t>
      </w:r>
    </w:p>
    <w:p w14:paraId="4036CA8E" w14:textId="77777777" w:rsidR="006707CF" w:rsidRPr="009C0D00" w:rsidRDefault="006707CF" w:rsidP="006707CF">
      <w:r w:rsidRPr="009C0D00">
        <w:t>1.</w:t>
      </w:r>
      <w:r w:rsidRPr="009C0D00">
        <w:tab/>
        <w:t>Increases in the quality of life</w:t>
      </w:r>
    </w:p>
    <w:p w14:paraId="110578DD" w14:textId="77777777" w:rsidR="006707CF" w:rsidRPr="009C0D00" w:rsidRDefault="006707CF" w:rsidP="006707CF">
      <w:r w:rsidRPr="009C0D00">
        <w:t>2.</w:t>
      </w:r>
      <w:r w:rsidRPr="009C0D00">
        <w:tab/>
        <w:t>Cognitive stimulation outcomes</w:t>
      </w:r>
    </w:p>
    <w:p w14:paraId="19FA7082" w14:textId="77777777" w:rsidR="006707CF" w:rsidRPr="009C0D00" w:rsidRDefault="006707CF" w:rsidP="006707CF">
      <w:r w:rsidRPr="009C0D00">
        <w:t>3.</w:t>
      </w:r>
      <w:r w:rsidRPr="009C0D00">
        <w:tab/>
        <w:t>Reduction of caregiver burden</w:t>
      </w:r>
    </w:p>
    <w:p w14:paraId="37BAE3E0" w14:textId="77777777" w:rsidR="006707CF" w:rsidRPr="009C0D00" w:rsidRDefault="006707CF" w:rsidP="006707CF">
      <w:r w:rsidRPr="009C0D00">
        <w:lastRenderedPageBreak/>
        <w:t>4.</w:t>
      </w:r>
      <w:r w:rsidRPr="009C0D00">
        <w:tab/>
        <w:t>Accessibility and equity in service delivery</w:t>
      </w:r>
    </w:p>
    <w:p w14:paraId="17C4C824" w14:textId="77777777" w:rsidR="006707CF" w:rsidRPr="009C0D00" w:rsidRDefault="006707CF" w:rsidP="006707CF">
      <w:r w:rsidRPr="009C0D00">
        <w:t>All articles were coded by hand with emergent themes being recorded and frequency noted in excel. The articles were organized according to the themes and cross-examined to determine similarities or differences. This enabled the development of complex results into comprehensible groups.</w:t>
      </w:r>
    </w:p>
    <w:p w14:paraId="733ED6A8" w14:textId="77777777" w:rsidR="006707CF" w:rsidRPr="009C0D00" w:rsidRDefault="006707CF" w:rsidP="006707CF">
      <w:r w:rsidRPr="009C0D00">
        <w:t>As an example, several studies exhibited that dementia cafes and befriending programmes were effective in reducing social isolation and other programmes were mixed with positive effects on memory functions.</w:t>
      </w:r>
    </w:p>
    <w:p w14:paraId="4CBDD31B" w14:textId="77777777" w:rsidR="006707CF" w:rsidRPr="009C0D00" w:rsidRDefault="006707CF" w:rsidP="006707CF">
      <w:r w:rsidRPr="009C0D00">
        <w:t>It was through the thematic analysis that key insights were gained not just of what worked but when these programmes worked best (Nowell et al., 2017). Chapter 4 will include themes and recommendations based on Chapter 4 to help in the development of services and policy.</w:t>
      </w:r>
    </w:p>
    <w:p w14:paraId="46D33A0F" w14:textId="4C8F09D7" w:rsidR="006707CF" w:rsidRPr="009C0D00" w:rsidRDefault="006707CF" w:rsidP="006707CF">
      <w:pPr>
        <w:rPr>
          <w:b/>
          <w:bCs/>
        </w:rPr>
      </w:pPr>
      <w:r w:rsidRPr="009C0D00">
        <w:rPr>
          <w:b/>
          <w:bCs/>
        </w:rPr>
        <w:t>3.2.7 Ethical Considerations</w:t>
      </w:r>
    </w:p>
    <w:p w14:paraId="30673C60" w14:textId="25462D50" w:rsidR="006707CF" w:rsidRPr="009C0D00" w:rsidRDefault="006707CF" w:rsidP="006707CF">
      <w:r w:rsidRPr="009C0D00">
        <w:t>Ethical principles were observed in the study. Since this type of research is secondary, there was no direct interaction with human subjects, thereby reducing the ethical risk. Every single source was cited respectively in line with UWTSD Harvard style, and plagiarism was eliminated by critical synthesis and paraphrasing.</w:t>
      </w:r>
    </w:p>
    <w:p w14:paraId="0383EA13" w14:textId="14E75A7C" w:rsidR="006707CF" w:rsidRPr="009C0D00" w:rsidRDefault="006707CF" w:rsidP="006707CF">
      <w:r w:rsidRPr="009C0D00">
        <w:t>Only the sources available publicly (academic and governmental) were used as the source of data, making it open. Ethical principles of research that were used include respect for authorship and data integrity, and non-maleficence (Resnik, 2020). Also, an effort was made to identify and point out the offset or possible prejudices in the first-hand sources to indicate an honest and fair presentation.</w:t>
      </w:r>
    </w:p>
    <w:p w14:paraId="090B5B86" w14:textId="77777777" w:rsidR="006707CF" w:rsidRPr="00D75494" w:rsidRDefault="006707CF" w:rsidP="006707CF">
      <w:pPr>
        <w:rPr>
          <w:b/>
          <w:bCs/>
        </w:rPr>
      </w:pPr>
      <w:r w:rsidRPr="00D75494">
        <w:rPr>
          <w:b/>
          <w:bCs/>
        </w:rPr>
        <w:t>3.2.8 – Chapter Conclusion</w:t>
      </w:r>
    </w:p>
    <w:p w14:paraId="0C793C3F" w14:textId="77777777" w:rsidR="006707CF" w:rsidRPr="009C0D00" w:rsidRDefault="006707CF" w:rsidP="006707CF">
      <w:r w:rsidRPr="009C0D00">
        <w:t>This chapter outlined the methodology taken in detail during the systematic review. The study had a strong search strategy with narrow inclusion and exclusion criteria and a comprehensive thematic analysis protocol, which created the credibility and validity of the results. Ethical concerns were also woven in it to facilitate transparency and the integrity of academics.</w:t>
      </w:r>
    </w:p>
    <w:p w14:paraId="68203D4F" w14:textId="519745F2" w:rsidR="004216CB" w:rsidRPr="00D75494" w:rsidRDefault="006707CF" w:rsidP="004216CB">
      <w:r w:rsidRPr="009C0D00">
        <w:t>The process has been indicating positive approaches and service gaps in community dementia support. Such experiences will lead to the development of evidence-based suggestions to enhance the work with persons with dementia living in the UK. Chapter 4 of the dissertation will lay down the findings.</w:t>
      </w:r>
    </w:p>
    <w:p w14:paraId="30166359" w14:textId="340DB30C" w:rsidR="004216CB" w:rsidRPr="009C0D00" w:rsidRDefault="004216CB" w:rsidP="001E6B14">
      <w:pPr>
        <w:pStyle w:val="Heading1"/>
      </w:pPr>
      <w:bookmarkStart w:id="3" w:name="_Toc204831451"/>
      <w:r w:rsidRPr="009C0D00">
        <w:lastRenderedPageBreak/>
        <w:t>CHAPTER 6 – References and Appendices</w:t>
      </w:r>
      <w:bookmarkEnd w:id="3"/>
    </w:p>
    <w:p w14:paraId="65EE1377" w14:textId="77777777" w:rsidR="004216CB" w:rsidRPr="009C0D00" w:rsidRDefault="004216CB" w:rsidP="004216CB">
      <w:pPr>
        <w:pStyle w:val="Heading2"/>
      </w:pPr>
      <w:bookmarkStart w:id="4" w:name="_Toc204831452"/>
      <w:bookmarkStart w:id="5" w:name="_Hlk204620681"/>
      <w:r w:rsidRPr="009C0D00">
        <w:t>6.1 – References</w:t>
      </w:r>
      <w:bookmarkEnd w:id="4"/>
    </w:p>
    <w:p w14:paraId="5B5636C5" w14:textId="77777777" w:rsidR="001E6B14" w:rsidRPr="004216CB" w:rsidRDefault="001E6B14" w:rsidP="001E6B14">
      <w:r w:rsidRPr="004216CB">
        <w:t xml:space="preserve">Alzheimer’s Society. 2022. </w:t>
      </w:r>
      <w:r w:rsidRPr="004216CB">
        <w:rPr>
          <w:i/>
          <w:iCs/>
        </w:rPr>
        <w:t>Dementia UK: The facts</w:t>
      </w:r>
      <w:r w:rsidRPr="004216CB">
        <w:t xml:space="preserve">. Available at: </w:t>
      </w:r>
      <w:hyperlink r:id="rId9" w:history="1">
        <w:r w:rsidRPr="00D94267">
          <w:rPr>
            <w:rStyle w:val="Hyperlink"/>
          </w:rPr>
          <w:t>https://www.alzheimers.org.uk</w:t>
        </w:r>
      </w:hyperlink>
      <w:r w:rsidRPr="00D94267">
        <w:t xml:space="preserve"> </w:t>
      </w:r>
      <w:r w:rsidRPr="004216CB">
        <w:t>(Accessed 26 July 2025).</w:t>
      </w:r>
    </w:p>
    <w:p w14:paraId="15800A72" w14:textId="77777777" w:rsidR="001E6B14" w:rsidRPr="00D75494" w:rsidRDefault="001E6B14" w:rsidP="001E6B14">
      <w:r w:rsidRPr="00D75494">
        <w:t xml:space="preserve">Alzheimer's Research UK. 2023. Dementia caregiver statistics. Available at: </w:t>
      </w:r>
      <w:hyperlink r:id="rId10" w:tgtFrame="_blank" w:history="1">
        <w:r w:rsidRPr="00D75494">
          <w:rPr>
            <w:rStyle w:val="Hyperlink"/>
          </w:rPr>
          <w:t>https://www.alzheimersresearchuk.org</w:t>
        </w:r>
      </w:hyperlink>
      <w:r w:rsidRPr="00D75494">
        <w:t xml:space="preserve"> (Accessed: 24 July 2025).</w:t>
      </w:r>
    </w:p>
    <w:p w14:paraId="6C1D79F3" w14:textId="77777777" w:rsidR="001E6B14" w:rsidRDefault="001E6B14" w:rsidP="001E6B14">
      <w:r w:rsidRPr="00D21E83">
        <w:t>Arksey, H. and Hirst, M., 2005. Unpaid carers’ access to and use of primary care services. </w:t>
      </w:r>
      <w:r w:rsidRPr="00D21E83">
        <w:rPr>
          <w:i/>
          <w:iCs/>
        </w:rPr>
        <w:t>Primary Health Care Research &amp; Development</w:t>
      </w:r>
      <w:r w:rsidRPr="00D21E83">
        <w:t>, </w:t>
      </w:r>
      <w:r w:rsidRPr="00D21E83">
        <w:rPr>
          <w:i/>
          <w:iCs/>
        </w:rPr>
        <w:t>6</w:t>
      </w:r>
      <w:r w:rsidRPr="00D21E83">
        <w:t>(2), pp.101-116.</w:t>
      </w:r>
    </w:p>
    <w:p w14:paraId="41DC4481" w14:textId="77777777" w:rsidR="001E6B14" w:rsidRDefault="001E6B14" w:rsidP="001E6B14">
      <w:r w:rsidRPr="00D21E83">
        <w:t xml:space="preserve">Aveyard, H., 2023. </w:t>
      </w:r>
      <w:proofErr w:type="spellStart"/>
      <w:r w:rsidRPr="00D21E83">
        <w:t>Ebook</w:t>
      </w:r>
      <w:proofErr w:type="spellEnd"/>
      <w:r w:rsidRPr="00D21E83">
        <w:t>: Doing a Literature Review in Health and Social Care: A Practical Guide 5e.</w:t>
      </w:r>
    </w:p>
    <w:p w14:paraId="3A3CF1FD" w14:textId="77777777" w:rsidR="001E6B14" w:rsidRDefault="001E6B14" w:rsidP="001E6B14">
      <w:r w:rsidRPr="003B7571">
        <w:t xml:space="preserve">Backhouse, A., </w:t>
      </w:r>
      <w:proofErr w:type="spellStart"/>
      <w:r w:rsidRPr="003B7571">
        <w:t>Ukoumunne</w:t>
      </w:r>
      <w:proofErr w:type="spellEnd"/>
      <w:r w:rsidRPr="003B7571">
        <w:t>, O.C., Richards, D.A., McCabe, R., Watkins, R. and Dickens, C., 2017. The effectiveness of community-based coordinating interventions in dementia care: a meta-analysis and subgroup analysis of intervention components. </w:t>
      </w:r>
      <w:r w:rsidRPr="003B7571">
        <w:rPr>
          <w:i/>
          <w:iCs/>
        </w:rPr>
        <w:t>BMC Health Services Research</w:t>
      </w:r>
      <w:r w:rsidRPr="003B7571">
        <w:t>, </w:t>
      </w:r>
      <w:r w:rsidRPr="003B7571">
        <w:rPr>
          <w:i/>
          <w:iCs/>
        </w:rPr>
        <w:t>17</w:t>
      </w:r>
      <w:r w:rsidRPr="003B7571">
        <w:t>(1), p.717.</w:t>
      </w:r>
    </w:p>
    <w:p w14:paraId="4F1C4AAE" w14:textId="77777777" w:rsidR="001E6B14" w:rsidRDefault="001E6B14" w:rsidP="001E6B14">
      <w:r w:rsidRPr="00D21E83">
        <w:t>Backhouse, T., Killett, A., Penhale, B. and Gray, R., 2016. The use of non-pharmacological interventions for dementia behaviours in care homes: findings from four in-depth, ethnographic case studies. </w:t>
      </w:r>
      <w:r w:rsidRPr="00D21E83">
        <w:rPr>
          <w:i/>
          <w:iCs/>
        </w:rPr>
        <w:t>Age and ageing</w:t>
      </w:r>
      <w:r w:rsidRPr="00D21E83">
        <w:t>, </w:t>
      </w:r>
      <w:r w:rsidRPr="00D21E83">
        <w:rPr>
          <w:i/>
          <w:iCs/>
        </w:rPr>
        <w:t>45</w:t>
      </w:r>
      <w:r w:rsidRPr="00D21E83">
        <w:t>(6), pp.856-863.</w:t>
      </w:r>
    </w:p>
    <w:p w14:paraId="0B69D1E7" w14:textId="77777777" w:rsidR="001E6B14" w:rsidRDefault="001E6B14" w:rsidP="001E6B14">
      <w:r w:rsidRPr="00D21E83">
        <w:t>Bandura, A., 1986. Social foundations of thought and action. </w:t>
      </w:r>
      <w:r w:rsidRPr="00D21E83">
        <w:rPr>
          <w:i/>
          <w:iCs/>
        </w:rPr>
        <w:t>Englewood Cliffs, NJ</w:t>
      </w:r>
      <w:r w:rsidRPr="00D21E83">
        <w:t>, </w:t>
      </w:r>
      <w:r w:rsidRPr="00D21E83">
        <w:rPr>
          <w:i/>
          <w:iCs/>
        </w:rPr>
        <w:t>1986</w:t>
      </w:r>
      <w:r w:rsidRPr="00D21E83">
        <w:t>(23-28), p.2.</w:t>
      </w:r>
    </w:p>
    <w:p w14:paraId="75A6327A" w14:textId="77777777" w:rsidR="001E6B14" w:rsidRDefault="001E6B14" w:rsidP="001E6B14">
      <w:r w:rsidRPr="00D21E83">
        <w:t>Banerjee, S. and Wittenberg, R., 2009. Clinical and cost effectiveness of services for early diagnosis and intervention in dementia. </w:t>
      </w:r>
      <w:r w:rsidRPr="00D21E83">
        <w:rPr>
          <w:i/>
          <w:iCs/>
        </w:rPr>
        <w:t>International Journal of Geriatric Psychiatry: A journal of the psychiatry of late life and allied sciences</w:t>
      </w:r>
      <w:r w:rsidRPr="00D21E83">
        <w:t>, </w:t>
      </w:r>
      <w:r w:rsidRPr="00D21E83">
        <w:rPr>
          <w:i/>
          <w:iCs/>
        </w:rPr>
        <w:t>24</w:t>
      </w:r>
      <w:r w:rsidRPr="00D21E83">
        <w:t>(7), pp.748-754.</w:t>
      </w:r>
    </w:p>
    <w:p w14:paraId="03EB6EEE" w14:textId="77777777" w:rsidR="001E6B14" w:rsidRDefault="001E6B14" w:rsidP="001E6B14">
      <w:r w:rsidRPr="00D21E83">
        <w:t>Banerjee, S., Smith, S.C., Lamping, D.L., Harwood, R.H., Foley, B., Smith, P., Murray, J., Prince, M., Levin, E., Mann, A. and Knapp, M., 200</w:t>
      </w:r>
      <w:r>
        <w:t>9</w:t>
      </w:r>
      <w:r w:rsidRPr="00D21E83">
        <w:t>. Quality of life in dementia: more than just cognition. An analysis of associations with quality of life in dementia. </w:t>
      </w:r>
      <w:r w:rsidRPr="00D21E83">
        <w:rPr>
          <w:i/>
          <w:iCs/>
        </w:rPr>
        <w:t>Journal of Neurology, Neurosurgery &amp; Psychiatry</w:t>
      </w:r>
      <w:r w:rsidRPr="00D21E83">
        <w:t>, </w:t>
      </w:r>
      <w:r w:rsidRPr="00D21E83">
        <w:rPr>
          <w:i/>
          <w:iCs/>
        </w:rPr>
        <w:t>77</w:t>
      </w:r>
      <w:r w:rsidRPr="00D21E83">
        <w:t>(2), pp.146-148.</w:t>
      </w:r>
    </w:p>
    <w:p w14:paraId="7A0B56A2" w14:textId="77777777" w:rsidR="001E6B14" w:rsidRDefault="001E6B14" w:rsidP="001E6B14">
      <w:r w:rsidRPr="00D21E83">
        <w:t>Boyle, D., Coote, A., Sherwood, C. and Slay, J., 2010. Right here, right now. </w:t>
      </w:r>
      <w:r w:rsidRPr="00D21E83">
        <w:rPr>
          <w:i/>
          <w:iCs/>
        </w:rPr>
        <w:t>Taking co-production into the mainstream</w:t>
      </w:r>
      <w:r w:rsidRPr="00D21E83">
        <w:t>, p.23.</w:t>
      </w:r>
    </w:p>
    <w:p w14:paraId="20076B35" w14:textId="77777777" w:rsidR="001E6B14" w:rsidRDefault="001E6B14" w:rsidP="001E6B14">
      <w:r w:rsidRPr="00D21E83">
        <w:lastRenderedPageBreak/>
        <w:t>Braun, V. and Clarke, V., 2006. Using thematic analysis in psychology. </w:t>
      </w:r>
      <w:r w:rsidRPr="00D21E83">
        <w:rPr>
          <w:i/>
          <w:iCs/>
        </w:rPr>
        <w:t>Qualitative research in psychology</w:t>
      </w:r>
      <w:r w:rsidRPr="00D21E83">
        <w:t>, </w:t>
      </w:r>
      <w:r w:rsidRPr="00D21E83">
        <w:rPr>
          <w:i/>
          <w:iCs/>
        </w:rPr>
        <w:t>3</w:t>
      </w:r>
      <w:r w:rsidRPr="00D21E83">
        <w:t>(2), pp.77-101.</w:t>
      </w:r>
    </w:p>
    <w:p w14:paraId="57A88886" w14:textId="77777777" w:rsidR="001E6B14" w:rsidRDefault="001E6B14" w:rsidP="001E6B14">
      <w:r w:rsidRPr="0004004B">
        <w:t>Bronfenbrenner, U., 1979. </w:t>
      </w:r>
      <w:r w:rsidRPr="0004004B">
        <w:rPr>
          <w:i/>
          <w:iCs/>
        </w:rPr>
        <w:t>The ecology of human development: Experiments by nature and design</w:t>
      </w:r>
      <w:r w:rsidRPr="0004004B">
        <w:t xml:space="preserve">. Harvard </w:t>
      </w:r>
      <w:r>
        <w:t>University Press</w:t>
      </w:r>
      <w:r w:rsidRPr="0004004B">
        <w:t>.</w:t>
      </w:r>
    </w:p>
    <w:p w14:paraId="778A6653" w14:textId="77777777" w:rsidR="001E6B14" w:rsidRDefault="001E6B14" w:rsidP="001E6B14">
      <w:r w:rsidRPr="0004004B">
        <w:t>Brown, C.P., Ku, D.H., Barry, D.P. and Puckett, K., 2022. Examining preservice teachers’ conceptions of teaching to consider the impact of policymakers’ neoliberal reforms on their sensemaking of their new profession. </w:t>
      </w:r>
      <w:r w:rsidRPr="0004004B">
        <w:rPr>
          <w:i/>
          <w:iCs/>
        </w:rPr>
        <w:t>Journal of Teacher Education</w:t>
      </w:r>
      <w:r w:rsidRPr="0004004B">
        <w:t>, </w:t>
      </w:r>
      <w:r w:rsidRPr="0004004B">
        <w:rPr>
          <w:i/>
          <w:iCs/>
        </w:rPr>
        <w:t>73</w:t>
      </w:r>
      <w:r w:rsidRPr="0004004B">
        <w:t>(5), pp.463-478.</w:t>
      </w:r>
    </w:p>
    <w:p w14:paraId="138482B4" w14:textId="77777777" w:rsidR="001E6B14" w:rsidRDefault="001E6B14" w:rsidP="001E6B14">
      <w:r w:rsidRPr="00BD6E8E">
        <w:t xml:space="preserve">Bucci, S., </w:t>
      </w:r>
      <w:proofErr w:type="spellStart"/>
      <w:r w:rsidRPr="00BD6E8E">
        <w:t>Schwannauer</w:t>
      </w:r>
      <w:proofErr w:type="spellEnd"/>
      <w:r w:rsidRPr="00BD6E8E">
        <w:t>, M. and Berry, N., 2019. The digital revolution and its impact on mental health care. </w:t>
      </w:r>
      <w:r w:rsidRPr="00BD6E8E">
        <w:rPr>
          <w:i/>
          <w:iCs/>
        </w:rPr>
        <w:t>Psychology and Psychotherapy: Theory, Research and Practice</w:t>
      </w:r>
      <w:r w:rsidRPr="00BD6E8E">
        <w:t>, </w:t>
      </w:r>
      <w:r w:rsidRPr="00BD6E8E">
        <w:rPr>
          <w:i/>
          <w:iCs/>
        </w:rPr>
        <w:t>92</w:t>
      </w:r>
      <w:r w:rsidRPr="00BD6E8E">
        <w:t>(2), pp.277-297.</w:t>
      </w:r>
    </w:p>
    <w:p w14:paraId="5D96F34E" w14:textId="77777777" w:rsidR="001E6B14" w:rsidRDefault="001E6B14" w:rsidP="001E6B14">
      <w:r w:rsidRPr="0004004B">
        <w:t xml:space="preserve">Campbell, C., Wood, R. and Kelly, M., </w:t>
      </w:r>
      <w:r>
        <w:t>2000</w:t>
      </w:r>
      <w:r w:rsidRPr="0004004B">
        <w:t>. </w:t>
      </w:r>
      <w:r w:rsidRPr="0004004B">
        <w:rPr>
          <w:i/>
          <w:iCs/>
        </w:rPr>
        <w:t>Social capital and health</w:t>
      </w:r>
      <w:r w:rsidRPr="0004004B">
        <w:t>. Health Education Authority (Great Britain).</w:t>
      </w:r>
    </w:p>
    <w:p w14:paraId="0300CEDB" w14:textId="77777777" w:rsidR="001E6B14" w:rsidRDefault="001E6B14" w:rsidP="001E6B14">
      <w:r w:rsidRPr="0004004B">
        <w:t>Carers, U.K., 202</w:t>
      </w:r>
      <w:r>
        <w:t>1</w:t>
      </w:r>
      <w:r w:rsidRPr="0004004B">
        <w:t>. Unseen and undervalued: The value of unpaid care provided to date during the COVID-19 pandemic. </w:t>
      </w:r>
      <w:r w:rsidRPr="0004004B">
        <w:rPr>
          <w:i/>
          <w:iCs/>
        </w:rPr>
        <w:t>London: Carers UK</w:t>
      </w:r>
      <w:r w:rsidRPr="0004004B">
        <w:t>.</w:t>
      </w:r>
    </w:p>
    <w:p w14:paraId="510C6107" w14:textId="77777777" w:rsidR="001E6B14" w:rsidRDefault="001E6B14" w:rsidP="001E6B14">
      <w:r w:rsidRPr="00093E4A">
        <w:t>Crenshaw, K., 1989. University of Chicago Legal Forum.</w:t>
      </w:r>
    </w:p>
    <w:p w14:paraId="62F32F99" w14:textId="77777777" w:rsidR="001E6B14" w:rsidRDefault="001E6B14" w:rsidP="001E6B14">
      <w:r w:rsidRPr="00FF06E4">
        <w:t>Creswell, J.W. and Creswell, J.D., 201</w:t>
      </w:r>
      <w:r>
        <w:t>8</w:t>
      </w:r>
      <w:r w:rsidRPr="00FF06E4">
        <w:t>. </w:t>
      </w:r>
      <w:r w:rsidRPr="00FF06E4">
        <w:rPr>
          <w:i/>
          <w:iCs/>
        </w:rPr>
        <w:t xml:space="preserve">Research design: Qualitative, quantitative, and mixed methods </w:t>
      </w:r>
      <w:proofErr w:type="gramStart"/>
      <w:r w:rsidRPr="00FF06E4">
        <w:rPr>
          <w:i/>
          <w:iCs/>
        </w:rPr>
        <w:t>approaches</w:t>
      </w:r>
      <w:proofErr w:type="gramEnd"/>
      <w:r w:rsidRPr="00FF06E4">
        <w:t>. Sage publications.</w:t>
      </w:r>
    </w:p>
    <w:p w14:paraId="2675DA33" w14:textId="77777777" w:rsidR="001E6B14" w:rsidRPr="00D75494" w:rsidRDefault="001E6B14" w:rsidP="001E6B14">
      <w:r w:rsidRPr="00D75494">
        <w:t xml:space="preserve">Critical Appraisal Skills Programme (CASP). 2018. CASP Checklists. Available at: </w:t>
      </w:r>
      <w:hyperlink r:id="rId11" w:tgtFrame="_blank" w:history="1">
        <w:r w:rsidRPr="00D75494">
          <w:rPr>
            <w:rStyle w:val="Hyperlink"/>
          </w:rPr>
          <w:t>https://casp-uk.net/casp-tools-checklists/</w:t>
        </w:r>
      </w:hyperlink>
      <w:r w:rsidRPr="00D75494">
        <w:t xml:space="preserve"> [Accessed 20 July 2025].</w:t>
      </w:r>
    </w:p>
    <w:p w14:paraId="1240934C" w14:textId="77777777" w:rsidR="001E6B14" w:rsidRDefault="001E6B14" w:rsidP="001E6B14">
      <w:r w:rsidRPr="0004004B">
        <w:t>De Haas, H., Castles, S. and Miller, M.J., 2019. </w:t>
      </w:r>
      <w:r w:rsidRPr="0004004B">
        <w:rPr>
          <w:i/>
          <w:iCs/>
        </w:rPr>
        <w:t>The age of migration: International population movements in the modern world</w:t>
      </w:r>
      <w:r w:rsidRPr="0004004B">
        <w:t>. Bloomsbury Publishing.</w:t>
      </w:r>
    </w:p>
    <w:p w14:paraId="525F89FF" w14:textId="77777777" w:rsidR="001E6B14" w:rsidRDefault="001E6B14" w:rsidP="001E6B14">
      <w:r w:rsidRPr="000F3166">
        <w:t>Doyle, N., McDowall, A. and Waseem, U., 20</w:t>
      </w:r>
      <w:r>
        <w:t>16</w:t>
      </w:r>
      <w:r w:rsidRPr="000F3166">
        <w:t xml:space="preserve">. Intersectional stigma for autistic people at work: A compound adverse impact effect on </w:t>
      </w:r>
      <w:proofErr w:type="spellStart"/>
      <w:r w:rsidRPr="000F3166">
        <w:t>labor</w:t>
      </w:r>
      <w:proofErr w:type="spellEnd"/>
      <w:r w:rsidRPr="000F3166">
        <w:t xml:space="preserve"> force participation and experiences of belonging. </w:t>
      </w:r>
      <w:r w:rsidRPr="000F3166">
        <w:rPr>
          <w:i/>
          <w:iCs/>
        </w:rPr>
        <w:t>Autism in Adulthood</w:t>
      </w:r>
      <w:r w:rsidRPr="000F3166">
        <w:t>, </w:t>
      </w:r>
      <w:r w:rsidRPr="000F3166">
        <w:rPr>
          <w:i/>
          <w:iCs/>
        </w:rPr>
        <w:t>4</w:t>
      </w:r>
      <w:r w:rsidRPr="000F3166">
        <w:t>(4), pp.340-356.</w:t>
      </w:r>
    </w:p>
    <w:p w14:paraId="363DEF1A" w14:textId="77777777" w:rsidR="001E6B14" w:rsidRDefault="001E6B14" w:rsidP="001E6B14">
      <w:r w:rsidRPr="000F3166">
        <w:t>Esping-Andersen, G., 1999. </w:t>
      </w:r>
      <w:r w:rsidRPr="000F3166">
        <w:rPr>
          <w:i/>
          <w:iCs/>
        </w:rPr>
        <w:t xml:space="preserve">Social foundations of </w:t>
      </w:r>
      <w:proofErr w:type="spellStart"/>
      <w:r w:rsidRPr="000F3166">
        <w:rPr>
          <w:i/>
          <w:iCs/>
        </w:rPr>
        <w:t>postindustrial</w:t>
      </w:r>
      <w:proofErr w:type="spellEnd"/>
      <w:r w:rsidRPr="000F3166">
        <w:rPr>
          <w:i/>
          <w:iCs/>
        </w:rPr>
        <w:t xml:space="preserve"> economies</w:t>
      </w:r>
      <w:r w:rsidRPr="000F3166">
        <w:t>. Oxford university press.</w:t>
      </w:r>
    </w:p>
    <w:p w14:paraId="010A8EC4" w14:textId="77777777" w:rsidR="001E6B14" w:rsidRDefault="001E6B14" w:rsidP="001E6B14">
      <w:r w:rsidRPr="000F3166">
        <w:t xml:space="preserve">Evans, S., Evans, S., Brooker, D., Henderson, C., </w:t>
      </w:r>
      <w:proofErr w:type="spellStart"/>
      <w:r w:rsidRPr="000F3166">
        <w:t>Szcześniak</w:t>
      </w:r>
      <w:proofErr w:type="spellEnd"/>
      <w:r w:rsidRPr="000F3166">
        <w:t xml:space="preserve">, D., Atkinson, T., Bray, J., Amritpal, R., </w:t>
      </w:r>
      <w:proofErr w:type="spellStart"/>
      <w:r w:rsidRPr="000F3166">
        <w:t>Saibene</w:t>
      </w:r>
      <w:proofErr w:type="spellEnd"/>
      <w:r w:rsidRPr="000F3166">
        <w:t xml:space="preserve">, F.L., </w:t>
      </w:r>
      <w:proofErr w:type="spellStart"/>
      <w:r w:rsidRPr="000F3166">
        <w:t>d’Arma</w:t>
      </w:r>
      <w:proofErr w:type="spellEnd"/>
      <w:r w:rsidRPr="000F3166">
        <w:t xml:space="preserve">, A. and </w:t>
      </w:r>
      <w:proofErr w:type="spellStart"/>
      <w:r w:rsidRPr="000F3166">
        <w:t>Scorolli</w:t>
      </w:r>
      <w:proofErr w:type="spellEnd"/>
      <w:r w:rsidRPr="000F3166">
        <w:t>, C., 2020. The impact of the implementation of the Dutch combined Meeting Centres Support Programme for family caregivers of people with dementia in Italy, Poland and UK. </w:t>
      </w:r>
      <w:r w:rsidRPr="000F3166">
        <w:rPr>
          <w:i/>
          <w:iCs/>
        </w:rPr>
        <w:t>Aging &amp; Mental Health</w:t>
      </w:r>
      <w:r w:rsidRPr="000F3166">
        <w:t>, </w:t>
      </w:r>
      <w:r w:rsidRPr="000F3166">
        <w:rPr>
          <w:i/>
          <w:iCs/>
        </w:rPr>
        <w:t>24</w:t>
      </w:r>
      <w:r w:rsidRPr="000F3166">
        <w:t>(2), pp.280-290.</w:t>
      </w:r>
    </w:p>
    <w:p w14:paraId="0D13B246" w14:textId="77777777" w:rsidR="001E6B14" w:rsidRDefault="001E6B14" w:rsidP="001E6B14">
      <w:r w:rsidRPr="000F3166">
        <w:lastRenderedPageBreak/>
        <w:t>Foucault, M., 1977. Discipline and punish Penguin.</w:t>
      </w:r>
    </w:p>
    <w:p w14:paraId="47AADC55" w14:textId="77777777" w:rsidR="001E6B14" w:rsidRDefault="001E6B14" w:rsidP="001E6B14">
      <w:r w:rsidRPr="00916D3F">
        <w:t xml:space="preserve">Giebel, C., Lord, K., Cooper, C., Shenton, J., Cannon, J., Pulford, D., Shaw, L., Gaughan, A., Tetlow, H., </w:t>
      </w:r>
      <w:proofErr w:type="spellStart"/>
      <w:r w:rsidRPr="00916D3F">
        <w:t>Butchard</w:t>
      </w:r>
      <w:proofErr w:type="spellEnd"/>
      <w:r w:rsidRPr="00916D3F">
        <w:t>, S. and Limbert, S., 2021. A UK survey of COVID</w:t>
      </w:r>
      <w:r w:rsidRPr="00916D3F">
        <w:rPr>
          <w:rFonts w:ascii="Cambria Math" w:hAnsi="Cambria Math" w:cs="Cambria Math"/>
        </w:rPr>
        <w:t>‐</w:t>
      </w:r>
      <w:r w:rsidRPr="00916D3F">
        <w:t>19 related social support closures and their effects on older people, people with dementia, and carers.</w:t>
      </w:r>
      <w:r w:rsidRPr="00916D3F">
        <w:rPr>
          <w:rFonts w:cs="Arial"/>
        </w:rPr>
        <w:t> </w:t>
      </w:r>
      <w:r w:rsidRPr="00916D3F">
        <w:rPr>
          <w:i/>
          <w:iCs/>
        </w:rPr>
        <w:t>International journal of geriatric psychiatry</w:t>
      </w:r>
      <w:r w:rsidRPr="00916D3F">
        <w:t>, </w:t>
      </w:r>
      <w:r w:rsidRPr="00916D3F">
        <w:rPr>
          <w:i/>
          <w:iCs/>
        </w:rPr>
        <w:t>36</w:t>
      </w:r>
      <w:r w:rsidRPr="00916D3F">
        <w:t>(3), pp.393-402.</w:t>
      </w:r>
    </w:p>
    <w:p w14:paraId="00D37100" w14:textId="77777777" w:rsidR="001E6B14" w:rsidRPr="00732DA0" w:rsidRDefault="001E6B14" w:rsidP="001E6B14">
      <w:r w:rsidRPr="00732DA0">
        <w:t>Gough, D., Thomas, J. and Oliver, S., 2017. An introduction to systematic reviews.</w:t>
      </w:r>
    </w:p>
    <w:p w14:paraId="4AA2CD23" w14:textId="77777777" w:rsidR="001E6B14" w:rsidRDefault="001E6B14" w:rsidP="001E6B14">
      <w:r w:rsidRPr="00093E4A">
        <w:t>Iliffe, S., Wilcock, J., Drennan, V., Goodman, C., Griffin, M., Knapp, M., Lowery, D., Manthorpe, J., Rait, G. and Warner, J., 2015. Changing practice in dementia care in the community: developing and testing evidence-based interventions, from timely diagnosis to end of life (EVIDEM). </w:t>
      </w:r>
      <w:r w:rsidRPr="00093E4A">
        <w:rPr>
          <w:i/>
          <w:iCs/>
        </w:rPr>
        <w:t>Programme Grants for Applied Research</w:t>
      </w:r>
      <w:r w:rsidRPr="00093E4A">
        <w:t>, </w:t>
      </w:r>
      <w:r w:rsidRPr="00093E4A">
        <w:rPr>
          <w:i/>
          <w:iCs/>
        </w:rPr>
        <w:t>3</w:t>
      </w:r>
      <w:r w:rsidRPr="00093E4A">
        <w:t>(3).</w:t>
      </w:r>
    </w:p>
    <w:p w14:paraId="62A4A423" w14:textId="77777777" w:rsidR="001E6B14" w:rsidRDefault="001E6B14" w:rsidP="001E6B14">
      <w:r w:rsidRPr="003B7571">
        <w:t xml:space="preserve">Innes, A., Morgan, D. and </w:t>
      </w:r>
      <w:proofErr w:type="spellStart"/>
      <w:r w:rsidRPr="003B7571">
        <w:t>Kostineuk</w:t>
      </w:r>
      <w:proofErr w:type="spellEnd"/>
      <w:r w:rsidRPr="003B7571">
        <w:t>, J., 201</w:t>
      </w:r>
      <w:r>
        <w:t>4</w:t>
      </w:r>
      <w:r w:rsidRPr="003B7571">
        <w:t>. Dementia care in rural and remote settings: a systematic review of informal/family caregiving. </w:t>
      </w:r>
      <w:proofErr w:type="spellStart"/>
      <w:r w:rsidRPr="003B7571">
        <w:rPr>
          <w:i/>
          <w:iCs/>
        </w:rPr>
        <w:t>Maturitas</w:t>
      </w:r>
      <w:proofErr w:type="spellEnd"/>
      <w:r w:rsidRPr="003B7571">
        <w:t>, </w:t>
      </w:r>
      <w:r w:rsidRPr="003B7571">
        <w:rPr>
          <w:i/>
          <w:iCs/>
        </w:rPr>
        <w:t>68</w:t>
      </w:r>
      <w:r w:rsidRPr="003B7571">
        <w:t>(1), pp.34-46.</w:t>
      </w:r>
    </w:p>
    <w:p w14:paraId="6139B1A6" w14:textId="77777777" w:rsidR="001E6B14" w:rsidRDefault="001E6B14" w:rsidP="001E6B14">
      <w:r w:rsidRPr="003B7571">
        <w:t>Jesson, J., Lacey, F.M. and Matheson, L., 2011. Doing your literature review: Traditional and systematic techniques.</w:t>
      </w:r>
    </w:p>
    <w:p w14:paraId="7D610C76" w14:textId="77777777" w:rsidR="001E6B14" w:rsidRDefault="001E6B14" w:rsidP="001E6B14">
      <w:r w:rsidRPr="00DD33B5">
        <w:t>Keady, J., Campbell, S., Barnes, H., Ward, R., Li, X., Swarbrick, C., Burrow, S. and Elvish, R., 2012. Neighbourhoods and dementia in the health and social care context: a realist review of the literature and implications for UK policy development. </w:t>
      </w:r>
      <w:r w:rsidRPr="00DD33B5">
        <w:rPr>
          <w:i/>
          <w:iCs/>
        </w:rPr>
        <w:t>Reviews in Clinical Gerontology</w:t>
      </w:r>
      <w:r w:rsidRPr="00DD33B5">
        <w:t>, </w:t>
      </w:r>
      <w:r w:rsidRPr="00DD33B5">
        <w:rPr>
          <w:i/>
          <w:iCs/>
        </w:rPr>
        <w:t>22</w:t>
      </w:r>
      <w:r w:rsidRPr="00DD33B5">
        <w:t>(2), pp.150-163.</w:t>
      </w:r>
    </w:p>
    <w:p w14:paraId="0F27FEEF" w14:textId="77777777" w:rsidR="001E6B14" w:rsidRDefault="001E6B14" w:rsidP="001E6B14">
      <w:r w:rsidRPr="00DD33B5">
        <w:t>Knapp, M., King, D., Romeo, R., Schehl, B., Barber, J., Griffin, M., Rapaport, P., Livingston, D., Mummery, C., Walker, Z. and Hoe, J., 2013. Cost effectiveness of a manual based coping strategy programme in promoting the mental health of family carers of people with dementia (the START (</w:t>
      </w:r>
      <w:proofErr w:type="spellStart"/>
      <w:r w:rsidRPr="00DD33B5">
        <w:t>STrAtegies</w:t>
      </w:r>
      <w:proofErr w:type="spellEnd"/>
      <w:r w:rsidRPr="00DD33B5">
        <w:t xml:space="preserve"> for </w:t>
      </w:r>
      <w:proofErr w:type="spellStart"/>
      <w:r w:rsidRPr="00DD33B5">
        <w:t>RelaTives</w:t>
      </w:r>
      <w:proofErr w:type="spellEnd"/>
      <w:r w:rsidRPr="00DD33B5">
        <w:t>) study): a pragmatic randomised controlled trial. </w:t>
      </w:r>
      <w:proofErr w:type="spellStart"/>
      <w:r w:rsidRPr="00DD33B5">
        <w:rPr>
          <w:i/>
          <w:iCs/>
        </w:rPr>
        <w:t>Bmj</w:t>
      </w:r>
      <w:proofErr w:type="spellEnd"/>
      <w:r w:rsidRPr="00DD33B5">
        <w:t>, </w:t>
      </w:r>
      <w:r w:rsidRPr="00DD33B5">
        <w:rPr>
          <w:i/>
          <w:iCs/>
        </w:rPr>
        <w:t>347</w:t>
      </w:r>
      <w:r w:rsidRPr="00DD33B5">
        <w:t>.</w:t>
      </w:r>
    </w:p>
    <w:p w14:paraId="0C6BD83D" w14:textId="77777777" w:rsidR="001E6B14" w:rsidRDefault="001E6B14" w:rsidP="001E6B14">
      <w:r w:rsidRPr="00DD33B5">
        <w:t>Lindauer, A. and Harvath, T.A., 2015. The meanings caregivers ascribe to dementia-related changes in care recipients: A meta-ethnography. </w:t>
      </w:r>
      <w:r w:rsidRPr="00DD33B5">
        <w:rPr>
          <w:i/>
          <w:iCs/>
        </w:rPr>
        <w:t>Research in Gerontological Nursing</w:t>
      </w:r>
      <w:r w:rsidRPr="00DD33B5">
        <w:t>, </w:t>
      </w:r>
      <w:r w:rsidRPr="00DD33B5">
        <w:rPr>
          <w:i/>
          <w:iCs/>
        </w:rPr>
        <w:t>8</w:t>
      </w:r>
      <w:r w:rsidRPr="00DD33B5">
        <w:t>(1), pp.39-48.</w:t>
      </w:r>
    </w:p>
    <w:p w14:paraId="20536598" w14:textId="77777777" w:rsidR="001E6B14" w:rsidRDefault="001E6B14" w:rsidP="001E6B14">
      <w:proofErr w:type="spellStart"/>
      <w:r w:rsidRPr="00D75494">
        <w:t>Lobbia</w:t>
      </w:r>
      <w:proofErr w:type="spellEnd"/>
      <w:r w:rsidRPr="00D75494">
        <w:t xml:space="preserve">, A., Carbone, E., </w:t>
      </w:r>
      <w:proofErr w:type="spellStart"/>
      <w:r w:rsidRPr="00D75494">
        <w:t>Faggian</w:t>
      </w:r>
      <w:proofErr w:type="spellEnd"/>
      <w:r w:rsidRPr="00D75494">
        <w:t xml:space="preserve">, S., Gardini, S., </w:t>
      </w:r>
      <w:proofErr w:type="spellStart"/>
      <w:r w:rsidRPr="00D75494">
        <w:t>Piras</w:t>
      </w:r>
      <w:proofErr w:type="spellEnd"/>
      <w:r w:rsidRPr="00D75494">
        <w:t>, F. and Borella, E.</w:t>
      </w:r>
      <w:r>
        <w:t xml:space="preserve">, </w:t>
      </w:r>
      <w:r w:rsidRPr="00D75494">
        <w:t>2019. The efficacy of cognitive stimulation therapy (CST) for people with mild-to-moderate dementia: A meta-analysis. Neuropsychology Review, 29(3), pp.278–294.</w:t>
      </w:r>
    </w:p>
    <w:p w14:paraId="3A6D2BFF" w14:textId="77777777" w:rsidR="001E6B14" w:rsidRDefault="001E6B14" w:rsidP="001E6B14">
      <w:proofErr w:type="spellStart"/>
      <w:r w:rsidRPr="006B3E6C">
        <w:lastRenderedPageBreak/>
        <w:t>Lwi</w:t>
      </w:r>
      <w:proofErr w:type="spellEnd"/>
      <w:r w:rsidRPr="006B3E6C">
        <w:t>, S.J., Ford, B.Q. and Levenson, R.W., 2023. Cultural differences in caring for people with dementia: a pilot study of concern about losing face and loneliness in Chinese American and European American caregivers. </w:t>
      </w:r>
      <w:r w:rsidRPr="006B3E6C">
        <w:rPr>
          <w:i/>
          <w:iCs/>
        </w:rPr>
        <w:t>Clinical gerontologist</w:t>
      </w:r>
      <w:r w:rsidRPr="006B3E6C">
        <w:t>, </w:t>
      </w:r>
      <w:r w:rsidRPr="006B3E6C">
        <w:rPr>
          <w:i/>
          <w:iCs/>
        </w:rPr>
        <w:t>46</w:t>
      </w:r>
      <w:r w:rsidRPr="006B3E6C">
        <w:t>(2), pp.207-222.</w:t>
      </w:r>
    </w:p>
    <w:p w14:paraId="093D9CD3" w14:textId="77777777" w:rsidR="001E6B14" w:rsidRDefault="001E6B14" w:rsidP="001E6B14">
      <w:r w:rsidRPr="00916D3F">
        <w:t xml:space="preserve">Marmot, M., 2020. Health equity in England: </w:t>
      </w:r>
      <w:proofErr w:type="gramStart"/>
      <w:r w:rsidRPr="00916D3F">
        <w:t>the</w:t>
      </w:r>
      <w:proofErr w:type="gramEnd"/>
      <w:r w:rsidRPr="00916D3F">
        <w:t xml:space="preserve"> Marmot review 10 years on. </w:t>
      </w:r>
      <w:proofErr w:type="spellStart"/>
      <w:r w:rsidRPr="00916D3F">
        <w:rPr>
          <w:i/>
          <w:iCs/>
        </w:rPr>
        <w:t>Bmj</w:t>
      </w:r>
      <w:proofErr w:type="spellEnd"/>
      <w:r w:rsidRPr="00916D3F">
        <w:t>, </w:t>
      </w:r>
      <w:r w:rsidRPr="00916D3F">
        <w:rPr>
          <w:i/>
          <w:iCs/>
        </w:rPr>
        <w:t>368</w:t>
      </w:r>
      <w:r w:rsidRPr="00916D3F">
        <w:t>.</w:t>
      </w:r>
    </w:p>
    <w:p w14:paraId="1BB5ED32" w14:textId="77777777" w:rsidR="001E6B14" w:rsidRDefault="001E6B14" w:rsidP="001E6B14">
      <w:r w:rsidRPr="00916D3F">
        <w:t>Maslow, A.H., 1943. A theory of human motivation. </w:t>
      </w:r>
      <w:r w:rsidRPr="00916D3F">
        <w:rPr>
          <w:i/>
          <w:iCs/>
        </w:rPr>
        <w:t>Psychological review</w:t>
      </w:r>
      <w:r w:rsidRPr="00916D3F">
        <w:t>, </w:t>
      </w:r>
      <w:r w:rsidRPr="00916D3F">
        <w:rPr>
          <w:i/>
          <w:iCs/>
        </w:rPr>
        <w:t>50</w:t>
      </w:r>
      <w:r w:rsidRPr="00916D3F">
        <w:t>(4), p.370.</w:t>
      </w:r>
    </w:p>
    <w:p w14:paraId="2D5966E4" w14:textId="77777777" w:rsidR="001E6B14" w:rsidRDefault="001E6B14" w:rsidP="001E6B14">
      <w:r w:rsidRPr="00916D3F">
        <w:t xml:space="preserve">McDermott, O., Charlesworth, G., </w:t>
      </w:r>
      <w:proofErr w:type="spellStart"/>
      <w:r w:rsidRPr="00916D3F">
        <w:t>Hogervorst</w:t>
      </w:r>
      <w:proofErr w:type="spellEnd"/>
      <w:r w:rsidRPr="00916D3F">
        <w:t>, E., Stoner, C., Moniz-Cook, E., Spector, A., Csipke, E. and Orrell, M., 2019. Psychosocial interventions for people with dementia: a synthesis of systematic reviews. </w:t>
      </w:r>
      <w:r w:rsidRPr="00916D3F">
        <w:rPr>
          <w:i/>
          <w:iCs/>
        </w:rPr>
        <w:t>Aging &amp; mental health</w:t>
      </w:r>
      <w:r w:rsidRPr="00916D3F">
        <w:t>, </w:t>
      </w:r>
      <w:r w:rsidRPr="00916D3F">
        <w:rPr>
          <w:i/>
          <w:iCs/>
        </w:rPr>
        <w:t>23</w:t>
      </w:r>
      <w:r w:rsidRPr="00916D3F">
        <w:t>(4), pp.393-403.</w:t>
      </w:r>
    </w:p>
    <w:p w14:paraId="59CCF67E" w14:textId="77777777" w:rsidR="001E6B14" w:rsidRDefault="001E6B14" w:rsidP="001E6B14">
      <w:r w:rsidRPr="0004004B">
        <w:t>McTavish, J.R., McKee, C., Tanaka, M. and MacMillan, H.L., 2022. Child welfare reform: A scoping review. </w:t>
      </w:r>
      <w:r w:rsidRPr="0004004B">
        <w:rPr>
          <w:i/>
          <w:iCs/>
        </w:rPr>
        <w:t>International journal of environmental research and public health</w:t>
      </w:r>
      <w:r w:rsidRPr="0004004B">
        <w:t>, </w:t>
      </w:r>
      <w:r w:rsidRPr="0004004B">
        <w:rPr>
          <w:i/>
          <w:iCs/>
        </w:rPr>
        <w:t>19</w:t>
      </w:r>
      <w:r w:rsidRPr="0004004B">
        <w:t>(21), p.14071.</w:t>
      </w:r>
    </w:p>
    <w:p w14:paraId="27192C6C" w14:textId="77777777" w:rsidR="001E6B14" w:rsidRDefault="001E6B14" w:rsidP="001E6B14">
      <w:proofErr w:type="spellStart"/>
      <w:r w:rsidRPr="00292C02">
        <w:t>Mioshi</w:t>
      </w:r>
      <w:proofErr w:type="spellEnd"/>
      <w:r w:rsidRPr="00292C02">
        <w:t>, E., Foxe, D., Leslie, F., Savage, S., Hsieh, S., Miller, L., Hodges, J.R. and Piguet, O., 2013. The impact of dementia severity on caregiver burden in frontotemporal dementia and Alzheimer disease. </w:t>
      </w:r>
      <w:r w:rsidRPr="00292C02">
        <w:rPr>
          <w:i/>
          <w:iCs/>
        </w:rPr>
        <w:t>Alzheimer Disease &amp; Associated Disorders</w:t>
      </w:r>
      <w:r w:rsidRPr="00292C02">
        <w:t>, </w:t>
      </w:r>
      <w:r w:rsidRPr="00292C02">
        <w:rPr>
          <w:i/>
          <w:iCs/>
        </w:rPr>
        <w:t>27</w:t>
      </w:r>
      <w:r w:rsidRPr="00292C02">
        <w:t>(1), pp.68-73.</w:t>
      </w:r>
    </w:p>
    <w:p w14:paraId="0BC9ED40" w14:textId="77777777" w:rsidR="001E6B14" w:rsidRDefault="001E6B14" w:rsidP="001E6B14">
      <w:r w:rsidRPr="00292C02">
        <w:t>Moriarty, J., Manthorpe, J. and Harris, J., 2019. Working on the edge: changes in the content and delivery of social care. </w:t>
      </w:r>
      <w:r w:rsidRPr="00292C02">
        <w:rPr>
          <w:i/>
          <w:iCs/>
        </w:rPr>
        <w:t>Working with Older People</w:t>
      </w:r>
      <w:r w:rsidRPr="00292C02">
        <w:t>, </w:t>
      </w:r>
      <w:r w:rsidRPr="00292C02">
        <w:rPr>
          <w:i/>
          <w:iCs/>
        </w:rPr>
        <w:t>23</w:t>
      </w:r>
      <w:r w:rsidRPr="00292C02">
        <w:t>(4), pp.208-216.</w:t>
      </w:r>
    </w:p>
    <w:p w14:paraId="5C9F64B3" w14:textId="77777777" w:rsidR="001E6B14" w:rsidRDefault="001E6B14" w:rsidP="001E6B14">
      <w:r w:rsidRPr="00292C02">
        <w:t>Moriarty, J., Sharif, N. and Robinson, J., 2011. SCIE Research Briefing 35: Black and minority ethnic people with dementia and their access to support and services.</w:t>
      </w:r>
    </w:p>
    <w:p w14:paraId="69E7068F" w14:textId="77777777" w:rsidR="001E6B14" w:rsidRPr="004216CB" w:rsidRDefault="001E6B14" w:rsidP="001E6B14">
      <w:r w:rsidRPr="004216CB">
        <w:t xml:space="preserve">NHS England. 2019. </w:t>
      </w:r>
      <w:r w:rsidRPr="004216CB">
        <w:rPr>
          <w:i/>
          <w:iCs/>
        </w:rPr>
        <w:t>The NHS Long Term Plan</w:t>
      </w:r>
      <w:r w:rsidRPr="004216CB">
        <w:t xml:space="preserve">. Available at: </w:t>
      </w:r>
      <w:hyperlink r:id="rId12" w:history="1">
        <w:r w:rsidRPr="00292C02">
          <w:rPr>
            <w:rStyle w:val="Hyperlink"/>
          </w:rPr>
          <w:t>https://www.longtermplan.nhs.uk/</w:t>
        </w:r>
      </w:hyperlink>
      <w:r w:rsidRPr="004216CB">
        <w:t xml:space="preserve"> [Accessed 26 July 2025].</w:t>
      </w:r>
    </w:p>
    <w:p w14:paraId="5EF38C7D" w14:textId="77777777" w:rsidR="001E6B14" w:rsidRPr="00D75494" w:rsidRDefault="001E6B14" w:rsidP="001E6B14">
      <w:r w:rsidRPr="009C0D00">
        <w:t>NHS England</w:t>
      </w:r>
      <w:r>
        <w:t xml:space="preserve">. </w:t>
      </w:r>
      <w:r w:rsidRPr="009C0D00">
        <w:t xml:space="preserve">2020. </w:t>
      </w:r>
      <w:r w:rsidRPr="009C0D00">
        <w:rPr>
          <w:i/>
          <w:iCs/>
        </w:rPr>
        <w:t>What are Integrated Care Systems?</w:t>
      </w:r>
      <w:r w:rsidRPr="009C0D00">
        <w:t xml:space="preserve"> Available at: </w:t>
      </w:r>
      <w:hyperlink r:id="rId13" w:tgtFrame="_blank" w:history="1">
        <w:r w:rsidRPr="009C0D00">
          <w:rPr>
            <w:rStyle w:val="Hyperlink"/>
          </w:rPr>
          <w:t>https://www.england.nhs.uk/integratedcare/</w:t>
        </w:r>
      </w:hyperlink>
      <w:r>
        <w:t xml:space="preserve"> </w:t>
      </w:r>
      <w:r w:rsidRPr="004216CB">
        <w:t>[Accessed 26 July 2025].</w:t>
      </w:r>
    </w:p>
    <w:p w14:paraId="406190DF" w14:textId="77777777" w:rsidR="001E6B14" w:rsidRPr="00D75494" w:rsidRDefault="001E6B14" w:rsidP="001E6B14">
      <w:r w:rsidRPr="00D75494">
        <w:t xml:space="preserve">NHS England. 2023. Integrated care systems and dementia: a guide for implementation. Available at: </w:t>
      </w:r>
      <w:hyperlink r:id="rId14" w:tgtFrame="_blank" w:history="1">
        <w:r w:rsidRPr="00D75494">
          <w:rPr>
            <w:rStyle w:val="Hyperlink"/>
          </w:rPr>
          <w:t>https://www.england.nhs.uk</w:t>
        </w:r>
      </w:hyperlink>
      <w:r w:rsidRPr="00D75494">
        <w:t xml:space="preserve"> [Accessed: 25 July 2025].</w:t>
      </w:r>
    </w:p>
    <w:p w14:paraId="79FF7F58" w14:textId="77777777" w:rsidR="001E6B14" w:rsidRPr="00D75494" w:rsidRDefault="001E6B14" w:rsidP="001E6B14">
      <w:r w:rsidRPr="00D75494">
        <w:t>NICE</w:t>
      </w:r>
      <w:r>
        <w:t xml:space="preserve">. </w:t>
      </w:r>
      <w:r w:rsidRPr="00D75494">
        <w:t xml:space="preserve">2018. Dementia: Assessment, management and support for people living with dementia and their </w:t>
      </w:r>
      <w:proofErr w:type="spellStart"/>
      <w:r w:rsidRPr="00D75494">
        <w:t>carers</w:t>
      </w:r>
      <w:proofErr w:type="spellEnd"/>
      <w:r w:rsidRPr="00D75494">
        <w:t xml:space="preserve">. NICE guideline [NG97]. Available at: </w:t>
      </w:r>
      <w:hyperlink r:id="rId15" w:tgtFrame="_blank" w:history="1">
        <w:r w:rsidRPr="00D75494">
          <w:rPr>
            <w:rStyle w:val="Hyperlink"/>
          </w:rPr>
          <w:t>https://www.nice.org.uk/guidance/ng97</w:t>
        </w:r>
      </w:hyperlink>
      <w:r w:rsidRPr="00D75494">
        <w:t xml:space="preserve"> [Accessed 24 July 2025].</w:t>
      </w:r>
    </w:p>
    <w:p w14:paraId="59C545FC" w14:textId="77777777" w:rsidR="001E6B14" w:rsidRDefault="001E6B14" w:rsidP="001E6B14">
      <w:r w:rsidRPr="00292C02">
        <w:t>Noble, H. and Smith, J., 2015. Issues of validity and reliability in qualitative research. </w:t>
      </w:r>
      <w:r w:rsidRPr="00292C02">
        <w:rPr>
          <w:i/>
          <w:iCs/>
        </w:rPr>
        <w:t>Evidence-based nursing</w:t>
      </w:r>
      <w:r w:rsidRPr="00292C02">
        <w:t>, </w:t>
      </w:r>
      <w:r w:rsidRPr="00292C02">
        <w:rPr>
          <w:i/>
          <w:iCs/>
        </w:rPr>
        <w:t>18</w:t>
      </w:r>
      <w:r w:rsidRPr="00292C02">
        <w:t>(2), pp.34-35.</w:t>
      </w:r>
    </w:p>
    <w:p w14:paraId="001AA77F" w14:textId="77777777" w:rsidR="001E6B14" w:rsidRDefault="001E6B14" w:rsidP="001E6B14">
      <w:r w:rsidRPr="00292C02">
        <w:lastRenderedPageBreak/>
        <w:t>Nowell, L.S., Norris, J.M., White, D.E. and Moules, N.J., 2017. Thematic analysis: Striving to meet the trustworthiness criteria. </w:t>
      </w:r>
      <w:r w:rsidRPr="00292C02">
        <w:rPr>
          <w:i/>
          <w:iCs/>
        </w:rPr>
        <w:t>International journal of qualitative methods</w:t>
      </w:r>
      <w:r w:rsidRPr="00292C02">
        <w:t>, </w:t>
      </w:r>
      <w:r w:rsidRPr="00292C02">
        <w:rPr>
          <w:i/>
          <w:iCs/>
        </w:rPr>
        <w:t>16</w:t>
      </w:r>
      <w:r w:rsidRPr="00292C02">
        <w:t>(1), p.1609406917733847.</w:t>
      </w:r>
    </w:p>
    <w:p w14:paraId="1998698A" w14:textId="77777777" w:rsidR="001E6B14" w:rsidRDefault="001E6B14" w:rsidP="001E6B14">
      <w:r w:rsidRPr="00292C02">
        <w:t>Orrell, M., Yates, L., Leung, P., Kang, S., Hoare, Z., Whitaker, C., Burns, A., Knapp, M., Leroi, I., Moniz-Cook, E. and Pearson, S., 2017. The impact of individual Cognitive Stimulation Therapy (</w:t>
      </w:r>
      <w:proofErr w:type="spellStart"/>
      <w:r w:rsidRPr="00292C02">
        <w:t>iCST</w:t>
      </w:r>
      <w:proofErr w:type="spellEnd"/>
      <w:r w:rsidRPr="00292C02">
        <w:t>) on cognition, quality of life, caregiver health, and family relationships in dementia: A randomised controlled trial. </w:t>
      </w:r>
      <w:proofErr w:type="spellStart"/>
      <w:r w:rsidRPr="00292C02">
        <w:rPr>
          <w:i/>
          <w:iCs/>
        </w:rPr>
        <w:t>PLoS</w:t>
      </w:r>
      <w:proofErr w:type="spellEnd"/>
      <w:r w:rsidRPr="00292C02">
        <w:rPr>
          <w:i/>
          <w:iCs/>
        </w:rPr>
        <w:t xml:space="preserve"> medicine</w:t>
      </w:r>
      <w:r w:rsidRPr="00292C02">
        <w:t>, </w:t>
      </w:r>
      <w:r w:rsidRPr="00292C02">
        <w:rPr>
          <w:i/>
          <w:iCs/>
        </w:rPr>
        <w:t>14</w:t>
      </w:r>
      <w:r w:rsidRPr="00292C02">
        <w:t>(3), p.e1002269.</w:t>
      </w:r>
    </w:p>
    <w:p w14:paraId="071581AB" w14:textId="77777777" w:rsidR="001E6B14" w:rsidRDefault="001E6B14" w:rsidP="001E6B14">
      <w:r w:rsidRPr="00D21E83">
        <w:t>Papaioannou, D., Sutton, A. and Booth, A., 2016. Systematic approaches to a successful literature review. </w:t>
      </w:r>
      <w:r w:rsidRPr="00D21E83">
        <w:rPr>
          <w:i/>
          <w:iCs/>
        </w:rPr>
        <w:t>Systematic approaches to a successful literature review</w:t>
      </w:r>
      <w:r w:rsidRPr="00D21E83">
        <w:t>, pp.1-336.</w:t>
      </w:r>
    </w:p>
    <w:p w14:paraId="5F1C373F" w14:textId="77777777" w:rsidR="001E6B14" w:rsidRDefault="001E6B14" w:rsidP="001E6B14">
      <w:r w:rsidRPr="00292C02">
        <w:t>Park, D.C. and Reuter-Lorenz, P., 2009. The adaptive brain: aging and neurocognitive scaffolding. </w:t>
      </w:r>
      <w:r w:rsidRPr="00292C02">
        <w:rPr>
          <w:i/>
          <w:iCs/>
        </w:rPr>
        <w:t>Annual review of psychology</w:t>
      </w:r>
      <w:r w:rsidRPr="00292C02">
        <w:t>, </w:t>
      </w:r>
      <w:r w:rsidRPr="00292C02">
        <w:rPr>
          <w:i/>
          <w:iCs/>
        </w:rPr>
        <w:t>60</w:t>
      </w:r>
      <w:r w:rsidRPr="00292C02">
        <w:t>(1), pp.173-196.</w:t>
      </w:r>
    </w:p>
    <w:p w14:paraId="58804BC6" w14:textId="77777777" w:rsidR="001E6B14" w:rsidRDefault="001E6B14" w:rsidP="001E6B14">
      <w:r w:rsidRPr="00292C02">
        <w:t xml:space="preserve">Parveen, S. and </w:t>
      </w:r>
      <w:proofErr w:type="spellStart"/>
      <w:r w:rsidRPr="00292C02">
        <w:t>Oyebode</w:t>
      </w:r>
      <w:proofErr w:type="spellEnd"/>
      <w:r w:rsidRPr="00292C02">
        <w:t>, J., 2018. Dementia and minority ethnic carers. </w:t>
      </w:r>
      <w:r w:rsidRPr="00292C02">
        <w:rPr>
          <w:i/>
          <w:iCs/>
        </w:rPr>
        <w:t>Better health briefing</w:t>
      </w:r>
      <w:r w:rsidRPr="00292C02">
        <w:t>, </w:t>
      </w:r>
      <w:r w:rsidRPr="00292C02">
        <w:rPr>
          <w:i/>
          <w:iCs/>
        </w:rPr>
        <w:t>46</w:t>
      </w:r>
      <w:r w:rsidRPr="00292C02">
        <w:t>, p.12.</w:t>
      </w:r>
    </w:p>
    <w:p w14:paraId="4CE7DFD1" w14:textId="77777777" w:rsidR="001E6B14" w:rsidRDefault="001E6B14" w:rsidP="001E6B14">
      <w:proofErr w:type="spellStart"/>
      <w:r w:rsidRPr="00A4362E">
        <w:t>Pearlin</w:t>
      </w:r>
      <w:proofErr w:type="spellEnd"/>
      <w:r w:rsidRPr="00A4362E">
        <w:t>, L.I., Mullan, J.T., Semple, S.J. and Skaff, M.M., 1990. Caregiving and the stress process: An overview of concepts and their measures. </w:t>
      </w:r>
      <w:r w:rsidRPr="00A4362E">
        <w:rPr>
          <w:i/>
          <w:iCs/>
        </w:rPr>
        <w:t>The gerontologist</w:t>
      </w:r>
      <w:r w:rsidRPr="00A4362E">
        <w:t>, </w:t>
      </w:r>
      <w:r w:rsidRPr="00A4362E">
        <w:rPr>
          <w:i/>
          <w:iCs/>
        </w:rPr>
        <w:t>30</w:t>
      </w:r>
      <w:r w:rsidRPr="00A4362E">
        <w:t>(5), pp.583-594.</w:t>
      </w:r>
    </w:p>
    <w:p w14:paraId="76823C8C" w14:textId="77777777" w:rsidR="001E6B14" w:rsidRDefault="001E6B14" w:rsidP="001E6B14">
      <w:r w:rsidRPr="00A4362E">
        <w:t>Putnam, R.D., 2000. </w:t>
      </w:r>
      <w:r w:rsidRPr="00A4362E">
        <w:rPr>
          <w:i/>
          <w:iCs/>
        </w:rPr>
        <w:t>Bowling alone: The collapse and revival of American community</w:t>
      </w:r>
      <w:r w:rsidRPr="00A4362E">
        <w:t xml:space="preserve">. Simon and </w:t>
      </w:r>
      <w:proofErr w:type="spellStart"/>
      <w:r w:rsidRPr="00A4362E">
        <w:t>schuster</w:t>
      </w:r>
      <w:proofErr w:type="spellEnd"/>
      <w:r w:rsidRPr="00A4362E">
        <w:t>.</w:t>
      </w:r>
    </w:p>
    <w:p w14:paraId="7D59CF13" w14:textId="77777777" w:rsidR="001E6B14" w:rsidRPr="0035109C" w:rsidRDefault="001E6B14" w:rsidP="001E6B14">
      <w:r w:rsidRPr="00890605">
        <w:t>Resnik, D.B. 2020</w:t>
      </w:r>
      <w:r w:rsidRPr="00732DA0">
        <w:t>.</w:t>
      </w:r>
      <w:r w:rsidRPr="00890605">
        <w:t xml:space="preserve"> ‘What is ethics in research &amp; why is it important?’, </w:t>
      </w:r>
      <w:r w:rsidRPr="00890605">
        <w:rPr>
          <w:i/>
          <w:iCs/>
        </w:rPr>
        <w:t>National Institute of Environmental Health Sciences</w:t>
      </w:r>
      <w:r w:rsidRPr="00890605">
        <w:t xml:space="preserve">. Available at: </w:t>
      </w:r>
      <w:hyperlink r:id="rId16" w:history="1">
        <w:r w:rsidRPr="00890605">
          <w:rPr>
            <w:rStyle w:val="Hyperlink"/>
            <w:rFonts w:cs="Arial"/>
            <w:sz w:val="24"/>
            <w:szCs w:val="24"/>
          </w:rPr>
          <w:t>https://www.niehs.nih.gov/research/resources/bioethics/whatis/index.cfm</w:t>
        </w:r>
      </w:hyperlink>
      <w:r w:rsidRPr="00890605">
        <w:t xml:space="preserve"> (Accessed: 28 July 2025).</w:t>
      </w:r>
    </w:p>
    <w:p w14:paraId="796A14CB" w14:textId="77777777" w:rsidR="001E6B14" w:rsidRDefault="001E6B14" w:rsidP="001E6B14">
      <w:r w:rsidRPr="00FF06E4">
        <w:t>Ryan Richard, M. and Deci, E.L., 2000. Self-determination theory and the facilitation of intrinsic motivation, social development, and well-being. </w:t>
      </w:r>
      <w:r w:rsidRPr="00FF06E4">
        <w:rPr>
          <w:i/>
          <w:iCs/>
        </w:rPr>
        <w:t>American Psychologist</w:t>
      </w:r>
      <w:r w:rsidRPr="00FF06E4">
        <w:t>, </w:t>
      </w:r>
      <w:r w:rsidRPr="00FF06E4">
        <w:rPr>
          <w:i/>
          <w:iCs/>
        </w:rPr>
        <w:t>55</w:t>
      </w:r>
      <w:r w:rsidRPr="00FF06E4">
        <w:t>(1), pp.68-78.</w:t>
      </w:r>
    </w:p>
    <w:p w14:paraId="75ACAA8D" w14:textId="77777777" w:rsidR="001E6B14" w:rsidRDefault="001E6B14" w:rsidP="001E6B14">
      <w:r w:rsidRPr="00A4362E">
        <w:t>Sen, A., 1999. Development as Freedom Oxford University Press Shaw TM &amp; Heard. </w:t>
      </w:r>
      <w:r w:rsidRPr="00A4362E">
        <w:rPr>
          <w:i/>
          <w:iCs/>
        </w:rPr>
        <w:t>The Politics of Africa: Dependence and Development</w:t>
      </w:r>
      <w:r w:rsidRPr="00A4362E">
        <w:t>.</w:t>
      </w:r>
    </w:p>
    <w:p w14:paraId="7C17D855" w14:textId="77777777" w:rsidR="001E6B14" w:rsidRDefault="001E6B14" w:rsidP="001E6B14">
      <w:r w:rsidRPr="00A4362E">
        <w:t xml:space="preserve">Shakespeare, T., </w:t>
      </w:r>
      <w:proofErr w:type="spellStart"/>
      <w:r w:rsidRPr="00A4362E">
        <w:t>Zeilig</w:t>
      </w:r>
      <w:proofErr w:type="spellEnd"/>
      <w:r w:rsidRPr="00A4362E">
        <w:t>, H. and Mittler, P., 2019. Rights in mind: Thinking differently about dementia and disability. </w:t>
      </w:r>
      <w:r w:rsidRPr="00A4362E">
        <w:rPr>
          <w:i/>
          <w:iCs/>
        </w:rPr>
        <w:t>Dementia</w:t>
      </w:r>
      <w:r w:rsidRPr="00A4362E">
        <w:t>, </w:t>
      </w:r>
      <w:r w:rsidRPr="00A4362E">
        <w:rPr>
          <w:i/>
          <w:iCs/>
        </w:rPr>
        <w:t>18</w:t>
      </w:r>
      <w:r w:rsidRPr="00A4362E">
        <w:t>(3), pp.1075-1088.</w:t>
      </w:r>
    </w:p>
    <w:p w14:paraId="39D3317C" w14:textId="77777777" w:rsidR="001E6B14" w:rsidRDefault="001E6B14" w:rsidP="001E6B14">
      <w:r w:rsidRPr="00A4362E">
        <w:lastRenderedPageBreak/>
        <w:t>Spector, A., Orrell, M., Davies, S. and Woods, B., 200</w:t>
      </w:r>
      <w:r>
        <w:t>3</w:t>
      </w:r>
      <w:r w:rsidRPr="00A4362E">
        <w:t>. Can reality orientation be rehabilitated? Development and piloting of an evidence-based programme of cognition-based therapies for people with dementia. </w:t>
      </w:r>
      <w:r w:rsidRPr="00A4362E">
        <w:rPr>
          <w:i/>
          <w:iCs/>
        </w:rPr>
        <w:t>Neuropsychological Rehabilitation</w:t>
      </w:r>
      <w:r w:rsidRPr="00A4362E">
        <w:t>, </w:t>
      </w:r>
      <w:r w:rsidRPr="00A4362E">
        <w:rPr>
          <w:i/>
          <w:iCs/>
        </w:rPr>
        <w:t>11</w:t>
      </w:r>
      <w:r w:rsidRPr="00A4362E">
        <w:t>(3-4), pp.377-397.</w:t>
      </w:r>
    </w:p>
    <w:p w14:paraId="761E3E95" w14:textId="77777777" w:rsidR="001E6B14" w:rsidRDefault="001E6B14" w:rsidP="001E6B14">
      <w:r w:rsidRPr="00D94267">
        <w:t>Stanyon, M.R., Goldberg, S.E., Astle, A., Griffiths, A. and Gordon, A.L., 2017. The competencies of Registered Nurses working in care homes: a modified Delphi study. </w:t>
      </w:r>
      <w:r w:rsidRPr="00D94267">
        <w:rPr>
          <w:i/>
          <w:iCs/>
        </w:rPr>
        <w:t>Age and Ageing</w:t>
      </w:r>
      <w:r w:rsidRPr="00D94267">
        <w:t>, </w:t>
      </w:r>
      <w:r w:rsidRPr="00D94267">
        <w:rPr>
          <w:i/>
          <w:iCs/>
        </w:rPr>
        <w:t>46</w:t>
      </w:r>
      <w:r w:rsidRPr="00D94267">
        <w:t>(4), pp.582-588.</w:t>
      </w:r>
    </w:p>
    <w:p w14:paraId="0153C07C" w14:textId="77777777" w:rsidR="001E6B14" w:rsidRDefault="001E6B14" w:rsidP="001E6B14">
      <w:r w:rsidRPr="00D94267">
        <w:t>Tay, L. and Diener, E., 2011. Needs and subjective well-being around the world. </w:t>
      </w:r>
      <w:r w:rsidRPr="00D94267">
        <w:rPr>
          <w:i/>
          <w:iCs/>
        </w:rPr>
        <w:t xml:space="preserve">Journal of </w:t>
      </w:r>
      <w:r>
        <w:rPr>
          <w:i/>
          <w:iCs/>
        </w:rPr>
        <w:t>Personality</w:t>
      </w:r>
      <w:r w:rsidRPr="00D94267">
        <w:rPr>
          <w:i/>
          <w:iCs/>
        </w:rPr>
        <w:t xml:space="preserve"> and </w:t>
      </w:r>
      <w:r>
        <w:rPr>
          <w:i/>
          <w:iCs/>
        </w:rPr>
        <w:t>Social Psychology</w:t>
      </w:r>
      <w:r w:rsidRPr="00D94267">
        <w:t>, </w:t>
      </w:r>
      <w:r w:rsidRPr="00D94267">
        <w:rPr>
          <w:i/>
          <w:iCs/>
        </w:rPr>
        <w:t>101</w:t>
      </w:r>
      <w:r w:rsidRPr="00D94267">
        <w:t>(2), p.354.</w:t>
      </w:r>
    </w:p>
    <w:p w14:paraId="050C0D52" w14:textId="77777777" w:rsidR="001E6B14" w:rsidRDefault="001E6B14" w:rsidP="001E6B14">
      <w:r w:rsidRPr="00D94267">
        <w:t>Taylor-Gooby, P., 2013. The double crisis of the welfare state. In </w:t>
      </w:r>
      <w:r w:rsidRPr="00D94267">
        <w:rPr>
          <w:i/>
          <w:iCs/>
        </w:rPr>
        <w:t>The double crisis of the welfare state and what we can do about it</w:t>
      </w:r>
      <w:r w:rsidRPr="00D94267">
        <w:t> (pp. 1-25). London: Palgrave Macmillan UK.</w:t>
      </w:r>
    </w:p>
    <w:p w14:paraId="3A67C614" w14:textId="77777777" w:rsidR="001E6B14" w:rsidRDefault="001E6B14" w:rsidP="001E6B14">
      <w:r w:rsidRPr="00D94267">
        <w:t>Thane, P., 2016. </w:t>
      </w:r>
      <w:r w:rsidRPr="00D94267">
        <w:rPr>
          <w:i/>
          <w:iCs/>
        </w:rPr>
        <w:t>The foundations of the welfare state</w:t>
      </w:r>
      <w:r w:rsidRPr="00D94267">
        <w:t>. Routledge.</w:t>
      </w:r>
    </w:p>
    <w:p w14:paraId="3A26B096" w14:textId="77777777" w:rsidR="001E6B14" w:rsidRPr="004216CB" w:rsidRDefault="001E6B14" w:rsidP="001E6B14">
      <w:r w:rsidRPr="004216CB">
        <w:t xml:space="preserve">The Equality Act. 2010. </w:t>
      </w:r>
      <w:r w:rsidRPr="004216CB">
        <w:rPr>
          <w:i/>
          <w:iCs/>
        </w:rPr>
        <w:t>Equality Act 2010: Guidance</w:t>
      </w:r>
      <w:r w:rsidRPr="004216CB">
        <w:t>. London: HM Government.</w:t>
      </w:r>
      <w:r>
        <w:t xml:space="preserve"> </w:t>
      </w:r>
      <w:r w:rsidRPr="00D75494">
        <w:t>Available at:</w:t>
      </w:r>
      <w:r>
        <w:t xml:space="preserve"> </w:t>
      </w:r>
      <w:hyperlink r:id="rId17" w:anchor=":~:text=Equality%20Act%20provisions%20which%20came,work%2C%20education%2C%20associations%20and%20transport" w:history="1">
        <w:r w:rsidRPr="00F95248">
          <w:rPr>
            <w:rStyle w:val="Hyperlink"/>
          </w:rPr>
          <w:t>https://www.gov.uk/guidance/equality-act-2010-guidance#:~:text=Equality%20Act%20provisions%20which%20came,work%2C%20education%2C%20associations%20and%20transport</w:t>
        </w:r>
      </w:hyperlink>
      <w:r>
        <w:t xml:space="preserve"> </w:t>
      </w:r>
      <w:r w:rsidRPr="00D75494">
        <w:t>[Accessed: 25 July 2025].</w:t>
      </w:r>
    </w:p>
    <w:p w14:paraId="7951315F" w14:textId="77777777" w:rsidR="001E6B14" w:rsidRPr="00D75494" w:rsidRDefault="001E6B14" w:rsidP="001E6B14">
      <w:r w:rsidRPr="00D75494">
        <w:t xml:space="preserve">The King's Fund. 2022. Reimagining community services: Making the most of our assets. Available at: </w:t>
      </w:r>
      <w:hyperlink r:id="rId18" w:tgtFrame="_blank" w:history="1">
        <w:r w:rsidRPr="00D75494">
          <w:rPr>
            <w:rStyle w:val="Hyperlink"/>
          </w:rPr>
          <w:t>https://www.kingsfund.org.uk/publications/community-services-assets</w:t>
        </w:r>
      </w:hyperlink>
      <w:r w:rsidRPr="00D75494">
        <w:t xml:space="preserve"> [Accessed: 25 July 2025].</w:t>
      </w:r>
    </w:p>
    <w:p w14:paraId="3AE00345" w14:textId="77777777" w:rsidR="001E6B14" w:rsidRPr="00D75494" w:rsidRDefault="001E6B14" w:rsidP="001E6B14">
      <w:r w:rsidRPr="00292C02">
        <w:t>Warrick, N., Prorok, J.C. and Seitz, D., 2018. Care of community-dwelling older adults with dementia and their caregivers. </w:t>
      </w:r>
      <w:proofErr w:type="spellStart"/>
      <w:r w:rsidRPr="00292C02">
        <w:rPr>
          <w:i/>
          <w:iCs/>
        </w:rPr>
        <w:t>Cmaj</w:t>
      </w:r>
      <w:proofErr w:type="spellEnd"/>
      <w:r w:rsidRPr="00292C02">
        <w:t>, </w:t>
      </w:r>
      <w:r w:rsidRPr="00292C02">
        <w:rPr>
          <w:i/>
          <w:iCs/>
        </w:rPr>
        <w:t>190</w:t>
      </w:r>
      <w:r w:rsidRPr="00292C02">
        <w:t xml:space="preserve">(26), </w:t>
      </w:r>
      <w:proofErr w:type="gramStart"/>
      <w:r w:rsidRPr="00292C02">
        <w:t>pp.E</w:t>
      </w:r>
      <w:proofErr w:type="gramEnd"/>
      <w:r w:rsidRPr="00292C02">
        <w:t>794-E799.</w:t>
      </w:r>
    </w:p>
    <w:p w14:paraId="3EEA4E5A" w14:textId="77777777" w:rsidR="001E6B14" w:rsidRDefault="001E6B14" w:rsidP="001E6B14">
      <w:r w:rsidRPr="00AD0CA0">
        <w:t>Watson, J., Giebel, C., Green, M., Darlington</w:t>
      </w:r>
      <w:r w:rsidRPr="00AD0CA0">
        <w:rPr>
          <w:rFonts w:ascii="Cambria Math" w:hAnsi="Cambria Math" w:cs="Cambria Math"/>
        </w:rPr>
        <w:t>‐</w:t>
      </w:r>
      <w:r w:rsidRPr="00AD0CA0">
        <w:t>Pollock, F. and Akpan, A., 2021. Use of routine and cohort data globally in exploring dementia care pathways and inequalities: A systematic review.</w:t>
      </w:r>
    </w:p>
    <w:p w14:paraId="3DCC95D5" w14:textId="77777777" w:rsidR="001E6B14" w:rsidRDefault="001E6B14" w:rsidP="001E6B14">
      <w:r w:rsidRPr="00D94267">
        <w:t xml:space="preserve">Zhao, W., Wu, M.L., </w:t>
      </w:r>
      <w:proofErr w:type="spellStart"/>
      <w:r w:rsidRPr="00D94267">
        <w:t>Petsky</w:t>
      </w:r>
      <w:proofErr w:type="spellEnd"/>
      <w:r w:rsidRPr="00D94267">
        <w:t>, H. and Moyle, W., 2022. Family carers’ expectations regarding dementia care services and support in China: a qualitative study. </w:t>
      </w:r>
      <w:r w:rsidRPr="00D94267">
        <w:rPr>
          <w:i/>
          <w:iCs/>
        </w:rPr>
        <w:t>Dementia</w:t>
      </w:r>
      <w:r w:rsidRPr="00D94267">
        <w:t>, </w:t>
      </w:r>
      <w:r w:rsidRPr="00D94267">
        <w:rPr>
          <w:i/>
          <w:iCs/>
        </w:rPr>
        <w:t>21</w:t>
      </w:r>
      <w:r w:rsidRPr="00D94267">
        <w:t>(6), pp.2004-2019.</w:t>
      </w:r>
    </w:p>
    <w:p w14:paraId="796D96AA" w14:textId="77777777" w:rsidR="004216CB" w:rsidRDefault="004216CB" w:rsidP="004216CB"/>
    <w:p w14:paraId="58C8D491" w14:textId="77777777" w:rsidR="001E6B14" w:rsidRDefault="001E6B14" w:rsidP="004216CB"/>
    <w:p w14:paraId="431F207B" w14:textId="77777777" w:rsidR="001E6B14" w:rsidRDefault="001E6B14" w:rsidP="004216CB"/>
    <w:bookmarkEnd w:id="5"/>
    <w:p w14:paraId="79891CCA" w14:textId="77777777" w:rsidR="001E6B14" w:rsidRPr="009C0D00" w:rsidRDefault="001E6B14" w:rsidP="004216CB"/>
    <w:sectPr w:rsidR="001E6B14" w:rsidRPr="009C0D00" w:rsidSect="009C0D00">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620BD" w14:textId="77777777" w:rsidR="001B1A5C" w:rsidRPr="009C0D00" w:rsidRDefault="001B1A5C" w:rsidP="00D75494">
      <w:pPr>
        <w:spacing w:after="0" w:line="240" w:lineRule="auto"/>
      </w:pPr>
      <w:r w:rsidRPr="009C0D00">
        <w:separator/>
      </w:r>
    </w:p>
  </w:endnote>
  <w:endnote w:type="continuationSeparator" w:id="0">
    <w:p w14:paraId="4F4849B2" w14:textId="77777777" w:rsidR="001B1A5C" w:rsidRPr="009C0D00" w:rsidRDefault="001B1A5C" w:rsidP="00D75494">
      <w:pPr>
        <w:spacing w:after="0" w:line="240" w:lineRule="auto"/>
      </w:pPr>
      <w:r w:rsidRPr="009C0D0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4182609"/>
      <w:docPartObj>
        <w:docPartGallery w:val="Page Numbers (Bottom of Page)"/>
        <w:docPartUnique/>
      </w:docPartObj>
    </w:sdtPr>
    <w:sdtEndPr/>
    <w:sdtContent>
      <w:p w14:paraId="5BAAA6CE" w14:textId="2BF6034D" w:rsidR="00D75494" w:rsidRPr="009C0D00" w:rsidRDefault="00D75494">
        <w:pPr>
          <w:pStyle w:val="Footer"/>
          <w:jc w:val="right"/>
        </w:pPr>
        <w:r w:rsidRPr="009C0D00">
          <w:fldChar w:fldCharType="begin"/>
        </w:r>
        <w:r w:rsidRPr="009C0D00">
          <w:instrText xml:space="preserve"> PAGE   \* MERGEFORMAT </w:instrText>
        </w:r>
        <w:r w:rsidRPr="009C0D00">
          <w:fldChar w:fldCharType="separate"/>
        </w:r>
        <w:r w:rsidRPr="009C0D00">
          <w:t>2</w:t>
        </w:r>
        <w:r w:rsidRPr="009C0D00">
          <w:fldChar w:fldCharType="end"/>
        </w:r>
      </w:p>
    </w:sdtContent>
  </w:sdt>
  <w:p w14:paraId="2ED677D1" w14:textId="77777777" w:rsidR="00D75494" w:rsidRPr="009C0D00" w:rsidRDefault="00D754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33826" w14:textId="77777777" w:rsidR="001B1A5C" w:rsidRPr="009C0D00" w:rsidRDefault="001B1A5C" w:rsidP="00D75494">
      <w:pPr>
        <w:spacing w:after="0" w:line="240" w:lineRule="auto"/>
      </w:pPr>
      <w:r w:rsidRPr="009C0D00">
        <w:separator/>
      </w:r>
    </w:p>
  </w:footnote>
  <w:footnote w:type="continuationSeparator" w:id="0">
    <w:p w14:paraId="1BFDA88C" w14:textId="77777777" w:rsidR="001B1A5C" w:rsidRPr="009C0D00" w:rsidRDefault="001B1A5C" w:rsidP="00D75494">
      <w:pPr>
        <w:spacing w:after="0" w:line="240" w:lineRule="auto"/>
      </w:pPr>
      <w:r w:rsidRPr="009C0D0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A3229"/>
    <w:multiLevelType w:val="hybridMultilevel"/>
    <w:tmpl w:val="10FE3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62ECB"/>
    <w:multiLevelType w:val="multilevel"/>
    <w:tmpl w:val="A1F4A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DC44D8"/>
    <w:multiLevelType w:val="multilevel"/>
    <w:tmpl w:val="B882C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A46147"/>
    <w:multiLevelType w:val="hybridMultilevel"/>
    <w:tmpl w:val="693EC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1128E6"/>
    <w:multiLevelType w:val="multilevel"/>
    <w:tmpl w:val="6A32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21770E"/>
    <w:multiLevelType w:val="hybridMultilevel"/>
    <w:tmpl w:val="2A10F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2841EB"/>
    <w:multiLevelType w:val="hybridMultilevel"/>
    <w:tmpl w:val="2DF0C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5C35D7"/>
    <w:multiLevelType w:val="multilevel"/>
    <w:tmpl w:val="5E6E2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8B4A82"/>
    <w:multiLevelType w:val="hybridMultilevel"/>
    <w:tmpl w:val="E65AB7F4"/>
    <w:lvl w:ilvl="0" w:tplc="7C86A58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DB31B6"/>
    <w:multiLevelType w:val="multilevel"/>
    <w:tmpl w:val="ACE8D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846EA1"/>
    <w:multiLevelType w:val="hybridMultilevel"/>
    <w:tmpl w:val="BD9230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1F578D"/>
    <w:multiLevelType w:val="hybridMultilevel"/>
    <w:tmpl w:val="F7284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4F2400"/>
    <w:multiLevelType w:val="multilevel"/>
    <w:tmpl w:val="DEDAEFB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9F7494"/>
    <w:multiLevelType w:val="multilevel"/>
    <w:tmpl w:val="3AD66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7C19D0"/>
    <w:multiLevelType w:val="multilevel"/>
    <w:tmpl w:val="F2BCD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015B6E"/>
    <w:multiLevelType w:val="multilevel"/>
    <w:tmpl w:val="96C8D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652A96"/>
    <w:multiLevelType w:val="multilevel"/>
    <w:tmpl w:val="CFFA5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CCC24F2"/>
    <w:multiLevelType w:val="hybridMultilevel"/>
    <w:tmpl w:val="360A6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0976FD"/>
    <w:multiLevelType w:val="hybridMultilevel"/>
    <w:tmpl w:val="A3825236"/>
    <w:lvl w:ilvl="0" w:tplc="7C86A58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7"/>
  </w:num>
  <w:num w:numId="4">
    <w:abstractNumId w:val="13"/>
  </w:num>
  <w:num w:numId="5">
    <w:abstractNumId w:val="11"/>
  </w:num>
  <w:num w:numId="6">
    <w:abstractNumId w:val="15"/>
  </w:num>
  <w:num w:numId="7">
    <w:abstractNumId w:val="4"/>
  </w:num>
  <w:num w:numId="8">
    <w:abstractNumId w:val="16"/>
  </w:num>
  <w:num w:numId="9">
    <w:abstractNumId w:val="9"/>
  </w:num>
  <w:num w:numId="10">
    <w:abstractNumId w:val="14"/>
  </w:num>
  <w:num w:numId="11">
    <w:abstractNumId w:val="0"/>
  </w:num>
  <w:num w:numId="12">
    <w:abstractNumId w:val="8"/>
  </w:num>
  <w:num w:numId="13">
    <w:abstractNumId w:val="5"/>
  </w:num>
  <w:num w:numId="14">
    <w:abstractNumId w:val="6"/>
  </w:num>
  <w:num w:numId="15">
    <w:abstractNumId w:val="18"/>
  </w:num>
  <w:num w:numId="16">
    <w:abstractNumId w:val="17"/>
  </w:num>
  <w:num w:numId="17">
    <w:abstractNumId w:val="3"/>
  </w:num>
  <w:num w:numId="18">
    <w:abstractNumId w:val="10"/>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01A"/>
    <w:rsid w:val="0003127B"/>
    <w:rsid w:val="00032DBA"/>
    <w:rsid w:val="00032F0E"/>
    <w:rsid w:val="0004004B"/>
    <w:rsid w:val="00073575"/>
    <w:rsid w:val="00074D06"/>
    <w:rsid w:val="00093E4A"/>
    <w:rsid w:val="00094D06"/>
    <w:rsid w:val="000A4D3B"/>
    <w:rsid w:val="000B1F39"/>
    <w:rsid w:val="000F3166"/>
    <w:rsid w:val="00151D19"/>
    <w:rsid w:val="0016709E"/>
    <w:rsid w:val="00196EF1"/>
    <w:rsid w:val="001B1606"/>
    <w:rsid w:val="001B1A5C"/>
    <w:rsid w:val="001E52DD"/>
    <w:rsid w:val="001E6B14"/>
    <w:rsid w:val="00200065"/>
    <w:rsid w:val="002027E6"/>
    <w:rsid w:val="002231DD"/>
    <w:rsid w:val="002248C5"/>
    <w:rsid w:val="00254EC4"/>
    <w:rsid w:val="00291EF1"/>
    <w:rsid w:val="00292C02"/>
    <w:rsid w:val="00295E27"/>
    <w:rsid w:val="002A3A3A"/>
    <w:rsid w:val="002C63FC"/>
    <w:rsid w:val="002E1293"/>
    <w:rsid w:val="002F13DF"/>
    <w:rsid w:val="002F6440"/>
    <w:rsid w:val="00306C2F"/>
    <w:rsid w:val="003170E9"/>
    <w:rsid w:val="00330985"/>
    <w:rsid w:val="00334A2B"/>
    <w:rsid w:val="00345B96"/>
    <w:rsid w:val="0034682A"/>
    <w:rsid w:val="00365075"/>
    <w:rsid w:val="00367372"/>
    <w:rsid w:val="003858BC"/>
    <w:rsid w:val="003B26C8"/>
    <w:rsid w:val="003B33C8"/>
    <w:rsid w:val="003B7571"/>
    <w:rsid w:val="004216CB"/>
    <w:rsid w:val="00433F8B"/>
    <w:rsid w:val="00444521"/>
    <w:rsid w:val="00466445"/>
    <w:rsid w:val="00475CD0"/>
    <w:rsid w:val="004B23CB"/>
    <w:rsid w:val="004B3E0D"/>
    <w:rsid w:val="004D6528"/>
    <w:rsid w:val="00563F49"/>
    <w:rsid w:val="00580FEC"/>
    <w:rsid w:val="005A7DB3"/>
    <w:rsid w:val="005B7E1C"/>
    <w:rsid w:val="005D24B8"/>
    <w:rsid w:val="005F1735"/>
    <w:rsid w:val="00602B62"/>
    <w:rsid w:val="006151C0"/>
    <w:rsid w:val="006707CF"/>
    <w:rsid w:val="006B3E6C"/>
    <w:rsid w:val="006B507F"/>
    <w:rsid w:val="006B60C0"/>
    <w:rsid w:val="006C3C02"/>
    <w:rsid w:val="006E05CC"/>
    <w:rsid w:val="0071177B"/>
    <w:rsid w:val="0072601A"/>
    <w:rsid w:val="007A546F"/>
    <w:rsid w:val="007D3EDF"/>
    <w:rsid w:val="0080626F"/>
    <w:rsid w:val="00822F50"/>
    <w:rsid w:val="00825BF5"/>
    <w:rsid w:val="00827C58"/>
    <w:rsid w:val="008660A4"/>
    <w:rsid w:val="0089261F"/>
    <w:rsid w:val="0089549C"/>
    <w:rsid w:val="008C428D"/>
    <w:rsid w:val="008D42B5"/>
    <w:rsid w:val="00916D3F"/>
    <w:rsid w:val="009A3077"/>
    <w:rsid w:val="009C0D00"/>
    <w:rsid w:val="00A020E7"/>
    <w:rsid w:val="00A077F2"/>
    <w:rsid w:val="00A1490E"/>
    <w:rsid w:val="00A23EFB"/>
    <w:rsid w:val="00A4362E"/>
    <w:rsid w:val="00A54FF9"/>
    <w:rsid w:val="00A72F36"/>
    <w:rsid w:val="00AB360B"/>
    <w:rsid w:val="00AC5ADC"/>
    <w:rsid w:val="00AD0CA0"/>
    <w:rsid w:val="00AD2A85"/>
    <w:rsid w:val="00AF1D34"/>
    <w:rsid w:val="00B362C1"/>
    <w:rsid w:val="00B5378B"/>
    <w:rsid w:val="00B549FA"/>
    <w:rsid w:val="00B8182A"/>
    <w:rsid w:val="00B82B9E"/>
    <w:rsid w:val="00B83DF9"/>
    <w:rsid w:val="00BC109B"/>
    <w:rsid w:val="00BC6796"/>
    <w:rsid w:val="00BC7F33"/>
    <w:rsid w:val="00BD6E8E"/>
    <w:rsid w:val="00BF66E2"/>
    <w:rsid w:val="00C13CC9"/>
    <w:rsid w:val="00C2377D"/>
    <w:rsid w:val="00C30863"/>
    <w:rsid w:val="00C6527F"/>
    <w:rsid w:val="00CB51FF"/>
    <w:rsid w:val="00CB5FE6"/>
    <w:rsid w:val="00CF4EF5"/>
    <w:rsid w:val="00D21E83"/>
    <w:rsid w:val="00D527DB"/>
    <w:rsid w:val="00D75494"/>
    <w:rsid w:val="00D83162"/>
    <w:rsid w:val="00D94267"/>
    <w:rsid w:val="00DA08C3"/>
    <w:rsid w:val="00DC5D99"/>
    <w:rsid w:val="00DD33B5"/>
    <w:rsid w:val="00DD587C"/>
    <w:rsid w:val="00E00DE9"/>
    <w:rsid w:val="00E035CF"/>
    <w:rsid w:val="00E35ED9"/>
    <w:rsid w:val="00E47DD5"/>
    <w:rsid w:val="00E82772"/>
    <w:rsid w:val="00EA68EB"/>
    <w:rsid w:val="00F435C7"/>
    <w:rsid w:val="00F74BE0"/>
    <w:rsid w:val="00FE56D1"/>
    <w:rsid w:val="00FF06E4"/>
    <w:rsid w:val="00FF0F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188EC"/>
  <w15:chartTrackingRefBased/>
  <w15:docId w15:val="{E2DA4D63-3A22-4642-98D9-5D0219F53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01A"/>
    <w:pPr>
      <w:spacing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72601A"/>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72601A"/>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uiPriority w:val="9"/>
    <w:semiHidden/>
    <w:unhideWhenUsed/>
    <w:qFormat/>
    <w:rsid w:val="007260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60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60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60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60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60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60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601A"/>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rsid w:val="0072601A"/>
    <w:rPr>
      <w:rFonts w:ascii="Arial" w:eastAsiaTheme="majorEastAsia" w:hAnsi="Arial" w:cstheme="majorBidi"/>
      <w:b/>
      <w:color w:val="0F4761" w:themeColor="accent1" w:themeShade="BF"/>
      <w:sz w:val="28"/>
      <w:szCs w:val="32"/>
    </w:rPr>
  </w:style>
  <w:style w:type="character" w:customStyle="1" w:styleId="Heading3Char">
    <w:name w:val="Heading 3 Char"/>
    <w:basedOn w:val="DefaultParagraphFont"/>
    <w:link w:val="Heading3"/>
    <w:uiPriority w:val="9"/>
    <w:semiHidden/>
    <w:rsid w:val="007260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60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60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60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60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60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601A"/>
    <w:rPr>
      <w:rFonts w:eastAsiaTheme="majorEastAsia" w:cstheme="majorBidi"/>
      <w:color w:val="272727" w:themeColor="text1" w:themeTint="D8"/>
    </w:rPr>
  </w:style>
  <w:style w:type="paragraph" w:styleId="Title">
    <w:name w:val="Title"/>
    <w:basedOn w:val="Normal"/>
    <w:next w:val="Normal"/>
    <w:link w:val="TitleChar"/>
    <w:uiPriority w:val="10"/>
    <w:qFormat/>
    <w:rsid w:val="007260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60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60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60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601A"/>
    <w:pPr>
      <w:spacing w:before="160"/>
      <w:jc w:val="center"/>
    </w:pPr>
    <w:rPr>
      <w:i/>
      <w:iCs/>
      <w:color w:val="404040" w:themeColor="text1" w:themeTint="BF"/>
    </w:rPr>
  </w:style>
  <w:style w:type="character" w:customStyle="1" w:styleId="QuoteChar">
    <w:name w:val="Quote Char"/>
    <w:basedOn w:val="DefaultParagraphFont"/>
    <w:link w:val="Quote"/>
    <w:uiPriority w:val="29"/>
    <w:rsid w:val="0072601A"/>
    <w:rPr>
      <w:i/>
      <w:iCs/>
      <w:color w:val="404040" w:themeColor="text1" w:themeTint="BF"/>
    </w:rPr>
  </w:style>
  <w:style w:type="paragraph" w:styleId="ListParagraph">
    <w:name w:val="List Paragraph"/>
    <w:basedOn w:val="Normal"/>
    <w:uiPriority w:val="34"/>
    <w:qFormat/>
    <w:rsid w:val="0072601A"/>
    <w:pPr>
      <w:ind w:left="720"/>
      <w:contextualSpacing/>
    </w:pPr>
  </w:style>
  <w:style w:type="character" w:styleId="IntenseEmphasis">
    <w:name w:val="Intense Emphasis"/>
    <w:basedOn w:val="DefaultParagraphFont"/>
    <w:uiPriority w:val="21"/>
    <w:qFormat/>
    <w:rsid w:val="0072601A"/>
    <w:rPr>
      <w:i/>
      <w:iCs/>
      <w:color w:val="0F4761" w:themeColor="accent1" w:themeShade="BF"/>
    </w:rPr>
  </w:style>
  <w:style w:type="paragraph" w:styleId="IntenseQuote">
    <w:name w:val="Intense Quote"/>
    <w:basedOn w:val="Normal"/>
    <w:next w:val="Normal"/>
    <w:link w:val="IntenseQuoteChar"/>
    <w:uiPriority w:val="30"/>
    <w:qFormat/>
    <w:rsid w:val="007260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601A"/>
    <w:rPr>
      <w:i/>
      <w:iCs/>
      <w:color w:val="0F4761" w:themeColor="accent1" w:themeShade="BF"/>
    </w:rPr>
  </w:style>
  <w:style w:type="character" w:styleId="IntenseReference">
    <w:name w:val="Intense Reference"/>
    <w:basedOn w:val="DefaultParagraphFont"/>
    <w:uiPriority w:val="32"/>
    <w:qFormat/>
    <w:rsid w:val="0072601A"/>
    <w:rPr>
      <w:b/>
      <w:bCs/>
      <w:smallCaps/>
      <w:color w:val="0F4761" w:themeColor="accent1" w:themeShade="BF"/>
      <w:spacing w:val="5"/>
    </w:rPr>
  </w:style>
  <w:style w:type="character" w:styleId="Hyperlink">
    <w:name w:val="Hyperlink"/>
    <w:basedOn w:val="DefaultParagraphFont"/>
    <w:uiPriority w:val="99"/>
    <w:unhideWhenUsed/>
    <w:rsid w:val="0072601A"/>
    <w:rPr>
      <w:color w:val="467886" w:themeColor="hyperlink"/>
      <w:u w:val="single"/>
    </w:rPr>
  </w:style>
  <w:style w:type="character" w:styleId="UnresolvedMention">
    <w:name w:val="Unresolved Mention"/>
    <w:basedOn w:val="DefaultParagraphFont"/>
    <w:uiPriority w:val="99"/>
    <w:semiHidden/>
    <w:unhideWhenUsed/>
    <w:rsid w:val="0072601A"/>
    <w:rPr>
      <w:color w:val="605E5C"/>
      <w:shd w:val="clear" w:color="auto" w:fill="E1DFDD"/>
    </w:rPr>
  </w:style>
  <w:style w:type="paragraph" w:styleId="Header">
    <w:name w:val="header"/>
    <w:basedOn w:val="Normal"/>
    <w:link w:val="HeaderChar"/>
    <w:uiPriority w:val="99"/>
    <w:unhideWhenUsed/>
    <w:rsid w:val="00D754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494"/>
    <w:rPr>
      <w:rFonts w:ascii="Arial" w:hAnsi="Arial"/>
      <w:color w:val="000000" w:themeColor="text1"/>
    </w:rPr>
  </w:style>
  <w:style w:type="paragraph" w:styleId="Footer">
    <w:name w:val="footer"/>
    <w:basedOn w:val="Normal"/>
    <w:link w:val="FooterChar"/>
    <w:uiPriority w:val="99"/>
    <w:unhideWhenUsed/>
    <w:rsid w:val="00D754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494"/>
    <w:rPr>
      <w:rFonts w:ascii="Arial" w:hAnsi="Arial"/>
      <w:color w:val="000000" w:themeColor="text1"/>
    </w:rPr>
  </w:style>
  <w:style w:type="table" w:styleId="TableGrid">
    <w:name w:val="Table Grid"/>
    <w:basedOn w:val="TableNormal"/>
    <w:uiPriority w:val="59"/>
    <w:qFormat/>
    <w:rsid w:val="009C0D00"/>
    <w:pPr>
      <w:spacing w:after="220" w:line="240" w:lineRule="auto"/>
    </w:pPr>
    <w:rPr>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66445"/>
    <w:pPr>
      <w:spacing w:before="240" w:after="0" w:line="259" w:lineRule="auto"/>
      <w:jc w:val="left"/>
      <w:outlineLvl w:val="9"/>
    </w:pPr>
    <w:rPr>
      <w:rFonts w:asciiTheme="majorHAnsi" w:hAnsiTheme="majorHAnsi"/>
      <w:b w:val="0"/>
      <w:color w:val="0F4761" w:themeColor="accent1" w:themeShade="BF"/>
      <w:szCs w:val="32"/>
      <w:lang w:val="en-US"/>
      <w14:ligatures w14:val="none"/>
    </w:rPr>
  </w:style>
  <w:style w:type="paragraph" w:styleId="TOC1">
    <w:name w:val="toc 1"/>
    <w:basedOn w:val="Normal"/>
    <w:next w:val="Normal"/>
    <w:autoRedefine/>
    <w:uiPriority w:val="39"/>
    <w:unhideWhenUsed/>
    <w:rsid w:val="00466445"/>
    <w:pPr>
      <w:spacing w:after="100"/>
    </w:pPr>
  </w:style>
  <w:style w:type="paragraph" w:styleId="TOC2">
    <w:name w:val="toc 2"/>
    <w:basedOn w:val="Normal"/>
    <w:next w:val="Normal"/>
    <w:autoRedefine/>
    <w:uiPriority w:val="39"/>
    <w:unhideWhenUsed/>
    <w:rsid w:val="00466445"/>
    <w:pPr>
      <w:spacing w:after="100"/>
      <w:ind w:left="220"/>
    </w:pPr>
  </w:style>
  <w:style w:type="paragraph" w:styleId="BodyText">
    <w:name w:val="Body Text"/>
    <w:basedOn w:val="Normal"/>
    <w:link w:val="BodyTextChar"/>
    <w:uiPriority w:val="1"/>
    <w:unhideWhenUsed/>
    <w:qFormat/>
    <w:rsid w:val="00A077F2"/>
    <w:pPr>
      <w:widowControl w:val="0"/>
      <w:autoSpaceDE w:val="0"/>
      <w:autoSpaceDN w:val="0"/>
      <w:spacing w:after="0" w:line="240" w:lineRule="auto"/>
      <w:jc w:val="left"/>
    </w:pPr>
    <w:rPr>
      <w:rFonts w:eastAsia="Calibri Light" w:cs="Calibri Light"/>
      <w:color w:val="auto"/>
      <w:lang w:eastAsia="en-GB" w:bidi="en-GB"/>
      <w14:ligatures w14:val="none"/>
    </w:rPr>
  </w:style>
  <w:style w:type="character" w:customStyle="1" w:styleId="BodyTextChar">
    <w:name w:val="Body Text Char"/>
    <w:basedOn w:val="DefaultParagraphFont"/>
    <w:link w:val="BodyText"/>
    <w:uiPriority w:val="1"/>
    <w:rsid w:val="00A077F2"/>
    <w:rPr>
      <w:rFonts w:ascii="Arial" w:eastAsia="Calibri Light" w:hAnsi="Arial" w:cs="Calibri Light"/>
      <w:lang w:eastAsia="en-GB" w:bidi="en-GB"/>
      <w14:ligatures w14:val="none"/>
    </w:rPr>
  </w:style>
  <w:style w:type="character" w:styleId="Strong">
    <w:name w:val="Strong"/>
    <w:basedOn w:val="DefaultParagraphFont"/>
    <w:uiPriority w:val="22"/>
    <w:qFormat/>
    <w:rsid w:val="006C3C02"/>
    <w:rPr>
      <w:b/>
      <w:bCs/>
    </w:rPr>
  </w:style>
  <w:style w:type="paragraph" w:styleId="TOC3">
    <w:name w:val="toc 3"/>
    <w:basedOn w:val="Normal"/>
    <w:next w:val="Normal"/>
    <w:autoRedefine/>
    <w:uiPriority w:val="39"/>
    <w:unhideWhenUsed/>
    <w:rsid w:val="00345B9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03080">
      <w:bodyDiv w:val="1"/>
      <w:marLeft w:val="0"/>
      <w:marRight w:val="0"/>
      <w:marTop w:val="0"/>
      <w:marBottom w:val="0"/>
      <w:divBdr>
        <w:top w:val="none" w:sz="0" w:space="0" w:color="auto"/>
        <w:left w:val="none" w:sz="0" w:space="0" w:color="auto"/>
        <w:bottom w:val="none" w:sz="0" w:space="0" w:color="auto"/>
        <w:right w:val="none" w:sz="0" w:space="0" w:color="auto"/>
      </w:divBdr>
      <w:divsChild>
        <w:div w:id="781995309">
          <w:marLeft w:val="0"/>
          <w:marRight w:val="0"/>
          <w:marTop w:val="0"/>
          <w:marBottom w:val="0"/>
          <w:divBdr>
            <w:top w:val="none" w:sz="0" w:space="0" w:color="auto"/>
            <w:left w:val="none" w:sz="0" w:space="0" w:color="auto"/>
            <w:bottom w:val="none" w:sz="0" w:space="0" w:color="auto"/>
            <w:right w:val="none" w:sz="0" w:space="0" w:color="auto"/>
          </w:divBdr>
        </w:div>
        <w:div w:id="1352073619">
          <w:marLeft w:val="0"/>
          <w:marRight w:val="0"/>
          <w:marTop w:val="0"/>
          <w:marBottom w:val="0"/>
          <w:divBdr>
            <w:top w:val="none" w:sz="0" w:space="0" w:color="auto"/>
            <w:left w:val="none" w:sz="0" w:space="0" w:color="auto"/>
            <w:bottom w:val="none" w:sz="0" w:space="0" w:color="auto"/>
            <w:right w:val="none" w:sz="0" w:space="0" w:color="auto"/>
          </w:divBdr>
        </w:div>
        <w:div w:id="689988643">
          <w:marLeft w:val="0"/>
          <w:marRight w:val="0"/>
          <w:marTop w:val="0"/>
          <w:marBottom w:val="0"/>
          <w:divBdr>
            <w:top w:val="none" w:sz="0" w:space="0" w:color="auto"/>
            <w:left w:val="none" w:sz="0" w:space="0" w:color="auto"/>
            <w:bottom w:val="none" w:sz="0" w:space="0" w:color="auto"/>
            <w:right w:val="none" w:sz="0" w:space="0" w:color="auto"/>
          </w:divBdr>
          <w:divsChild>
            <w:div w:id="2111965157">
              <w:marLeft w:val="0"/>
              <w:marRight w:val="0"/>
              <w:marTop w:val="0"/>
              <w:marBottom w:val="0"/>
              <w:divBdr>
                <w:top w:val="none" w:sz="0" w:space="0" w:color="auto"/>
                <w:left w:val="none" w:sz="0" w:space="0" w:color="auto"/>
                <w:bottom w:val="none" w:sz="0" w:space="0" w:color="auto"/>
                <w:right w:val="none" w:sz="0" w:space="0" w:color="auto"/>
              </w:divBdr>
            </w:div>
            <w:div w:id="1447041426">
              <w:marLeft w:val="0"/>
              <w:marRight w:val="0"/>
              <w:marTop w:val="0"/>
              <w:marBottom w:val="0"/>
              <w:divBdr>
                <w:top w:val="none" w:sz="0" w:space="0" w:color="auto"/>
                <w:left w:val="none" w:sz="0" w:space="0" w:color="auto"/>
                <w:bottom w:val="none" w:sz="0" w:space="0" w:color="auto"/>
                <w:right w:val="none" w:sz="0" w:space="0" w:color="auto"/>
              </w:divBdr>
            </w:div>
            <w:div w:id="1959600765">
              <w:marLeft w:val="0"/>
              <w:marRight w:val="0"/>
              <w:marTop w:val="0"/>
              <w:marBottom w:val="0"/>
              <w:divBdr>
                <w:top w:val="none" w:sz="0" w:space="0" w:color="auto"/>
                <w:left w:val="none" w:sz="0" w:space="0" w:color="auto"/>
                <w:bottom w:val="none" w:sz="0" w:space="0" w:color="auto"/>
                <w:right w:val="none" w:sz="0" w:space="0" w:color="auto"/>
              </w:divBdr>
            </w:div>
            <w:div w:id="708724249">
              <w:marLeft w:val="0"/>
              <w:marRight w:val="0"/>
              <w:marTop w:val="0"/>
              <w:marBottom w:val="0"/>
              <w:divBdr>
                <w:top w:val="none" w:sz="0" w:space="0" w:color="auto"/>
                <w:left w:val="none" w:sz="0" w:space="0" w:color="auto"/>
                <w:bottom w:val="none" w:sz="0" w:space="0" w:color="auto"/>
                <w:right w:val="none" w:sz="0" w:space="0" w:color="auto"/>
              </w:divBdr>
            </w:div>
            <w:div w:id="1225681360">
              <w:marLeft w:val="0"/>
              <w:marRight w:val="0"/>
              <w:marTop w:val="0"/>
              <w:marBottom w:val="0"/>
              <w:divBdr>
                <w:top w:val="none" w:sz="0" w:space="0" w:color="auto"/>
                <w:left w:val="none" w:sz="0" w:space="0" w:color="auto"/>
                <w:bottom w:val="none" w:sz="0" w:space="0" w:color="auto"/>
                <w:right w:val="none" w:sz="0" w:space="0" w:color="auto"/>
              </w:divBdr>
            </w:div>
            <w:div w:id="1701129638">
              <w:marLeft w:val="0"/>
              <w:marRight w:val="0"/>
              <w:marTop w:val="0"/>
              <w:marBottom w:val="0"/>
              <w:divBdr>
                <w:top w:val="none" w:sz="0" w:space="0" w:color="auto"/>
                <w:left w:val="none" w:sz="0" w:space="0" w:color="auto"/>
                <w:bottom w:val="none" w:sz="0" w:space="0" w:color="auto"/>
                <w:right w:val="none" w:sz="0" w:space="0" w:color="auto"/>
              </w:divBdr>
            </w:div>
            <w:div w:id="1458450762">
              <w:marLeft w:val="0"/>
              <w:marRight w:val="0"/>
              <w:marTop w:val="0"/>
              <w:marBottom w:val="0"/>
              <w:divBdr>
                <w:top w:val="none" w:sz="0" w:space="0" w:color="auto"/>
                <w:left w:val="none" w:sz="0" w:space="0" w:color="auto"/>
                <w:bottom w:val="none" w:sz="0" w:space="0" w:color="auto"/>
                <w:right w:val="none" w:sz="0" w:space="0" w:color="auto"/>
              </w:divBdr>
            </w:div>
            <w:div w:id="221721803">
              <w:marLeft w:val="0"/>
              <w:marRight w:val="0"/>
              <w:marTop w:val="0"/>
              <w:marBottom w:val="0"/>
              <w:divBdr>
                <w:top w:val="none" w:sz="0" w:space="0" w:color="auto"/>
                <w:left w:val="none" w:sz="0" w:space="0" w:color="auto"/>
                <w:bottom w:val="none" w:sz="0" w:space="0" w:color="auto"/>
                <w:right w:val="none" w:sz="0" w:space="0" w:color="auto"/>
              </w:divBdr>
            </w:div>
            <w:div w:id="1669476630">
              <w:marLeft w:val="0"/>
              <w:marRight w:val="0"/>
              <w:marTop w:val="0"/>
              <w:marBottom w:val="0"/>
              <w:divBdr>
                <w:top w:val="none" w:sz="0" w:space="0" w:color="auto"/>
                <w:left w:val="none" w:sz="0" w:space="0" w:color="auto"/>
                <w:bottom w:val="none" w:sz="0" w:space="0" w:color="auto"/>
                <w:right w:val="none" w:sz="0" w:space="0" w:color="auto"/>
              </w:divBdr>
            </w:div>
            <w:div w:id="525022977">
              <w:marLeft w:val="0"/>
              <w:marRight w:val="0"/>
              <w:marTop w:val="0"/>
              <w:marBottom w:val="0"/>
              <w:divBdr>
                <w:top w:val="none" w:sz="0" w:space="0" w:color="auto"/>
                <w:left w:val="none" w:sz="0" w:space="0" w:color="auto"/>
                <w:bottom w:val="none" w:sz="0" w:space="0" w:color="auto"/>
                <w:right w:val="none" w:sz="0" w:space="0" w:color="auto"/>
              </w:divBdr>
            </w:div>
            <w:div w:id="1241014993">
              <w:marLeft w:val="0"/>
              <w:marRight w:val="0"/>
              <w:marTop w:val="0"/>
              <w:marBottom w:val="0"/>
              <w:divBdr>
                <w:top w:val="none" w:sz="0" w:space="0" w:color="auto"/>
                <w:left w:val="none" w:sz="0" w:space="0" w:color="auto"/>
                <w:bottom w:val="none" w:sz="0" w:space="0" w:color="auto"/>
                <w:right w:val="none" w:sz="0" w:space="0" w:color="auto"/>
              </w:divBdr>
            </w:div>
            <w:div w:id="470371478">
              <w:marLeft w:val="0"/>
              <w:marRight w:val="0"/>
              <w:marTop w:val="0"/>
              <w:marBottom w:val="0"/>
              <w:divBdr>
                <w:top w:val="none" w:sz="0" w:space="0" w:color="auto"/>
                <w:left w:val="none" w:sz="0" w:space="0" w:color="auto"/>
                <w:bottom w:val="none" w:sz="0" w:space="0" w:color="auto"/>
                <w:right w:val="none" w:sz="0" w:space="0" w:color="auto"/>
              </w:divBdr>
            </w:div>
          </w:divsChild>
        </w:div>
        <w:div w:id="979774470">
          <w:marLeft w:val="0"/>
          <w:marRight w:val="0"/>
          <w:marTop w:val="0"/>
          <w:marBottom w:val="0"/>
          <w:divBdr>
            <w:top w:val="none" w:sz="0" w:space="0" w:color="auto"/>
            <w:left w:val="none" w:sz="0" w:space="0" w:color="auto"/>
            <w:bottom w:val="none" w:sz="0" w:space="0" w:color="auto"/>
            <w:right w:val="none" w:sz="0" w:space="0" w:color="auto"/>
          </w:divBdr>
        </w:div>
      </w:divsChild>
    </w:div>
    <w:div w:id="297304047">
      <w:bodyDiv w:val="1"/>
      <w:marLeft w:val="0"/>
      <w:marRight w:val="0"/>
      <w:marTop w:val="0"/>
      <w:marBottom w:val="0"/>
      <w:divBdr>
        <w:top w:val="none" w:sz="0" w:space="0" w:color="auto"/>
        <w:left w:val="none" w:sz="0" w:space="0" w:color="auto"/>
        <w:bottom w:val="none" w:sz="0" w:space="0" w:color="auto"/>
        <w:right w:val="none" w:sz="0" w:space="0" w:color="auto"/>
      </w:divBdr>
    </w:div>
    <w:div w:id="697193980">
      <w:bodyDiv w:val="1"/>
      <w:marLeft w:val="0"/>
      <w:marRight w:val="0"/>
      <w:marTop w:val="0"/>
      <w:marBottom w:val="0"/>
      <w:divBdr>
        <w:top w:val="none" w:sz="0" w:space="0" w:color="auto"/>
        <w:left w:val="none" w:sz="0" w:space="0" w:color="auto"/>
        <w:bottom w:val="none" w:sz="0" w:space="0" w:color="auto"/>
        <w:right w:val="none" w:sz="0" w:space="0" w:color="auto"/>
      </w:divBdr>
      <w:divsChild>
        <w:div w:id="415443345">
          <w:marLeft w:val="0"/>
          <w:marRight w:val="0"/>
          <w:marTop w:val="0"/>
          <w:marBottom w:val="0"/>
          <w:divBdr>
            <w:top w:val="none" w:sz="0" w:space="0" w:color="auto"/>
            <w:left w:val="none" w:sz="0" w:space="0" w:color="auto"/>
            <w:bottom w:val="none" w:sz="0" w:space="0" w:color="auto"/>
            <w:right w:val="none" w:sz="0" w:space="0" w:color="auto"/>
          </w:divBdr>
        </w:div>
      </w:divsChild>
    </w:div>
    <w:div w:id="988560668">
      <w:bodyDiv w:val="1"/>
      <w:marLeft w:val="0"/>
      <w:marRight w:val="0"/>
      <w:marTop w:val="0"/>
      <w:marBottom w:val="0"/>
      <w:divBdr>
        <w:top w:val="none" w:sz="0" w:space="0" w:color="auto"/>
        <w:left w:val="none" w:sz="0" w:space="0" w:color="auto"/>
        <w:bottom w:val="none" w:sz="0" w:space="0" w:color="auto"/>
        <w:right w:val="none" w:sz="0" w:space="0" w:color="auto"/>
      </w:divBdr>
    </w:div>
    <w:div w:id="1026903397">
      <w:bodyDiv w:val="1"/>
      <w:marLeft w:val="0"/>
      <w:marRight w:val="0"/>
      <w:marTop w:val="0"/>
      <w:marBottom w:val="0"/>
      <w:divBdr>
        <w:top w:val="none" w:sz="0" w:space="0" w:color="auto"/>
        <w:left w:val="none" w:sz="0" w:space="0" w:color="auto"/>
        <w:bottom w:val="none" w:sz="0" w:space="0" w:color="auto"/>
        <w:right w:val="none" w:sz="0" w:space="0" w:color="auto"/>
      </w:divBdr>
    </w:div>
    <w:div w:id="1073552974">
      <w:bodyDiv w:val="1"/>
      <w:marLeft w:val="0"/>
      <w:marRight w:val="0"/>
      <w:marTop w:val="0"/>
      <w:marBottom w:val="0"/>
      <w:divBdr>
        <w:top w:val="none" w:sz="0" w:space="0" w:color="auto"/>
        <w:left w:val="none" w:sz="0" w:space="0" w:color="auto"/>
        <w:bottom w:val="none" w:sz="0" w:space="0" w:color="auto"/>
        <w:right w:val="none" w:sz="0" w:space="0" w:color="auto"/>
      </w:divBdr>
      <w:divsChild>
        <w:div w:id="771508935">
          <w:marLeft w:val="0"/>
          <w:marRight w:val="0"/>
          <w:marTop w:val="0"/>
          <w:marBottom w:val="0"/>
          <w:divBdr>
            <w:top w:val="none" w:sz="0" w:space="0" w:color="auto"/>
            <w:left w:val="none" w:sz="0" w:space="0" w:color="auto"/>
            <w:bottom w:val="none" w:sz="0" w:space="0" w:color="auto"/>
            <w:right w:val="none" w:sz="0" w:space="0" w:color="auto"/>
          </w:divBdr>
          <w:divsChild>
            <w:div w:id="2107648596">
              <w:marLeft w:val="0"/>
              <w:marRight w:val="0"/>
              <w:marTop w:val="0"/>
              <w:marBottom w:val="0"/>
              <w:divBdr>
                <w:top w:val="none" w:sz="0" w:space="0" w:color="auto"/>
                <w:left w:val="none" w:sz="0" w:space="0" w:color="auto"/>
                <w:bottom w:val="none" w:sz="0" w:space="0" w:color="auto"/>
                <w:right w:val="none" w:sz="0" w:space="0" w:color="auto"/>
              </w:divBdr>
            </w:div>
            <w:div w:id="1877354466">
              <w:marLeft w:val="0"/>
              <w:marRight w:val="0"/>
              <w:marTop w:val="0"/>
              <w:marBottom w:val="0"/>
              <w:divBdr>
                <w:top w:val="none" w:sz="0" w:space="0" w:color="auto"/>
                <w:left w:val="none" w:sz="0" w:space="0" w:color="auto"/>
                <w:bottom w:val="none" w:sz="0" w:space="0" w:color="auto"/>
                <w:right w:val="none" w:sz="0" w:space="0" w:color="auto"/>
              </w:divBdr>
            </w:div>
            <w:div w:id="158841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946599">
      <w:bodyDiv w:val="1"/>
      <w:marLeft w:val="0"/>
      <w:marRight w:val="0"/>
      <w:marTop w:val="0"/>
      <w:marBottom w:val="0"/>
      <w:divBdr>
        <w:top w:val="none" w:sz="0" w:space="0" w:color="auto"/>
        <w:left w:val="none" w:sz="0" w:space="0" w:color="auto"/>
        <w:bottom w:val="none" w:sz="0" w:space="0" w:color="auto"/>
        <w:right w:val="none" w:sz="0" w:space="0" w:color="auto"/>
      </w:divBdr>
      <w:divsChild>
        <w:div w:id="1194268439">
          <w:marLeft w:val="0"/>
          <w:marRight w:val="0"/>
          <w:marTop w:val="0"/>
          <w:marBottom w:val="0"/>
          <w:divBdr>
            <w:top w:val="none" w:sz="0" w:space="0" w:color="auto"/>
            <w:left w:val="none" w:sz="0" w:space="0" w:color="auto"/>
            <w:bottom w:val="none" w:sz="0" w:space="0" w:color="auto"/>
            <w:right w:val="none" w:sz="0" w:space="0" w:color="auto"/>
          </w:divBdr>
        </w:div>
        <w:div w:id="1794515628">
          <w:marLeft w:val="0"/>
          <w:marRight w:val="0"/>
          <w:marTop w:val="0"/>
          <w:marBottom w:val="0"/>
          <w:divBdr>
            <w:top w:val="none" w:sz="0" w:space="0" w:color="auto"/>
            <w:left w:val="none" w:sz="0" w:space="0" w:color="auto"/>
            <w:bottom w:val="none" w:sz="0" w:space="0" w:color="auto"/>
            <w:right w:val="none" w:sz="0" w:space="0" w:color="auto"/>
          </w:divBdr>
        </w:div>
        <w:div w:id="1473713182">
          <w:marLeft w:val="0"/>
          <w:marRight w:val="0"/>
          <w:marTop w:val="0"/>
          <w:marBottom w:val="0"/>
          <w:divBdr>
            <w:top w:val="none" w:sz="0" w:space="0" w:color="auto"/>
            <w:left w:val="none" w:sz="0" w:space="0" w:color="auto"/>
            <w:bottom w:val="none" w:sz="0" w:space="0" w:color="auto"/>
            <w:right w:val="none" w:sz="0" w:space="0" w:color="auto"/>
          </w:divBdr>
          <w:divsChild>
            <w:div w:id="1079792888">
              <w:marLeft w:val="0"/>
              <w:marRight w:val="0"/>
              <w:marTop w:val="0"/>
              <w:marBottom w:val="0"/>
              <w:divBdr>
                <w:top w:val="none" w:sz="0" w:space="0" w:color="auto"/>
                <w:left w:val="none" w:sz="0" w:space="0" w:color="auto"/>
                <w:bottom w:val="none" w:sz="0" w:space="0" w:color="auto"/>
                <w:right w:val="none" w:sz="0" w:space="0" w:color="auto"/>
              </w:divBdr>
            </w:div>
            <w:div w:id="1598319599">
              <w:marLeft w:val="0"/>
              <w:marRight w:val="0"/>
              <w:marTop w:val="0"/>
              <w:marBottom w:val="0"/>
              <w:divBdr>
                <w:top w:val="none" w:sz="0" w:space="0" w:color="auto"/>
                <w:left w:val="none" w:sz="0" w:space="0" w:color="auto"/>
                <w:bottom w:val="none" w:sz="0" w:space="0" w:color="auto"/>
                <w:right w:val="none" w:sz="0" w:space="0" w:color="auto"/>
              </w:divBdr>
            </w:div>
            <w:div w:id="1570506320">
              <w:marLeft w:val="0"/>
              <w:marRight w:val="0"/>
              <w:marTop w:val="0"/>
              <w:marBottom w:val="0"/>
              <w:divBdr>
                <w:top w:val="none" w:sz="0" w:space="0" w:color="auto"/>
                <w:left w:val="none" w:sz="0" w:space="0" w:color="auto"/>
                <w:bottom w:val="none" w:sz="0" w:space="0" w:color="auto"/>
                <w:right w:val="none" w:sz="0" w:space="0" w:color="auto"/>
              </w:divBdr>
            </w:div>
            <w:div w:id="1201166286">
              <w:marLeft w:val="0"/>
              <w:marRight w:val="0"/>
              <w:marTop w:val="0"/>
              <w:marBottom w:val="0"/>
              <w:divBdr>
                <w:top w:val="none" w:sz="0" w:space="0" w:color="auto"/>
                <w:left w:val="none" w:sz="0" w:space="0" w:color="auto"/>
                <w:bottom w:val="none" w:sz="0" w:space="0" w:color="auto"/>
                <w:right w:val="none" w:sz="0" w:space="0" w:color="auto"/>
              </w:divBdr>
            </w:div>
            <w:div w:id="300160208">
              <w:marLeft w:val="0"/>
              <w:marRight w:val="0"/>
              <w:marTop w:val="0"/>
              <w:marBottom w:val="0"/>
              <w:divBdr>
                <w:top w:val="none" w:sz="0" w:space="0" w:color="auto"/>
                <w:left w:val="none" w:sz="0" w:space="0" w:color="auto"/>
                <w:bottom w:val="none" w:sz="0" w:space="0" w:color="auto"/>
                <w:right w:val="none" w:sz="0" w:space="0" w:color="auto"/>
              </w:divBdr>
            </w:div>
            <w:div w:id="209928487">
              <w:marLeft w:val="0"/>
              <w:marRight w:val="0"/>
              <w:marTop w:val="0"/>
              <w:marBottom w:val="0"/>
              <w:divBdr>
                <w:top w:val="none" w:sz="0" w:space="0" w:color="auto"/>
                <w:left w:val="none" w:sz="0" w:space="0" w:color="auto"/>
                <w:bottom w:val="none" w:sz="0" w:space="0" w:color="auto"/>
                <w:right w:val="none" w:sz="0" w:space="0" w:color="auto"/>
              </w:divBdr>
            </w:div>
            <w:div w:id="163668843">
              <w:marLeft w:val="0"/>
              <w:marRight w:val="0"/>
              <w:marTop w:val="0"/>
              <w:marBottom w:val="0"/>
              <w:divBdr>
                <w:top w:val="none" w:sz="0" w:space="0" w:color="auto"/>
                <w:left w:val="none" w:sz="0" w:space="0" w:color="auto"/>
                <w:bottom w:val="none" w:sz="0" w:space="0" w:color="auto"/>
                <w:right w:val="none" w:sz="0" w:space="0" w:color="auto"/>
              </w:divBdr>
            </w:div>
            <w:div w:id="911045672">
              <w:marLeft w:val="0"/>
              <w:marRight w:val="0"/>
              <w:marTop w:val="0"/>
              <w:marBottom w:val="0"/>
              <w:divBdr>
                <w:top w:val="none" w:sz="0" w:space="0" w:color="auto"/>
                <w:left w:val="none" w:sz="0" w:space="0" w:color="auto"/>
                <w:bottom w:val="none" w:sz="0" w:space="0" w:color="auto"/>
                <w:right w:val="none" w:sz="0" w:space="0" w:color="auto"/>
              </w:divBdr>
            </w:div>
            <w:div w:id="1210844154">
              <w:marLeft w:val="0"/>
              <w:marRight w:val="0"/>
              <w:marTop w:val="0"/>
              <w:marBottom w:val="0"/>
              <w:divBdr>
                <w:top w:val="none" w:sz="0" w:space="0" w:color="auto"/>
                <w:left w:val="none" w:sz="0" w:space="0" w:color="auto"/>
                <w:bottom w:val="none" w:sz="0" w:space="0" w:color="auto"/>
                <w:right w:val="none" w:sz="0" w:space="0" w:color="auto"/>
              </w:divBdr>
            </w:div>
            <w:div w:id="507526175">
              <w:marLeft w:val="0"/>
              <w:marRight w:val="0"/>
              <w:marTop w:val="0"/>
              <w:marBottom w:val="0"/>
              <w:divBdr>
                <w:top w:val="none" w:sz="0" w:space="0" w:color="auto"/>
                <w:left w:val="none" w:sz="0" w:space="0" w:color="auto"/>
                <w:bottom w:val="none" w:sz="0" w:space="0" w:color="auto"/>
                <w:right w:val="none" w:sz="0" w:space="0" w:color="auto"/>
              </w:divBdr>
            </w:div>
            <w:div w:id="2101412215">
              <w:marLeft w:val="0"/>
              <w:marRight w:val="0"/>
              <w:marTop w:val="0"/>
              <w:marBottom w:val="0"/>
              <w:divBdr>
                <w:top w:val="none" w:sz="0" w:space="0" w:color="auto"/>
                <w:left w:val="none" w:sz="0" w:space="0" w:color="auto"/>
                <w:bottom w:val="none" w:sz="0" w:space="0" w:color="auto"/>
                <w:right w:val="none" w:sz="0" w:space="0" w:color="auto"/>
              </w:divBdr>
            </w:div>
            <w:div w:id="1186746676">
              <w:marLeft w:val="0"/>
              <w:marRight w:val="0"/>
              <w:marTop w:val="0"/>
              <w:marBottom w:val="0"/>
              <w:divBdr>
                <w:top w:val="none" w:sz="0" w:space="0" w:color="auto"/>
                <w:left w:val="none" w:sz="0" w:space="0" w:color="auto"/>
                <w:bottom w:val="none" w:sz="0" w:space="0" w:color="auto"/>
                <w:right w:val="none" w:sz="0" w:space="0" w:color="auto"/>
              </w:divBdr>
            </w:div>
          </w:divsChild>
        </w:div>
        <w:div w:id="820465798">
          <w:marLeft w:val="0"/>
          <w:marRight w:val="0"/>
          <w:marTop w:val="0"/>
          <w:marBottom w:val="0"/>
          <w:divBdr>
            <w:top w:val="none" w:sz="0" w:space="0" w:color="auto"/>
            <w:left w:val="none" w:sz="0" w:space="0" w:color="auto"/>
            <w:bottom w:val="none" w:sz="0" w:space="0" w:color="auto"/>
            <w:right w:val="none" w:sz="0" w:space="0" w:color="auto"/>
          </w:divBdr>
        </w:div>
      </w:divsChild>
    </w:div>
    <w:div w:id="1459958098">
      <w:bodyDiv w:val="1"/>
      <w:marLeft w:val="0"/>
      <w:marRight w:val="0"/>
      <w:marTop w:val="0"/>
      <w:marBottom w:val="0"/>
      <w:divBdr>
        <w:top w:val="none" w:sz="0" w:space="0" w:color="auto"/>
        <w:left w:val="none" w:sz="0" w:space="0" w:color="auto"/>
        <w:bottom w:val="none" w:sz="0" w:space="0" w:color="auto"/>
        <w:right w:val="none" w:sz="0" w:space="0" w:color="auto"/>
      </w:divBdr>
      <w:divsChild>
        <w:div w:id="390545161">
          <w:marLeft w:val="0"/>
          <w:marRight w:val="0"/>
          <w:marTop w:val="0"/>
          <w:marBottom w:val="0"/>
          <w:divBdr>
            <w:top w:val="none" w:sz="0" w:space="0" w:color="auto"/>
            <w:left w:val="none" w:sz="0" w:space="0" w:color="auto"/>
            <w:bottom w:val="none" w:sz="0" w:space="0" w:color="auto"/>
            <w:right w:val="none" w:sz="0" w:space="0" w:color="auto"/>
          </w:divBdr>
        </w:div>
      </w:divsChild>
    </w:div>
    <w:div w:id="1525292633">
      <w:bodyDiv w:val="1"/>
      <w:marLeft w:val="0"/>
      <w:marRight w:val="0"/>
      <w:marTop w:val="0"/>
      <w:marBottom w:val="0"/>
      <w:divBdr>
        <w:top w:val="none" w:sz="0" w:space="0" w:color="auto"/>
        <w:left w:val="none" w:sz="0" w:space="0" w:color="auto"/>
        <w:bottom w:val="none" w:sz="0" w:space="0" w:color="auto"/>
        <w:right w:val="none" w:sz="0" w:space="0" w:color="auto"/>
      </w:divBdr>
    </w:div>
    <w:div w:id="1555969601">
      <w:bodyDiv w:val="1"/>
      <w:marLeft w:val="0"/>
      <w:marRight w:val="0"/>
      <w:marTop w:val="0"/>
      <w:marBottom w:val="0"/>
      <w:divBdr>
        <w:top w:val="none" w:sz="0" w:space="0" w:color="auto"/>
        <w:left w:val="none" w:sz="0" w:space="0" w:color="auto"/>
        <w:bottom w:val="none" w:sz="0" w:space="0" w:color="auto"/>
        <w:right w:val="none" w:sz="0" w:space="0" w:color="auto"/>
      </w:divBdr>
    </w:div>
    <w:div w:id="1597515218">
      <w:bodyDiv w:val="1"/>
      <w:marLeft w:val="0"/>
      <w:marRight w:val="0"/>
      <w:marTop w:val="0"/>
      <w:marBottom w:val="0"/>
      <w:divBdr>
        <w:top w:val="none" w:sz="0" w:space="0" w:color="auto"/>
        <w:left w:val="none" w:sz="0" w:space="0" w:color="auto"/>
        <w:bottom w:val="none" w:sz="0" w:space="0" w:color="auto"/>
        <w:right w:val="none" w:sz="0" w:space="0" w:color="auto"/>
      </w:divBdr>
    </w:div>
    <w:div w:id="1671442629">
      <w:bodyDiv w:val="1"/>
      <w:marLeft w:val="0"/>
      <w:marRight w:val="0"/>
      <w:marTop w:val="0"/>
      <w:marBottom w:val="0"/>
      <w:divBdr>
        <w:top w:val="none" w:sz="0" w:space="0" w:color="auto"/>
        <w:left w:val="none" w:sz="0" w:space="0" w:color="auto"/>
        <w:bottom w:val="none" w:sz="0" w:space="0" w:color="auto"/>
        <w:right w:val="none" w:sz="0" w:space="0" w:color="auto"/>
      </w:divBdr>
      <w:divsChild>
        <w:div w:id="170992078">
          <w:marLeft w:val="0"/>
          <w:marRight w:val="0"/>
          <w:marTop w:val="0"/>
          <w:marBottom w:val="0"/>
          <w:divBdr>
            <w:top w:val="none" w:sz="0" w:space="0" w:color="auto"/>
            <w:left w:val="none" w:sz="0" w:space="0" w:color="auto"/>
            <w:bottom w:val="none" w:sz="0" w:space="0" w:color="auto"/>
            <w:right w:val="none" w:sz="0" w:space="0" w:color="auto"/>
          </w:divBdr>
          <w:divsChild>
            <w:div w:id="650718181">
              <w:marLeft w:val="0"/>
              <w:marRight w:val="0"/>
              <w:marTop w:val="0"/>
              <w:marBottom w:val="0"/>
              <w:divBdr>
                <w:top w:val="none" w:sz="0" w:space="0" w:color="auto"/>
                <w:left w:val="none" w:sz="0" w:space="0" w:color="auto"/>
                <w:bottom w:val="none" w:sz="0" w:space="0" w:color="auto"/>
                <w:right w:val="none" w:sz="0" w:space="0" w:color="auto"/>
              </w:divBdr>
            </w:div>
            <w:div w:id="43141690">
              <w:marLeft w:val="0"/>
              <w:marRight w:val="0"/>
              <w:marTop w:val="0"/>
              <w:marBottom w:val="0"/>
              <w:divBdr>
                <w:top w:val="none" w:sz="0" w:space="0" w:color="auto"/>
                <w:left w:val="none" w:sz="0" w:space="0" w:color="auto"/>
                <w:bottom w:val="none" w:sz="0" w:space="0" w:color="auto"/>
                <w:right w:val="none" w:sz="0" w:space="0" w:color="auto"/>
              </w:divBdr>
            </w:div>
            <w:div w:id="194295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854960">
      <w:bodyDiv w:val="1"/>
      <w:marLeft w:val="0"/>
      <w:marRight w:val="0"/>
      <w:marTop w:val="0"/>
      <w:marBottom w:val="0"/>
      <w:divBdr>
        <w:top w:val="none" w:sz="0" w:space="0" w:color="auto"/>
        <w:left w:val="none" w:sz="0" w:space="0" w:color="auto"/>
        <w:bottom w:val="none" w:sz="0" w:space="0" w:color="auto"/>
        <w:right w:val="none" w:sz="0" w:space="0" w:color="auto"/>
      </w:divBdr>
    </w:div>
    <w:div w:id="1982029639">
      <w:bodyDiv w:val="1"/>
      <w:marLeft w:val="0"/>
      <w:marRight w:val="0"/>
      <w:marTop w:val="0"/>
      <w:marBottom w:val="0"/>
      <w:divBdr>
        <w:top w:val="none" w:sz="0" w:space="0" w:color="auto"/>
        <w:left w:val="none" w:sz="0" w:space="0" w:color="auto"/>
        <w:bottom w:val="none" w:sz="0" w:space="0" w:color="auto"/>
        <w:right w:val="none" w:sz="0" w:space="0" w:color="auto"/>
      </w:divBdr>
    </w:div>
    <w:div w:id="2009819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integratedcare/" TargetMode="External"/><Relationship Id="rId18" Type="http://schemas.openxmlformats.org/officeDocument/2006/relationships/hyperlink" Target="https://www.kingsfund.org.uk/publications/community-services-asset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ongtermplan.nhs.uk/" TargetMode="External"/><Relationship Id="rId17" Type="http://schemas.openxmlformats.org/officeDocument/2006/relationships/hyperlink" Target="https://www.gov.uk/guidance/equality-act-2010-guidance" TargetMode="External"/><Relationship Id="rId2" Type="http://schemas.openxmlformats.org/officeDocument/2006/relationships/numbering" Target="numbering.xml"/><Relationship Id="rId16" Type="http://schemas.openxmlformats.org/officeDocument/2006/relationships/hyperlink" Target="https://www.niehs.nih.gov/research/resources/bioethics/whatis/index.cf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sp-uk.net/casp-tools-checklists/" TargetMode="External"/><Relationship Id="rId5" Type="http://schemas.openxmlformats.org/officeDocument/2006/relationships/webSettings" Target="webSettings.xml"/><Relationship Id="rId15" Type="http://schemas.openxmlformats.org/officeDocument/2006/relationships/hyperlink" Target="https://www.nice.org.uk/guidance/ng97" TargetMode="External"/><Relationship Id="rId10" Type="http://schemas.openxmlformats.org/officeDocument/2006/relationships/hyperlink" Target="https://www.alzheimersresearchuk.org"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lzheimers.org.uk/" TargetMode="External"/><Relationship Id="rId14" Type="http://schemas.openxmlformats.org/officeDocument/2006/relationships/hyperlink" Target="https://www.england.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859D6-794F-41CA-9D63-B50DB90DB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2419</TotalTime>
  <Pages>11</Pages>
  <Words>3115</Words>
  <Characters>17758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Baba Banna</cp:lastModifiedBy>
  <cp:revision>69</cp:revision>
  <dcterms:created xsi:type="dcterms:W3CDTF">2025-07-22T10:34:00Z</dcterms:created>
  <dcterms:modified xsi:type="dcterms:W3CDTF">2025-10-18T17:02:00Z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30a6e8da-58ae-417e-883b-9fae8b0cf863</vt:lpwstr>
  </property>
</Properties>
</file>