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C19FC" w14:textId="77777777" w:rsidR="004D4E68" w:rsidRPr="00FA1AF6" w:rsidRDefault="004D4E68" w:rsidP="004D4E68">
      <w:pPr>
        <w:tabs>
          <w:tab w:val="left" w:pos="3168"/>
        </w:tabs>
        <w:jc w:val="center"/>
        <w:rPr>
          <w:rFonts w:cs="Arial"/>
          <w:szCs w:val="24"/>
        </w:rPr>
      </w:pPr>
      <w:bookmarkStart w:id="0" w:name="_Hlk204267940"/>
      <w:bookmarkEnd w:id="0"/>
      <w:r w:rsidRPr="00FA1AF6">
        <w:rPr>
          <w:rFonts w:cs="Arial"/>
          <w:noProof/>
          <w:szCs w:val="24"/>
        </w:rPr>
        <w:drawing>
          <wp:inline distT="0" distB="0" distL="0" distR="0" wp14:anchorId="1C34E0BC" wp14:editId="339E5F78">
            <wp:extent cx="4122420" cy="1367269"/>
            <wp:effectExtent l="0" t="0" r="0" b="444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0069" cy="1373122"/>
                    </a:xfrm>
                    <a:prstGeom prst="rect">
                      <a:avLst/>
                    </a:prstGeom>
                    <a:noFill/>
                  </pic:spPr>
                </pic:pic>
              </a:graphicData>
            </a:graphic>
          </wp:inline>
        </w:drawing>
      </w:r>
    </w:p>
    <w:p w14:paraId="7D3105E2" w14:textId="77777777" w:rsidR="005508F2" w:rsidRDefault="005508F2" w:rsidP="004D4E68">
      <w:pPr>
        <w:jc w:val="center"/>
        <w:rPr>
          <w:rFonts w:cs="Arial"/>
          <w:b/>
          <w:bCs/>
          <w:szCs w:val="24"/>
        </w:rPr>
      </w:pPr>
    </w:p>
    <w:p w14:paraId="5D6DB216" w14:textId="5628FAF9" w:rsidR="004D4E68" w:rsidRDefault="004D4E68" w:rsidP="004D4E68">
      <w:pPr>
        <w:jc w:val="center"/>
        <w:rPr>
          <w:rFonts w:cs="Arial"/>
          <w:b/>
          <w:bCs/>
          <w:szCs w:val="24"/>
        </w:rPr>
      </w:pPr>
      <w:r w:rsidRPr="00FA1AF6">
        <w:rPr>
          <w:rFonts w:cs="Arial"/>
          <w:b/>
          <w:bCs/>
          <w:szCs w:val="24"/>
        </w:rPr>
        <w:t>BA (Hons) Business Management</w:t>
      </w:r>
    </w:p>
    <w:p w14:paraId="5455D227" w14:textId="77777777" w:rsidR="004D4E68" w:rsidRDefault="004D4E68" w:rsidP="004D4E68">
      <w:pPr>
        <w:jc w:val="center"/>
        <w:rPr>
          <w:rFonts w:cs="Arial"/>
          <w:b/>
          <w:bCs/>
          <w:szCs w:val="24"/>
        </w:rPr>
      </w:pPr>
      <w:r w:rsidRPr="003D62D8">
        <w:rPr>
          <w:rFonts w:cs="Arial"/>
          <w:b/>
          <w:bCs/>
          <w:szCs w:val="24"/>
        </w:rPr>
        <w:t xml:space="preserve">Management Accounting for </w:t>
      </w:r>
      <w:r>
        <w:rPr>
          <w:rFonts w:cs="Arial"/>
          <w:b/>
          <w:bCs/>
          <w:szCs w:val="24"/>
        </w:rPr>
        <w:t xml:space="preserve">Managers </w:t>
      </w:r>
      <w:r w:rsidRPr="003D62D8">
        <w:rPr>
          <w:rFonts w:cs="Arial"/>
          <w:b/>
          <w:bCs/>
          <w:szCs w:val="24"/>
        </w:rPr>
        <w:t>LCBB5010</w:t>
      </w:r>
    </w:p>
    <w:p w14:paraId="0E871C34" w14:textId="77777777" w:rsidR="006728E6" w:rsidRDefault="006728E6" w:rsidP="004D4E68">
      <w:pPr>
        <w:jc w:val="center"/>
        <w:rPr>
          <w:rFonts w:cs="Arial"/>
          <w:b/>
          <w:bCs/>
          <w:sz w:val="40"/>
          <w:szCs w:val="40"/>
        </w:rPr>
      </w:pPr>
    </w:p>
    <w:p w14:paraId="081E6888" w14:textId="77777777" w:rsidR="006728E6" w:rsidRDefault="006728E6" w:rsidP="004D4E68">
      <w:pPr>
        <w:jc w:val="center"/>
        <w:rPr>
          <w:rFonts w:cs="Arial"/>
          <w:b/>
          <w:bCs/>
          <w:sz w:val="40"/>
          <w:szCs w:val="40"/>
        </w:rPr>
      </w:pPr>
    </w:p>
    <w:p w14:paraId="49E183ED" w14:textId="7051AB1D" w:rsidR="004D4E68" w:rsidRPr="006728E6" w:rsidRDefault="004D4E68" w:rsidP="004D4E68">
      <w:pPr>
        <w:jc w:val="center"/>
        <w:rPr>
          <w:rFonts w:cs="Arial"/>
          <w:b/>
          <w:bCs/>
          <w:sz w:val="40"/>
          <w:szCs w:val="40"/>
        </w:rPr>
      </w:pPr>
      <w:r w:rsidRPr="006728E6">
        <w:rPr>
          <w:rFonts w:cs="Arial"/>
          <w:b/>
          <w:bCs/>
          <w:sz w:val="40"/>
          <w:szCs w:val="40"/>
        </w:rPr>
        <w:t>Importance of management accounting in decision-making for Rolls-Royce plc</w:t>
      </w:r>
    </w:p>
    <w:p w14:paraId="3505690C" w14:textId="77777777" w:rsidR="004D4E68" w:rsidRPr="006728E6" w:rsidRDefault="004D4E68" w:rsidP="004D4E68">
      <w:pPr>
        <w:rPr>
          <w:rFonts w:cs="Arial"/>
          <w:b/>
          <w:bCs/>
          <w:sz w:val="40"/>
          <w:szCs w:val="40"/>
        </w:rPr>
      </w:pPr>
    </w:p>
    <w:p w14:paraId="61CF35B2" w14:textId="77777777" w:rsidR="004D4E68" w:rsidRDefault="004D4E68" w:rsidP="004D4E68">
      <w:pPr>
        <w:rPr>
          <w:rFonts w:cs="Arial"/>
          <w:b/>
          <w:bCs/>
          <w:szCs w:val="24"/>
        </w:rPr>
      </w:pPr>
    </w:p>
    <w:p w14:paraId="1ECD2B14" w14:textId="77777777" w:rsidR="006728E6" w:rsidRDefault="006728E6" w:rsidP="004D4E68">
      <w:pPr>
        <w:rPr>
          <w:rFonts w:cs="Arial"/>
          <w:b/>
          <w:bCs/>
          <w:szCs w:val="24"/>
        </w:rPr>
      </w:pPr>
    </w:p>
    <w:p w14:paraId="73E0A25B" w14:textId="77777777" w:rsidR="00F87641" w:rsidRDefault="00F87641" w:rsidP="004D4E68">
      <w:pPr>
        <w:rPr>
          <w:rFonts w:cs="Arial"/>
          <w:b/>
          <w:bCs/>
          <w:szCs w:val="24"/>
        </w:rPr>
      </w:pPr>
    </w:p>
    <w:p w14:paraId="172359C8" w14:textId="77777777" w:rsidR="00F87641" w:rsidRDefault="00F87641" w:rsidP="004D4E68">
      <w:pPr>
        <w:rPr>
          <w:rFonts w:cs="Arial"/>
          <w:b/>
          <w:bCs/>
          <w:szCs w:val="24"/>
        </w:rPr>
      </w:pPr>
    </w:p>
    <w:p w14:paraId="7B9E4F5A" w14:textId="77777777" w:rsidR="00F87641" w:rsidRDefault="00F87641" w:rsidP="004D4E68">
      <w:pPr>
        <w:rPr>
          <w:rFonts w:cs="Arial"/>
          <w:b/>
          <w:bCs/>
          <w:szCs w:val="24"/>
        </w:rPr>
      </w:pPr>
    </w:p>
    <w:p w14:paraId="44BB265F" w14:textId="77777777" w:rsidR="00F87641" w:rsidRDefault="00F87641" w:rsidP="004D4E68">
      <w:pPr>
        <w:rPr>
          <w:rFonts w:cs="Arial"/>
          <w:b/>
          <w:bCs/>
          <w:szCs w:val="24"/>
        </w:rPr>
      </w:pPr>
    </w:p>
    <w:p w14:paraId="654BDC7B" w14:textId="03573C91" w:rsidR="004D4E68" w:rsidRDefault="004D4E68" w:rsidP="004D4E68">
      <w:pPr>
        <w:rPr>
          <w:rFonts w:cs="Arial"/>
          <w:b/>
          <w:bCs/>
          <w:szCs w:val="24"/>
        </w:rPr>
      </w:pPr>
      <w:r w:rsidRPr="00FA1AF6">
        <w:rPr>
          <w:rFonts w:cs="Arial"/>
          <w:b/>
          <w:bCs/>
          <w:szCs w:val="24"/>
        </w:rPr>
        <w:t>Student Name:</w:t>
      </w:r>
      <w:r>
        <w:rPr>
          <w:rFonts w:cs="Arial"/>
          <w:b/>
          <w:bCs/>
          <w:szCs w:val="24"/>
        </w:rPr>
        <w:t xml:space="preserve"> </w:t>
      </w:r>
      <w:r>
        <w:rPr>
          <w:rFonts w:cs="Arial"/>
          <w:szCs w:val="24"/>
        </w:rPr>
        <w:t>Constantin Iftimie</w:t>
      </w:r>
    </w:p>
    <w:p w14:paraId="2A564D53" w14:textId="23B9EB84" w:rsidR="004D4E68" w:rsidRPr="00FA1AF6" w:rsidRDefault="004D4E68" w:rsidP="004D4E68">
      <w:pPr>
        <w:rPr>
          <w:rFonts w:cs="Arial"/>
          <w:b/>
          <w:bCs/>
          <w:szCs w:val="24"/>
        </w:rPr>
      </w:pPr>
      <w:r w:rsidRPr="00FA1AF6">
        <w:rPr>
          <w:rFonts w:cs="Arial"/>
          <w:b/>
          <w:bCs/>
          <w:szCs w:val="24"/>
        </w:rPr>
        <w:t>Student Number:</w:t>
      </w:r>
      <w:r>
        <w:rPr>
          <w:rFonts w:cs="Arial"/>
          <w:b/>
          <w:bCs/>
          <w:szCs w:val="24"/>
        </w:rPr>
        <w:t xml:space="preserve"> </w:t>
      </w:r>
      <w:r>
        <w:rPr>
          <w:rFonts w:cs="Arial"/>
          <w:szCs w:val="24"/>
        </w:rPr>
        <w:t>2242919</w:t>
      </w:r>
    </w:p>
    <w:p w14:paraId="4BE13F8B" w14:textId="77777777" w:rsidR="004D4E68" w:rsidRPr="00903F51" w:rsidRDefault="004D4E68" w:rsidP="004D4E68">
      <w:pPr>
        <w:rPr>
          <w:rFonts w:cs="Arial"/>
          <w:szCs w:val="24"/>
        </w:rPr>
      </w:pPr>
      <w:r w:rsidRPr="00FA1AF6">
        <w:rPr>
          <w:rFonts w:cs="Arial"/>
          <w:b/>
          <w:bCs/>
          <w:szCs w:val="24"/>
        </w:rPr>
        <w:t xml:space="preserve">Lecturer Name: </w:t>
      </w:r>
      <w:r>
        <w:rPr>
          <w:rFonts w:cs="Arial"/>
          <w:szCs w:val="24"/>
        </w:rPr>
        <w:t>Dr</w:t>
      </w:r>
      <w:r w:rsidRPr="004F7760">
        <w:rPr>
          <w:rFonts w:cs="Arial"/>
          <w:szCs w:val="24"/>
        </w:rPr>
        <w:t xml:space="preserve"> Zainab Atta</w:t>
      </w:r>
    </w:p>
    <w:p w14:paraId="1B4FA1E6" w14:textId="77777777" w:rsidR="004D4E68" w:rsidRDefault="004D4E68" w:rsidP="004D4E68">
      <w:pPr>
        <w:rPr>
          <w:rFonts w:cs="Arial"/>
          <w:b/>
          <w:bCs/>
          <w:szCs w:val="24"/>
        </w:rPr>
      </w:pPr>
    </w:p>
    <w:p w14:paraId="5902A555" w14:textId="77777777" w:rsidR="004D4E68" w:rsidRDefault="004D4E68" w:rsidP="004D4E68">
      <w:pPr>
        <w:rPr>
          <w:rFonts w:cs="Arial"/>
          <w:b/>
          <w:bCs/>
          <w:szCs w:val="24"/>
        </w:rPr>
      </w:pPr>
    </w:p>
    <w:p w14:paraId="4745FBC7" w14:textId="77777777" w:rsidR="004D4E68" w:rsidRDefault="004D4E68" w:rsidP="004D4E68">
      <w:pPr>
        <w:rPr>
          <w:rFonts w:cs="Arial"/>
          <w:b/>
          <w:bCs/>
          <w:szCs w:val="24"/>
        </w:rPr>
      </w:pPr>
    </w:p>
    <w:p w14:paraId="62D8EB77" w14:textId="77777777" w:rsidR="004D4E68" w:rsidRDefault="004D4E68" w:rsidP="004D4E68">
      <w:pPr>
        <w:jc w:val="center"/>
        <w:rPr>
          <w:rFonts w:cs="Arial"/>
          <w:szCs w:val="24"/>
        </w:rPr>
      </w:pPr>
      <w:r w:rsidRPr="00FA1AF6">
        <w:rPr>
          <w:rFonts w:cs="Arial"/>
          <w:b/>
          <w:bCs/>
          <w:szCs w:val="24"/>
        </w:rPr>
        <w:t>Session</w:t>
      </w:r>
      <w:r w:rsidRPr="00FA1AF6">
        <w:rPr>
          <w:rFonts w:cs="Arial"/>
          <w:szCs w:val="24"/>
        </w:rPr>
        <w:t xml:space="preserve">: </w:t>
      </w:r>
      <w:r>
        <w:rPr>
          <w:rFonts w:cs="Arial"/>
          <w:szCs w:val="24"/>
        </w:rPr>
        <w:t>February</w:t>
      </w:r>
      <w:r w:rsidRPr="00FA1AF6">
        <w:rPr>
          <w:rFonts w:cs="Arial"/>
          <w:szCs w:val="24"/>
        </w:rPr>
        <w:t xml:space="preserve"> 202</w:t>
      </w:r>
      <w:r>
        <w:rPr>
          <w:rFonts w:cs="Arial"/>
          <w:szCs w:val="24"/>
        </w:rPr>
        <w:t>6</w:t>
      </w:r>
      <w:r w:rsidRPr="00FA1AF6">
        <w:rPr>
          <w:rFonts w:cs="Arial"/>
          <w:szCs w:val="24"/>
        </w:rPr>
        <w:t xml:space="preserve"> Term</w:t>
      </w:r>
      <w:r>
        <w:rPr>
          <w:rFonts w:cs="Arial"/>
          <w:szCs w:val="24"/>
        </w:rPr>
        <w:t xml:space="preserve"> 3</w:t>
      </w:r>
    </w:p>
    <w:p w14:paraId="642A6906" w14:textId="77777777" w:rsidR="006D7719" w:rsidRDefault="006D7719" w:rsidP="004D4E68">
      <w:pPr>
        <w:jc w:val="center"/>
        <w:rPr>
          <w:rFonts w:cs="Arial"/>
          <w:szCs w:val="24"/>
        </w:rPr>
      </w:pPr>
    </w:p>
    <w:p w14:paraId="04C37EEE" w14:textId="77777777" w:rsidR="00C63927" w:rsidRDefault="00C63927" w:rsidP="004D4E68">
      <w:pPr>
        <w:jc w:val="center"/>
        <w:rPr>
          <w:rFonts w:cs="Arial"/>
          <w:szCs w:val="24"/>
        </w:rPr>
      </w:pPr>
    </w:p>
    <w:p w14:paraId="3C81E675" w14:textId="77777777" w:rsidR="00C63927" w:rsidRDefault="00C63927" w:rsidP="004D4E68">
      <w:pPr>
        <w:jc w:val="center"/>
        <w:rPr>
          <w:rFonts w:cs="Arial"/>
          <w:szCs w:val="24"/>
        </w:rPr>
      </w:pPr>
    </w:p>
    <w:p w14:paraId="36CE1CD5" w14:textId="77777777" w:rsidR="004D4E68" w:rsidRDefault="004D4E68" w:rsidP="004D4E68">
      <w:pPr>
        <w:jc w:val="center"/>
        <w:rPr>
          <w:rFonts w:cs="Arial"/>
          <w:szCs w:val="24"/>
        </w:rPr>
      </w:pPr>
    </w:p>
    <w:sdt>
      <w:sdtPr>
        <w:rPr>
          <w:rFonts w:ascii="Arial" w:eastAsia="Times New Roman" w:hAnsi="Arial" w:cstheme="minorBidi"/>
          <w:color w:val="auto"/>
          <w:sz w:val="24"/>
          <w:szCs w:val="22"/>
        </w:rPr>
        <w:id w:val="1703677950"/>
        <w:docPartObj>
          <w:docPartGallery w:val="Table of Contents"/>
          <w:docPartUnique/>
        </w:docPartObj>
      </w:sdtPr>
      <w:sdtEndPr>
        <w:rPr>
          <w:b/>
          <w:bCs/>
          <w:noProof/>
        </w:rPr>
      </w:sdtEndPr>
      <w:sdtContent>
        <w:p w14:paraId="07ECF99E" w14:textId="22CD230E" w:rsidR="006D7719" w:rsidRPr="006D7719" w:rsidRDefault="006D7719" w:rsidP="006D7719">
          <w:pPr>
            <w:pStyle w:val="TOCHeading"/>
            <w:jc w:val="center"/>
            <w:rPr>
              <w:rFonts w:ascii="Arial" w:hAnsi="Arial" w:cs="Arial"/>
              <w:color w:val="auto"/>
            </w:rPr>
          </w:pPr>
          <w:r w:rsidRPr="006D7719">
            <w:rPr>
              <w:rFonts w:ascii="Arial" w:hAnsi="Arial" w:cs="Arial"/>
              <w:color w:val="auto"/>
            </w:rPr>
            <w:t>Contents</w:t>
          </w:r>
        </w:p>
        <w:p w14:paraId="29108DF8" w14:textId="6C7C5015" w:rsidR="00FF047A" w:rsidRDefault="006D7719">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25592920" w:history="1">
            <w:r w:rsidR="00FF047A" w:rsidRPr="005E2CAA">
              <w:rPr>
                <w:rStyle w:val="Hyperlink"/>
                <w:noProof/>
              </w:rPr>
              <w:t>1. Introduction</w:t>
            </w:r>
            <w:r w:rsidR="00FF047A">
              <w:rPr>
                <w:noProof/>
                <w:webHidden/>
              </w:rPr>
              <w:tab/>
            </w:r>
            <w:r w:rsidR="00FF047A">
              <w:rPr>
                <w:noProof/>
                <w:webHidden/>
              </w:rPr>
              <w:fldChar w:fldCharType="begin"/>
            </w:r>
            <w:r w:rsidR="00FF047A">
              <w:rPr>
                <w:noProof/>
                <w:webHidden/>
              </w:rPr>
              <w:instrText xml:space="preserve"> PAGEREF _Toc225592920 \h </w:instrText>
            </w:r>
            <w:r w:rsidR="00FF047A">
              <w:rPr>
                <w:noProof/>
                <w:webHidden/>
              </w:rPr>
            </w:r>
            <w:r w:rsidR="00FF047A">
              <w:rPr>
                <w:noProof/>
                <w:webHidden/>
              </w:rPr>
              <w:fldChar w:fldCharType="separate"/>
            </w:r>
            <w:r w:rsidR="00FF047A">
              <w:rPr>
                <w:noProof/>
                <w:webHidden/>
              </w:rPr>
              <w:t>3</w:t>
            </w:r>
            <w:r w:rsidR="00FF047A">
              <w:rPr>
                <w:noProof/>
                <w:webHidden/>
              </w:rPr>
              <w:fldChar w:fldCharType="end"/>
            </w:r>
          </w:hyperlink>
        </w:p>
        <w:p w14:paraId="7B2323FA" w14:textId="765ECA4C" w:rsidR="00FF047A" w:rsidRDefault="00FF047A">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5592921" w:history="1">
            <w:r w:rsidRPr="005E2CAA">
              <w:rPr>
                <w:rStyle w:val="Hyperlink"/>
                <w:noProof/>
              </w:rPr>
              <w:t>2. Cost Analysis and Business Model</w:t>
            </w:r>
            <w:r>
              <w:rPr>
                <w:noProof/>
                <w:webHidden/>
              </w:rPr>
              <w:tab/>
            </w:r>
            <w:r>
              <w:rPr>
                <w:noProof/>
                <w:webHidden/>
              </w:rPr>
              <w:fldChar w:fldCharType="begin"/>
            </w:r>
            <w:r>
              <w:rPr>
                <w:noProof/>
                <w:webHidden/>
              </w:rPr>
              <w:instrText xml:space="preserve"> PAGEREF _Toc225592921 \h </w:instrText>
            </w:r>
            <w:r>
              <w:rPr>
                <w:noProof/>
                <w:webHidden/>
              </w:rPr>
            </w:r>
            <w:r>
              <w:rPr>
                <w:noProof/>
                <w:webHidden/>
              </w:rPr>
              <w:fldChar w:fldCharType="separate"/>
            </w:r>
            <w:r>
              <w:rPr>
                <w:noProof/>
                <w:webHidden/>
              </w:rPr>
              <w:t>3</w:t>
            </w:r>
            <w:r>
              <w:rPr>
                <w:noProof/>
                <w:webHidden/>
              </w:rPr>
              <w:fldChar w:fldCharType="end"/>
            </w:r>
          </w:hyperlink>
        </w:p>
        <w:p w14:paraId="0E283991" w14:textId="33318F58" w:rsidR="00FF047A" w:rsidRDefault="00FF047A">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5592922" w:history="1">
            <w:r w:rsidRPr="005E2CAA">
              <w:rPr>
                <w:rStyle w:val="Hyperlink"/>
                <w:noProof/>
              </w:rPr>
              <w:t>3. Budgeting and Financial Planning</w:t>
            </w:r>
            <w:r>
              <w:rPr>
                <w:noProof/>
                <w:webHidden/>
              </w:rPr>
              <w:tab/>
            </w:r>
            <w:r>
              <w:rPr>
                <w:noProof/>
                <w:webHidden/>
              </w:rPr>
              <w:fldChar w:fldCharType="begin"/>
            </w:r>
            <w:r>
              <w:rPr>
                <w:noProof/>
                <w:webHidden/>
              </w:rPr>
              <w:instrText xml:space="preserve"> PAGEREF _Toc225592922 \h </w:instrText>
            </w:r>
            <w:r>
              <w:rPr>
                <w:noProof/>
                <w:webHidden/>
              </w:rPr>
            </w:r>
            <w:r>
              <w:rPr>
                <w:noProof/>
                <w:webHidden/>
              </w:rPr>
              <w:fldChar w:fldCharType="separate"/>
            </w:r>
            <w:r>
              <w:rPr>
                <w:noProof/>
                <w:webHidden/>
              </w:rPr>
              <w:t>5</w:t>
            </w:r>
            <w:r>
              <w:rPr>
                <w:noProof/>
                <w:webHidden/>
              </w:rPr>
              <w:fldChar w:fldCharType="end"/>
            </w:r>
          </w:hyperlink>
        </w:p>
        <w:p w14:paraId="38351A03" w14:textId="4A9E80EE" w:rsidR="00FF047A" w:rsidRDefault="00FF047A">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5592923" w:history="1">
            <w:r w:rsidRPr="005E2CAA">
              <w:rPr>
                <w:rStyle w:val="Hyperlink"/>
                <w:noProof/>
              </w:rPr>
              <w:t>4. Performance Measurement and Decision-Making</w:t>
            </w:r>
            <w:r>
              <w:rPr>
                <w:noProof/>
                <w:webHidden/>
              </w:rPr>
              <w:tab/>
            </w:r>
            <w:r>
              <w:rPr>
                <w:noProof/>
                <w:webHidden/>
              </w:rPr>
              <w:fldChar w:fldCharType="begin"/>
            </w:r>
            <w:r>
              <w:rPr>
                <w:noProof/>
                <w:webHidden/>
              </w:rPr>
              <w:instrText xml:space="preserve"> PAGEREF _Toc225592923 \h </w:instrText>
            </w:r>
            <w:r>
              <w:rPr>
                <w:noProof/>
                <w:webHidden/>
              </w:rPr>
            </w:r>
            <w:r>
              <w:rPr>
                <w:noProof/>
                <w:webHidden/>
              </w:rPr>
              <w:fldChar w:fldCharType="separate"/>
            </w:r>
            <w:r>
              <w:rPr>
                <w:noProof/>
                <w:webHidden/>
              </w:rPr>
              <w:t>5</w:t>
            </w:r>
            <w:r>
              <w:rPr>
                <w:noProof/>
                <w:webHidden/>
              </w:rPr>
              <w:fldChar w:fldCharType="end"/>
            </w:r>
          </w:hyperlink>
        </w:p>
        <w:p w14:paraId="6833B09E" w14:textId="4C6D96AF" w:rsidR="00FF047A" w:rsidRDefault="00FF047A">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5592924" w:history="1">
            <w:r w:rsidRPr="005E2CAA">
              <w:rPr>
                <w:rStyle w:val="Hyperlink"/>
                <w:noProof/>
              </w:rPr>
              <w:t>5. Sustainability and Ethical Considerations</w:t>
            </w:r>
            <w:r>
              <w:rPr>
                <w:noProof/>
                <w:webHidden/>
              </w:rPr>
              <w:tab/>
            </w:r>
            <w:r>
              <w:rPr>
                <w:noProof/>
                <w:webHidden/>
              </w:rPr>
              <w:fldChar w:fldCharType="begin"/>
            </w:r>
            <w:r>
              <w:rPr>
                <w:noProof/>
                <w:webHidden/>
              </w:rPr>
              <w:instrText xml:space="preserve"> PAGEREF _Toc225592924 \h </w:instrText>
            </w:r>
            <w:r>
              <w:rPr>
                <w:noProof/>
                <w:webHidden/>
              </w:rPr>
            </w:r>
            <w:r>
              <w:rPr>
                <w:noProof/>
                <w:webHidden/>
              </w:rPr>
              <w:fldChar w:fldCharType="separate"/>
            </w:r>
            <w:r>
              <w:rPr>
                <w:noProof/>
                <w:webHidden/>
              </w:rPr>
              <w:t>7</w:t>
            </w:r>
            <w:r>
              <w:rPr>
                <w:noProof/>
                <w:webHidden/>
              </w:rPr>
              <w:fldChar w:fldCharType="end"/>
            </w:r>
          </w:hyperlink>
        </w:p>
        <w:p w14:paraId="220B7AD6" w14:textId="1A61F03E" w:rsidR="00FF047A" w:rsidRDefault="00FF047A">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5592925" w:history="1">
            <w:r w:rsidRPr="005E2CAA">
              <w:rPr>
                <w:rStyle w:val="Hyperlink"/>
                <w:noProof/>
              </w:rPr>
              <w:t>6. Conclusion and Recommendations</w:t>
            </w:r>
            <w:r>
              <w:rPr>
                <w:noProof/>
                <w:webHidden/>
              </w:rPr>
              <w:tab/>
            </w:r>
            <w:r>
              <w:rPr>
                <w:noProof/>
                <w:webHidden/>
              </w:rPr>
              <w:fldChar w:fldCharType="begin"/>
            </w:r>
            <w:r>
              <w:rPr>
                <w:noProof/>
                <w:webHidden/>
              </w:rPr>
              <w:instrText xml:space="preserve"> PAGEREF _Toc225592925 \h </w:instrText>
            </w:r>
            <w:r>
              <w:rPr>
                <w:noProof/>
                <w:webHidden/>
              </w:rPr>
            </w:r>
            <w:r>
              <w:rPr>
                <w:noProof/>
                <w:webHidden/>
              </w:rPr>
              <w:fldChar w:fldCharType="separate"/>
            </w:r>
            <w:r>
              <w:rPr>
                <w:noProof/>
                <w:webHidden/>
              </w:rPr>
              <w:t>8</w:t>
            </w:r>
            <w:r>
              <w:rPr>
                <w:noProof/>
                <w:webHidden/>
              </w:rPr>
              <w:fldChar w:fldCharType="end"/>
            </w:r>
          </w:hyperlink>
        </w:p>
        <w:p w14:paraId="2D742AA0" w14:textId="4A57ED3C" w:rsidR="00FF047A" w:rsidRDefault="00FF047A">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5592926" w:history="1">
            <w:r w:rsidRPr="005E2CAA">
              <w:rPr>
                <w:rStyle w:val="Hyperlink"/>
                <w:noProof/>
              </w:rPr>
              <w:t>References</w:t>
            </w:r>
            <w:r>
              <w:rPr>
                <w:noProof/>
                <w:webHidden/>
              </w:rPr>
              <w:tab/>
            </w:r>
            <w:r>
              <w:rPr>
                <w:noProof/>
                <w:webHidden/>
              </w:rPr>
              <w:fldChar w:fldCharType="begin"/>
            </w:r>
            <w:r>
              <w:rPr>
                <w:noProof/>
                <w:webHidden/>
              </w:rPr>
              <w:instrText xml:space="preserve"> PAGEREF _Toc225592926 \h </w:instrText>
            </w:r>
            <w:r>
              <w:rPr>
                <w:noProof/>
                <w:webHidden/>
              </w:rPr>
            </w:r>
            <w:r>
              <w:rPr>
                <w:noProof/>
                <w:webHidden/>
              </w:rPr>
              <w:fldChar w:fldCharType="separate"/>
            </w:r>
            <w:r>
              <w:rPr>
                <w:noProof/>
                <w:webHidden/>
              </w:rPr>
              <w:t>9</w:t>
            </w:r>
            <w:r>
              <w:rPr>
                <w:noProof/>
                <w:webHidden/>
              </w:rPr>
              <w:fldChar w:fldCharType="end"/>
            </w:r>
          </w:hyperlink>
        </w:p>
        <w:p w14:paraId="2930D8DF" w14:textId="5C940F85" w:rsidR="006D7719" w:rsidRDefault="006D7719">
          <w:r>
            <w:rPr>
              <w:b/>
              <w:bCs/>
              <w:noProof/>
            </w:rPr>
            <w:fldChar w:fldCharType="end"/>
          </w:r>
        </w:p>
      </w:sdtContent>
    </w:sdt>
    <w:p w14:paraId="0E209DB5" w14:textId="77777777" w:rsidR="004D4E68" w:rsidRDefault="004D4E68" w:rsidP="004D4E68">
      <w:pPr>
        <w:pStyle w:val="Heading1"/>
      </w:pPr>
    </w:p>
    <w:p w14:paraId="5338EF13" w14:textId="77777777" w:rsidR="004D4E68" w:rsidRDefault="004D4E68" w:rsidP="004D4E68">
      <w:pPr>
        <w:pStyle w:val="Heading1"/>
      </w:pPr>
    </w:p>
    <w:p w14:paraId="74672797" w14:textId="77777777" w:rsidR="004D4E68" w:rsidRDefault="004D4E68" w:rsidP="004D4E68">
      <w:pPr>
        <w:pStyle w:val="Heading1"/>
      </w:pPr>
    </w:p>
    <w:p w14:paraId="65F175BB" w14:textId="77777777" w:rsidR="004D4E68" w:rsidRDefault="004D4E68" w:rsidP="004D4E68">
      <w:pPr>
        <w:pStyle w:val="Heading1"/>
      </w:pPr>
    </w:p>
    <w:p w14:paraId="2491AC67" w14:textId="77777777" w:rsidR="004D4E68" w:rsidRDefault="004D4E68" w:rsidP="004D4E68">
      <w:pPr>
        <w:pStyle w:val="Heading1"/>
      </w:pPr>
    </w:p>
    <w:p w14:paraId="3BDA5A4E" w14:textId="77777777" w:rsidR="004D4E68" w:rsidRDefault="004D4E68" w:rsidP="004D4E68">
      <w:pPr>
        <w:pStyle w:val="Heading1"/>
      </w:pPr>
    </w:p>
    <w:p w14:paraId="70B490EF" w14:textId="77777777" w:rsidR="004D4E68" w:rsidRDefault="004D4E68" w:rsidP="004D4E68">
      <w:pPr>
        <w:pStyle w:val="Heading1"/>
      </w:pPr>
    </w:p>
    <w:p w14:paraId="06D7AAA0" w14:textId="77777777" w:rsidR="008F42B8" w:rsidRDefault="008F42B8" w:rsidP="006D7719">
      <w:pPr>
        <w:rPr>
          <w:lang w:val="en-GB"/>
        </w:rPr>
      </w:pPr>
    </w:p>
    <w:p w14:paraId="5C8BFA67" w14:textId="77777777" w:rsidR="008F42B8" w:rsidRPr="008F42B8" w:rsidRDefault="008F42B8" w:rsidP="008F42B8">
      <w:pPr>
        <w:pStyle w:val="Heading1"/>
      </w:pPr>
      <w:bookmarkStart w:id="1" w:name="_Toc225592920"/>
      <w:r w:rsidRPr="008F42B8">
        <w:rPr>
          <w:rFonts w:eastAsia="Times New Roman"/>
        </w:rPr>
        <w:lastRenderedPageBreak/>
        <w:t>1. Introduction</w:t>
      </w:r>
      <w:bookmarkEnd w:id="1"/>
    </w:p>
    <w:p w14:paraId="00E6D341" w14:textId="565165D1" w:rsidR="00EB26E7" w:rsidRPr="00EB26E7" w:rsidRDefault="00457C48" w:rsidP="00EB26E7">
      <w:r>
        <w:t xml:space="preserve">Rolls-Royce Holdings plc, listed in the UK, operates in aerospace and </w:t>
      </w:r>
      <w:proofErr w:type="spellStart"/>
      <w:r w:rsidR="00BF517C">
        <w:t>defence</w:t>
      </w:r>
      <w:proofErr w:type="spellEnd"/>
      <w:r w:rsidR="00BF517C">
        <w:t xml:space="preserve"> sectors, including Civil Aerospace, </w:t>
      </w:r>
      <w:proofErr w:type="spellStart"/>
      <w:r w:rsidR="00BF517C">
        <w:t>Defence</w:t>
      </w:r>
      <w:proofErr w:type="spellEnd"/>
      <w:r>
        <w:t xml:space="preserve">, Power Systems, and New Markets. Its business approach blends original equipment manufacturing with long-term service agreements, resulting in a revenue model based on lifecycle performance that aligns profitability with long-term results rather than just initial sales (Rolls-Royce Holdings plc, 2025; MarketLine, 2025). In 2024, the firm </w:t>
      </w:r>
      <w:r w:rsidR="00BF517C">
        <w:t>achieved stronger financial results, driven by operational efficiency and commercial strategies; nevertheless, its performance remains highly dependent</w:t>
      </w:r>
      <w:r>
        <w:t xml:space="preserve"> on precise forecasting and strict cost management (Rolls-Royce Holdings plc, 2025).</w:t>
      </w:r>
    </w:p>
    <w:p w14:paraId="3243279A" w14:textId="266B909C" w:rsidR="00EB26E7" w:rsidRPr="00EB26E7" w:rsidRDefault="00457C48" w:rsidP="00EB26E7">
      <w:r>
        <w:t xml:space="preserve">Management accounting is crucial here, </w:t>
      </w:r>
      <w:r w:rsidR="00BF517C">
        <w:t>providing internal financial and non-financial data to support planning, control, and strategic decision-making</w:t>
      </w:r>
      <w:r>
        <w:t xml:space="preserve"> (Atrill and McLaney, 2021; Drury and </w:t>
      </w:r>
      <w:proofErr w:type="spellStart"/>
      <w:r>
        <w:t>Tayles</w:t>
      </w:r>
      <w:proofErr w:type="spellEnd"/>
      <w:r>
        <w:t xml:space="preserve">, 2025). Nonetheless, its effectiveness is limited by uncertainty, especially in long-cycle, capital-heavy industries </w:t>
      </w:r>
      <w:proofErr w:type="gramStart"/>
      <w:r>
        <w:t>where</w:t>
      </w:r>
      <w:proofErr w:type="gramEnd"/>
      <w:r>
        <w:t xml:space="preserve"> estimating costs and predicting demand are inherently difficult.</w:t>
      </w:r>
    </w:p>
    <w:p w14:paraId="55530142" w14:textId="73F38AEF" w:rsidR="00EB26E7" w:rsidRPr="00EB26E7" w:rsidRDefault="00EB26E7" w:rsidP="00EB26E7">
      <w:r>
        <w:t>Rolls-Royce's decision-making is critically evaluated through management accounting's support in cost, budget, performance, and sustainability.</w:t>
      </w:r>
    </w:p>
    <w:p w14:paraId="008B77DD" w14:textId="77777777" w:rsidR="008F42B8" w:rsidRPr="008F42B8" w:rsidRDefault="008F42B8" w:rsidP="008F42B8">
      <w:pPr>
        <w:pStyle w:val="Heading1"/>
      </w:pPr>
      <w:bookmarkStart w:id="2" w:name="_Toc225592921"/>
      <w:r w:rsidRPr="008F42B8">
        <w:rPr>
          <w:rFonts w:eastAsia="Times New Roman"/>
        </w:rPr>
        <w:t>2. Cost Analysis and Business Model</w:t>
      </w:r>
      <w:bookmarkEnd w:id="2"/>
    </w:p>
    <w:p w14:paraId="045EEE78" w14:textId="705581DC" w:rsidR="00484C0A" w:rsidRPr="00484C0A" w:rsidRDefault="00457C48" w:rsidP="00484C0A">
      <w:r>
        <w:t>Cost analysis is vital for decision-making at Rolls-Royce Holdings plc due to its intricate, lifecycle-oriented business model. The company combines original equipment (OE) sales with long-term service agreements (</w:t>
      </w:r>
      <w:r w:rsidR="00BF517C">
        <w:t xml:space="preserve">LTSA), such as </w:t>
      </w:r>
      <w:proofErr w:type="spellStart"/>
      <w:r w:rsidR="00BF517C">
        <w:t>TotalCare</w:t>
      </w:r>
      <w:proofErr w:type="spellEnd"/>
      <w:r w:rsidR="00BF517C">
        <w:t>, in which</w:t>
      </w:r>
      <w:r>
        <w:t xml:space="preserve"> airlines pay based on engine flying hours. This shifts revenue from immediate sales to long-term service provision, necessitating a lifecycle approach to costing and profitability (Rolls-Royce Holdings plc, 2017; Rolls-Royce Holdings plc, 2024b). This strategy reflects a “power-by-the-hour” or “razor-and-blades” model, whereby initial equipment sales may generate modest margins, while ongoing service contracts sustain long-term profitability (Gabelli Funds, 2024).</w:t>
      </w:r>
    </w:p>
    <w:p w14:paraId="48EF146F" w14:textId="77777777" w:rsidR="00484C0A" w:rsidRPr="00484C0A" w:rsidRDefault="00484C0A" w:rsidP="00484C0A">
      <w:r w:rsidRPr="00484C0A">
        <w:t xml:space="preserve">From a management accounting perspective, this model introduces significant challenges. Revenues are recognised over time, while costs are incurred unevenly across the engine lifecycle, creating timing differences between profit and cash flow (Rolls-Royce Holdings plc, n.d.). As a result, managers must rely on forecasting key variables such as engine flying hours, maintenance cycles, inflation, and foreign </w:t>
      </w:r>
      <w:r w:rsidRPr="00484C0A">
        <w:lastRenderedPageBreak/>
        <w:t>exchange rates to ensure contract profitability (Atrill and McLaney, 2021; Drury and Tayles, 2025). However, this reliance on long-term assumptions increases the risk of mispricing contracts and margin erosion if estimates prove inaccurate.</w:t>
      </w:r>
    </w:p>
    <w:p w14:paraId="16EFD1ED" w14:textId="41042FBB" w:rsidR="00484C0A" w:rsidRPr="00484C0A" w:rsidRDefault="00484C0A" w:rsidP="00484C0A">
      <w:r>
        <w:t xml:space="preserve">Rolls-Royce's diversified structure </w:t>
      </w:r>
      <w:r w:rsidRPr="00484C0A">
        <w:t>further complicates cost analysis. Civil Aerospace generates high-margin aftermarket revenues driven by LTSAs, while Defence provides stable, long-term government contracts, and Power Systems operates shorter production cycles (Rolls-Royce Holdings plc, 2025). These differences require tailored costing approaches and performance measures across divisions, highlighting the importance of management accounting in aligning operational decisions with strategic objectives.</w:t>
      </w:r>
    </w:p>
    <w:p w14:paraId="09551E48" w14:textId="77777777" w:rsidR="00484C0A" w:rsidRPr="00484C0A" w:rsidRDefault="00484C0A" w:rsidP="00484C0A">
      <w:r w:rsidRPr="00484C0A">
        <w:t>Cost behaviour is characterised by high fixed costs, including research and development, infrastructure, and engineering capacity, alongside variable costs such as materials and maintenance (Drury and Tayles, 2025). This creates significant operating leverage, meaning that small changes in demand can have a disproportionate impact on profitability. While this enhances returns during periods of growth, it also increases financial risk during downturns.</w:t>
      </w:r>
    </w:p>
    <w:p w14:paraId="217777F1" w14:textId="77777777" w:rsidR="00484C0A" w:rsidRPr="00484C0A" w:rsidRDefault="00484C0A" w:rsidP="00484C0A">
      <w:r w:rsidRPr="00484C0A">
        <w:t>The differences in revenue structure and profitability across divisions are summarised in Table 1.</w:t>
      </w:r>
    </w:p>
    <w:p w14:paraId="7D88796F" w14:textId="7564735D" w:rsidR="00484C0A" w:rsidRPr="00484C0A" w:rsidRDefault="00484C0A" w:rsidP="00484C0A">
      <w:pPr>
        <w:rPr>
          <w:b/>
          <w:bCs/>
        </w:rPr>
      </w:pPr>
    </w:p>
    <w:tbl>
      <w:tblPr>
        <w:tblStyle w:val="TableGrid"/>
        <w:tblW w:w="0" w:type="auto"/>
        <w:jc w:val="center"/>
        <w:tblLook w:val="04A0" w:firstRow="1" w:lastRow="0" w:firstColumn="1" w:lastColumn="0" w:noHBand="0" w:noVBand="1"/>
      </w:tblPr>
      <w:tblGrid>
        <w:gridCol w:w="1371"/>
        <w:gridCol w:w="1666"/>
        <w:gridCol w:w="1485"/>
        <w:gridCol w:w="4494"/>
      </w:tblGrid>
      <w:tr w:rsidR="00484C0A" w:rsidRPr="00484C0A" w14:paraId="1AA7FFD3" w14:textId="77777777" w:rsidTr="00484C0A">
        <w:trPr>
          <w:jc w:val="center"/>
        </w:trPr>
        <w:tc>
          <w:tcPr>
            <w:tcW w:w="0" w:type="auto"/>
            <w:hideMark/>
          </w:tcPr>
          <w:p w14:paraId="77A7A4B6" w14:textId="77777777" w:rsidR="00484C0A" w:rsidRPr="00484C0A" w:rsidRDefault="00484C0A" w:rsidP="00484C0A">
            <w:pPr>
              <w:jc w:val="center"/>
              <w:rPr>
                <w:b/>
                <w:bCs/>
                <w:sz w:val="20"/>
                <w:szCs w:val="20"/>
              </w:rPr>
            </w:pPr>
            <w:r w:rsidRPr="00484C0A">
              <w:rPr>
                <w:b/>
                <w:bCs/>
                <w:sz w:val="20"/>
                <w:szCs w:val="20"/>
              </w:rPr>
              <w:t>Division</w:t>
            </w:r>
          </w:p>
        </w:tc>
        <w:tc>
          <w:tcPr>
            <w:tcW w:w="0" w:type="auto"/>
            <w:hideMark/>
          </w:tcPr>
          <w:p w14:paraId="7566D107" w14:textId="77777777" w:rsidR="00484C0A" w:rsidRPr="00484C0A" w:rsidRDefault="00484C0A" w:rsidP="00484C0A">
            <w:pPr>
              <w:jc w:val="center"/>
              <w:rPr>
                <w:b/>
                <w:bCs/>
                <w:sz w:val="20"/>
                <w:szCs w:val="20"/>
              </w:rPr>
            </w:pPr>
            <w:r w:rsidRPr="00484C0A">
              <w:rPr>
                <w:b/>
                <w:bCs/>
                <w:sz w:val="20"/>
                <w:szCs w:val="20"/>
              </w:rPr>
              <w:t>Underlying Revenue</w:t>
            </w:r>
          </w:p>
        </w:tc>
        <w:tc>
          <w:tcPr>
            <w:tcW w:w="0" w:type="auto"/>
            <w:hideMark/>
          </w:tcPr>
          <w:p w14:paraId="046DDD94" w14:textId="77777777" w:rsidR="00484C0A" w:rsidRPr="00484C0A" w:rsidRDefault="00484C0A" w:rsidP="00484C0A">
            <w:pPr>
              <w:jc w:val="center"/>
              <w:rPr>
                <w:b/>
                <w:bCs/>
                <w:sz w:val="20"/>
                <w:szCs w:val="20"/>
              </w:rPr>
            </w:pPr>
            <w:r w:rsidRPr="00484C0A">
              <w:rPr>
                <w:b/>
                <w:bCs/>
                <w:sz w:val="20"/>
                <w:szCs w:val="20"/>
              </w:rPr>
              <w:t>Operating Margin</w:t>
            </w:r>
          </w:p>
        </w:tc>
        <w:tc>
          <w:tcPr>
            <w:tcW w:w="0" w:type="auto"/>
            <w:hideMark/>
          </w:tcPr>
          <w:p w14:paraId="05DA16C4" w14:textId="77777777" w:rsidR="00484C0A" w:rsidRPr="00484C0A" w:rsidRDefault="00484C0A" w:rsidP="00484C0A">
            <w:pPr>
              <w:jc w:val="center"/>
              <w:rPr>
                <w:b/>
                <w:bCs/>
                <w:sz w:val="20"/>
                <w:szCs w:val="20"/>
              </w:rPr>
            </w:pPr>
            <w:r w:rsidRPr="00484C0A">
              <w:rPr>
                <w:b/>
                <w:bCs/>
                <w:sz w:val="20"/>
                <w:szCs w:val="20"/>
              </w:rPr>
              <w:t>Key Characteristics</w:t>
            </w:r>
          </w:p>
        </w:tc>
      </w:tr>
      <w:tr w:rsidR="00484C0A" w:rsidRPr="00484C0A" w14:paraId="59966024" w14:textId="77777777" w:rsidTr="00484C0A">
        <w:trPr>
          <w:jc w:val="center"/>
        </w:trPr>
        <w:tc>
          <w:tcPr>
            <w:tcW w:w="0" w:type="auto"/>
            <w:hideMark/>
          </w:tcPr>
          <w:p w14:paraId="3A0DF1FB" w14:textId="77777777" w:rsidR="00484C0A" w:rsidRPr="00484C0A" w:rsidRDefault="00484C0A" w:rsidP="00484C0A">
            <w:pPr>
              <w:jc w:val="center"/>
              <w:rPr>
                <w:sz w:val="20"/>
                <w:szCs w:val="20"/>
              </w:rPr>
            </w:pPr>
            <w:r w:rsidRPr="00484C0A">
              <w:rPr>
                <w:sz w:val="20"/>
                <w:szCs w:val="20"/>
              </w:rPr>
              <w:t>Civil Aerospace</w:t>
            </w:r>
          </w:p>
        </w:tc>
        <w:tc>
          <w:tcPr>
            <w:tcW w:w="0" w:type="auto"/>
            <w:hideMark/>
          </w:tcPr>
          <w:p w14:paraId="44090A18" w14:textId="77777777" w:rsidR="00484C0A" w:rsidRPr="00484C0A" w:rsidRDefault="00484C0A" w:rsidP="00484C0A">
            <w:pPr>
              <w:jc w:val="center"/>
              <w:rPr>
                <w:sz w:val="20"/>
                <w:szCs w:val="20"/>
              </w:rPr>
            </w:pPr>
            <w:r w:rsidRPr="00484C0A">
              <w:rPr>
                <w:sz w:val="20"/>
                <w:szCs w:val="20"/>
              </w:rPr>
              <w:t>£9,040m</w:t>
            </w:r>
          </w:p>
        </w:tc>
        <w:tc>
          <w:tcPr>
            <w:tcW w:w="0" w:type="auto"/>
            <w:hideMark/>
          </w:tcPr>
          <w:p w14:paraId="29D50161" w14:textId="77777777" w:rsidR="00484C0A" w:rsidRPr="00484C0A" w:rsidRDefault="00484C0A" w:rsidP="00484C0A">
            <w:pPr>
              <w:jc w:val="center"/>
              <w:rPr>
                <w:sz w:val="20"/>
                <w:szCs w:val="20"/>
              </w:rPr>
            </w:pPr>
            <w:r w:rsidRPr="00484C0A">
              <w:rPr>
                <w:sz w:val="20"/>
                <w:szCs w:val="20"/>
              </w:rPr>
              <w:t>16.6%</w:t>
            </w:r>
          </w:p>
        </w:tc>
        <w:tc>
          <w:tcPr>
            <w:tcW w:w="0" w:type="auto"/>
            <w:hideMark/>
          </w:tcPr>
          <w:p w14:paraId="6BA2A4BA" w14:textId="77777777" w:rsidR="00484C0A" w:rsidRPr="00484C0A" w:rsidRDefault="00484C0A" w:rsidP="00484C0A">
            <w:pPr>
              <w:jc w:val="center"/>
              <w:rPr>
                <w:sz w:val="20"/>
                <w:szCs w:val="20"/>
              </w:rPr>
            </w:pPr>
            <w:r w:rsidRPr="00484C0A">
              <w:rPr>
                <w:sz w:val="20"/>
                <w:szCs w:val="20"/>
              </w:rPr>
              <w:t>LTSA-driven aftermarket revenues; high margins but dependent on engine flying hours</w:t>
            </w:r>
          </w:p>
        </w:tc>
      </w:tr>
      <w:tr w:rsidR="00484C0A" w:rsidRPr="00484C0A" w14:paraId="2F36E931" w14:textId="77777777" w:rsidTr="00484C0A">
        <w:trPr>
          <w:jc w:val="center"/>
        </w:trPr>
        <w:tc>
          <w:tcPr>
            <w:tcW w:w="0" w:type="auto"/>
            <w:hideMark/>
          </w:tcPr>
          <w:p w14:paraId="78F3268F" w14:textId="77777777" w:rsidR="00484C0A" w:rsidRPr="00484C0A" w:rsidRDefault="00484C0A" w:rsidP="00484C0A">
            <w:pPr>
              <w:jc w:val="center"/>
              <w:rPr>
                <w:sz w:val="20"/>
                <w:szCs w:val="20"/>
              </w:rPr>
            </w:pPr>
            <w:r w:rsidRPr="00484C0A">
              <w:rPr>
                <w:sz w:val="20"/>
                <w:szCs w:val="20"/>
              </w:rPr>
              <w:t>Defence</w:t>
            </w:r>
          </w:p>
        </w:tc>
        <w:tc>
          <w:tcPr>
            <w:tcW w:w="0" w:type="auto"/>
            <w:hideMark/>
          </w:tcPr>
          <w:p w14:paraId="231B21DB" w14:textId="77777777" w:rsidR="00484C0A" w:rsidRPr="00484C0A" w:rsidRDefault="00484C0A" w:rsidP="00484C0A">
            <w:pPr>
              <w:jc w:val="center"/>
              <w:rPr>
                <w:sz w:val="20"/>
                <w:szCs w:val="20"/>
              </w:rPr>
            </w:pPr>
            <w:r w:rsidRPr="00484C0A">
              <w:rPr>
                <w:sz w:val="20"/>
                <w:szCs w:val="20"/>
              </w:rPr>
              <w:t>£4,522m</w:t>
            </w:r>
          </w:p>
        </w:tc>
        <w:tc>
          <w:tcPr>
            <w:tcW w:w="0" w:type="auto"/>
            <w:hideMark/>
          </w:tcPr>
          <w:p w14:paraId="62EE833B" w14:textId="77777777" w:rsidR="00484C0A" w:rsidRPr="00484C0A" w:rsidRDefault="00484C0A" w:rsidP="00484C0A">
            <w:pPr>
              <w:jc w:val="center"/>
              <w:rPr>
                <w:sz w:val="20"/>
                <w:szCs w:val="20"/>
              </w:rPr>
            </w:pPr>
            <w:r w:rsidRPr="00484C0A">
              <w:rPr>
                <w:sz w:val="20"/>
                <w:szCs w:val="20"/>
              </w:rPr>
              <w:t>14.2%</w:t>
            </w:r>
          </w:p>
        </w:tc>
        <w:tc>
          <w:tcPr>
            <w:tcW w:w="0" w:type="auto"/>
            <w:hideMark/>
          </w:tcPr>
          <w:p w14:paraId="732D62DF" w14:textId="77777777" w:rsidR="00484C0A" w:rsidRPr="00484C0A" w:rsidRDefault="00484C0A" w:rsidP="00484C0A">
            <w:pPr>
              <w:jc w:val="center"/>
              <w:rPr>
                <w:sz w:val="20"/>
                <w:szCs w:val="20"/>
              </w:rPr>
            </w:pPr>
            <w:r w:rsidRPr="00484C0A">
              <w:rPr>
                <w:sz w:val="20"/>
                <w:szCs w:val="20"/>
              </w:rPr>
              <w:t>Long-term government contracts; stable revenue and lower volatility</w:t>
            </w:r>
          </w:p>
        </w:tc>
      </w:tr>
      <w:tr w:rsidR="00484C0A" w:rsidRPr="00484C0A" w14:paraId="3EBD4548" w14:textId="77777777" w:rsidTr="00484C0A">
        <w:trPr>
          <w:jc w:val="center"/>
        </w:trPr>
        <w:tc>
          <w:tcPr>
            <w:tcW w:w="0" w:type="auto"/>
            <w:hideMark/>
          </w:tcPr>
          <w:p w14:paraId="689CD118" w14:textId="77777777" w:rsidR="00484C0A" w:rsidRPr="00484C0A" w:rsidRDefault="00484C0A" w:rsidP="00484C0A">
            <w:pPr>
              <w:jc w:val="center"/>
              <w:rPr>
                <w:sz w:val="20"/>
                <w:szCs w:val="20"/>
              </w:rPr>
            </w:pPr>
            <w:r w:rsidRPr="00484C0A">
              <w:rPr>
                <w:sz w:val="20"/>
                <w:szCs w:val="20"/>
              </w:rPr>
              <w:t>Power Systems</w:t>
            </w:r>
          </w:p>
        </w:tc>
        <w:tc>
          <w:tcPr>
            <w:tcW w:w="0" w:type="auto"/>
            <w:hideMark/>
          </w:tcPr>
          <w:p w14:paraId="630E6CD1" w14:textId="77777777" w:rsidR="00484C0A" w:rsidRPr="00484C0A" w:rsidRDefault="00484C0A" w:rsidP="00484C0A">
            <w:pPr>
              <w:jc w:val="center"/>
              <w:rPr>
                <w:sz w:val="20"/>
                <w:szCs w:val="20"/>
              </w:rPr>
            </w:pPr>
            <w:r w:rsidRPr="00484C0A">
              <w:rPr>
                <w:sz w:val="20"/>
                <w:szCs w:val="20"/>
              </w:rPr>
              <w:t>£4,271m</w:t>
            </w:r>
          </w:p>
        </w:tc>
        <w:tc>
          <w:tcPr>
            <w:tcW w:w="0" w:type="auto"/>
            <w:hideMark/>
          </w:tcPr>
          <w:p w14:paraId="3B718BBB" w14:textId="77777777" w:rsidR="00484C0A" w:rsidRPr="00484C0A" w:rsidRDefault="00484C0A" w:rsidP="00484C0A">
            <w:pPr>
              <w:jc w:val="center"/>
              <w:rPr>
                <w:sz w:val="20"/>
                <w:szCs w:val="20"/>
              </w:rPr>
            </w:pPr>
            <w:r w:rsidRPr="00484C0A">
              <w:rPr>
                <w:sz w:val="20"/>
                <w:szCs w:val="20"/>
              </w:rPr>
              <w:t>13.1%</w:t>
            </w:r>
          </w:p>
        </w:tc>
        <w:tc>
          <w:tcPr>
            <w:tcW w:w="0" w:type="auto"/>
            <w:hideMark/>
          </w:tcPr>
          <w:p w14:paraId="0E0A5DCD" w14:textId="77777777" w:rsidR="00484C0A" w:rsidRPr="00484C0A" w:rsidRDefault="00484C0A" w:rsidP="00484C0A">
            <w:pPr>
              <w:jc w:val="center"/>
              <w:rPr>
                <w:sz w:val="20"/>
                <w:szCs w:val="20"/>
              </w:rPr>
            </w:pPr>
            <w:r w:rsidRPr="00484C0A">
              <w:rPr>
                <w:sz w:val="20"/>
                <w:szCs w:val="20"/>
              </w:rPr>
              <w:t>Shorter production cycles; higher working capital requirements</w:t>
            </w:r>
          </w:p>
        </w:tc>
      </w:tr>
      <w:tr w:rsidR="00484C0A" w:rsidRPr="00484C0A" w14:paraId="2AF0B156" w14:textId="77777777" w:rsidTr="00484C0A">
        <w:trPr>
          <w:jc w:val="center"/>
        </w:trPr>
        <w:tc>
          <w:tcPr>
            <w:tcW w:w="0" w:type="auto"/>
            <w:hideMark/>
          </w:tcPr>
          <w:p w14:paraId="7E17C3C1" w14:textId="77777777" w:rsidR="00484C0A" w:rsidRPr="00484C0A" w:rsidRDefault="00484C0A" w:rsidP="00484C0A">
            <w:pPr>
              <w:jc w:val="center"/>
              <w:rPr>
                <w:sz w:val="20"/>
                <w:szCs w:val="20"/>
              </w:rPr>
            </w:pPr>
            <w:r w:rsidRPr="00484C0A">
              <w:rPr>
                <w:sz w:val="20"/>
                <w:szCs w:val="20"/>
              </w:rPr>
              <w:t>New Markets</w:t>
            </w:r>
          </w:p>
        </w:tc>
        <w:tc>
          <w:tcPr>
            <w:tcW w:w="0" w:type="auto"/>
            <w:hideMark/>
          </w:tcPr>
          <w:p w14:paraId="70BDB2D4" w14:textId="77777777" w:rsidR="00484C0A" w:rsidRPr="00484C0A" w:rsidRDefault="00484C0A" w:rsidP="00484C0A">
            <w:pPr>
              <w:jc w:val="center"/>
              <w:rPr>
                <w:sz w:val="20"/>
                <w:szCs w:val="20"/>
              </w:rPr>
            </w:pPr>
            <w:r w:rsidRPr="00484C0A">
              <w:rPr>
                <w:sz w:val="20"/>
                <w:szCs w:val="20"/>
              </w:rPr>
              <w:t>£3m</w:t>
            </w:r>
          </w:p>
        </w:tc>
        <w:tc>
          <w:tcPr>
            <w:tcW w:w="0" w:type="auto"/>
            <w:hideMark/>
          </w:tcPr>
          <w:p w14:paraId="388268A0" w14:textId="77777777" w:rsidR="00484C0A" w:rsidRPr="00484C0A" w:rsidRDefault="00484C0A" w:rsidP="00484C0A">
            <w:pPr>
              <w:jc w:val="center"/>
              <w:rPr>
                <w:sz w:val="20"/>
                <w:szCs w:val="20"/>
              </w:rPr>
            </w:pPr>
            <w:r w:rsidRPr="00484C0A">
              <w:rPr>
                <w:sz w:val="20"/>
                <w:szCs w:val="20"/>
              </w:rPr>
              <w:t>Loss (£177m)</w:t>
            </w:r>
          </w:p>
        </w:tc>
        <w:tc>
          <w:tcPr>
            <w:tcW w:w="0" w:type="auto"/>
            <w:hideMark/>
          </w:tcPr>
          <w:p w14:paraId="7DF49478" w14:textId="77777777" w:rsidR="00484C0A" w:rsidRPr="00484C0A" w:rsidRDefault="00484C0A" w:rsidP="00484C0A">
            <w:pPr>
              <w:jc w:val="center"/>
              <w:rPr>
                <w:sz w:val="20"/>
                <w:szCs w:val="20"/>
              </w:rPr>
            </w:pPr>
            <w:r w:rsidRPr="00484C0A">
              <w:rPr>
                <w:sz w:val="20"/>
                <w:szCs w:val="20"/>
              </w:rPr>
              <w:t>Early-stage investments (e.g. SMR); high uncertainty and long payback periods</w:t>
            </w:r>
          </w:p>
        </w:tc>
      </w:tr>
    </w:tbl>
    <w:p w14:paraId="61828BE2" w14:textId="77777777" w:rsidR="00484C0A" w:rsidRDefault="00484C0A" w:rsidP="00484C0A">
      <w:pPr>
        <w:rPr>
          <w:i/>
          <w:iCs/>
          <w:sz w:val="20"/>
          <w:szCs w:val="20"/>
        </w:rPr>
      </w:pPr>
    </w:p>
    <w:p w14:paraId="6ECFFFE3" w14:textId="1684234A" w:rsidR="00484C0A" w:rsidRPr="00484C0A" w:rsidRDefault="00484C0A" w:rsidP="00484C0A">
      <w:pPr>
        <w:jc w:val="center"/>
        <w:rPr>
          <w:i/>
          <w:iCs/>
          <w:sz w:val="20"/>
          <w:szCs w:val="20"/>
        </w:rPr>
      </w:pPr>
      <w:r w:rsidRPr="00484C0A">
        <w:rPr>
          <w:i/>
          <w:iCs/>
          <w:sz w:val="20"/>
          <w:szCs w:val="20"/>
        </w:rPr>
        <w:t>Table 1: 2024 Segment Snapshot</w:t>
      </w:r>
      <w:r>
        <w:rPr>
          <w:i/>
          <w:iCs/>
          <w:sz w:val="20"/>
          <w:szCs w:val="20"/>
        </w:rPr>
        <w:t xml:space="preserve"> - </w:t>
      </w:r>
      <w:r w:rsidRPr="00484C0A">
        <w:rPr>
          <w:i/>
          <w:iCs/>
          <w:sz w:val="20"/>
          <w:szCs w:val="20"/>
        </w:rPr>
        <w:t>Source: Rolls-Royce Holdings plc (2025a)</w:t>
      </w:r>
    </w:p>
    <w:p w14:paraId="3C98AAE4" w14:textId="2E852789" w:rsidR="00484C0A" w:rsidRPr="00484C0A" w:rsidRDefault="00484C0A" w:rsidP="00484C0A"/>
    <w:p w14:paraId="47E0B762" w14:textId="77777777" w:rsidR="00484C0A" w:rsidRPr="00484C0A" w:rsidRDefault="00484C0A" w:rsidP="00484C0A">
      <w:r w:rsidRPr="00484C0A">
        <w:t>Returning to analysis, these structural differences demonstrate that cost analysis cannot be standardised across the organisation. Instead, it must be adapted to reflect varying risk profiles, cost drivers, and revenue timing.</w:t>
      </w:r>
    </w:p>
    <w:p w14:paraId="12E7FA2E" w14:textId="45F3C284" w:rsidR="00484C0A" w:rsidRPr="00484C0A" w:rsidRDefault="00484C0A" w:rsidP="00484C0A">
      <w:r w:rsidRPr="00484C0A">
        <w:lastRenderedPageBreak/>
        <w:t xml:space="preserve">Critically, while cost analysis supports pricing, investment, and operational decisions, its effectiveness is constrained by uncertainty and reliance on assumptions. Therefore, management accounting must incorporate scenario planning and sensitivity analysis to improve </w:t>
      </w:r>
      <w:r w:rsidR="00457C48">
        <w:t xml:space="preserve">the reliability of decision-making </w:t>
      </w:r>
      <w:r w:rsidR="008F552E">
        <w:t>in a complex,</w:t>
      </w:r>
      <w:r w:rsidRPr="00484C0A">
        <w:t xml:space="preserve"> volatile environment.</w:t>
      </w:r>
    </w:p>
    <w:p w14:paraId="0E67E99C" w14:textId="77777777" w:rsidR="008F42B8" w:rsidRPr="008F42B8" w:rsidRDefault="008F42B8" w:rsidP="008F42B8">
      <w:pPr>
        <w:pStyle w:val="Heading1"/>
      </w:pPr>
      <w:bookmarkStart w:id="3" w:name="_Toc225592922"/>
      <w:r w:rsidRPr="008F42B8">
        <w:rPr>
          <w:rFonts w:eastAsia="Times New Roman"/>
        </w:rPr>
        <w:t>3. Budgeting and Financial Planning</w:t>
      </w:r>
      <w:bookmarkEnd w:id="3"/>
    </w:p>
    <w:p w14:paraId="4379C5A9" w14:textId="021CA698" w:rsidR="008F42B8" w:rsidRPr="008F42B8" w:rsidRDefault="008F42B8" w:rsidP="008F42B8">
      <w:pPr>
        <w:rPr>
          <w:lang w:val="en-GB"/>
        </w:rPr>
      </w:pPr>
      <w:r w:rsidRPr="008F42B8">
        <w:rPr>
          <w:lang w:val="en-GB"/>
        </w:rPr>
        <w:t xml:space="preserve">Budgeting translates organisational strategy into operational plans by allocating resources and setting financial targets (Atrill and McLaney, 2021). </w:t>
      </w:r>
      <w:r>
        <w:rPr>
          <w:lang w:val="en-GB"/>
        </w:rPr>
        <w:t>At Rolls-Royce, budgeting is particularly important given</w:t>
      </w:r>
      <w:r w:rsidRPr="008F42B8">
        <w:rPr>
          <w:lang w:val="en-GB"/>
        </w:rPr>
        <w:t xml:space="preserve"> the scale and duration of its programmes.</w:t>
      </w:r>
    </w:p>
    <w:p w14:paraId="31A0C2E1" w14:textId="68A6ED52" w:rsidR="008F42B8" w:rsidRPr="008F42B8" w:rsidRDefault="008F42B8" w:rsidP="008F42B8">
      <w:pPr>
        <w:rPr>
          <w:lang w:val="en-GB"/>
        </w:rPr>
      </w:pPr>
      <w:r w:rsidRPr="008F42B8">
        <w:rPr>
          <w:lang w:val="en-GB"/>
        </w:rPr>
        <w:t xml:space="preserve">The company uses rolling forecasts alongside annual budgets to reflect the dynamic nature of long-term service contracts. These forecasts allow managers to adjust expectations </w:t>
      </w:r>
      <w:r>
        <w:rPr>
          <w:lang w:val="en-GB"/>
        </w:rPr>
        <w:t>in response to</w:t>
      </w:r>
      <w:r w:rsidRPr="008F42B8">
        <w:rPr>
          <w:lang w:val="en-GB"/>
        </w:rPr>
        <w:t xml:space="preserve"> changes in engine usage, maintenance schedules, and cost drivers (Weetman, 2013). Variance analysis further supports decision-making by identifying deviations between planned and actual performance (Drury and Tayles, 2025).</w:t>
      </w:r>
    </w:p>
    <w:p w14:paraId="7F610D72" w14:textId="0C0CB6F9" w:rsidR="008F42B8" w:rsidRPr="008F42B8" w:rsidRDefault="008F42B8" w:rsidP="008F42B8">
      <w:pPr>
        <w:rPr>
          <w:lang w:val="en-GB"/>
        </w:rPr>
      </w:pPr>
      <w:r w:rsidRPr="008F42B8">
        <w:rPr>
          <w:lang w:val="en-GB"/>
        </w:rPr>
        <w:t xml:space="preserve">Divisional budgeting reflects different operational characteristics. Civil Aerospace focuses on engine flying hours and service activity, Defence on programme milestones, and Power Systems on shorter-term production cycles (Rolls-Royce Holdings plc, 2025). This </w:t>
      </w:r>
      <w:r w:rsidR="00DD3CF2">
        <w:rPr>
          <w:lang w:val="en-GB"/>
        </w:rPr>
        <w:t>can lead to</w:t>
      </w:r>
      <w:r w:rsidRPr="008F42B8">
        <w:rPr>
          <w:lang w:val="en-GB"/>
        </w:rPr>
        <w:t xml:space="preserve"> more accurate resource allocation and performance monitoring.</w:t>
      </w:r>
    </w:p>
    <w:p w14:paraId="494DDB34" w14:textId="5CCF0768" w:rsidR="008F42B8" w:rsidRPr="008F42B8" w:rsidRDefault="00457C48" w:rsidP="008F42B8">
      <w:pPr>
        <w:rPr>
          <w:lang w:val="en-GB"/>
        </w:rPr>
      </w:pPr>
      <w:r>
        <w:rPr>
          <w:lang w:val="en-GB"/>
        </w:rPr>
        <w:t xml:space="preserve">Budgeting has its limitations, as it </w:t>
      </w:r>
      <w:r w:rsidR="00BF517C">
        <w:rPr>
          <w:lang w:val="en-GB"/>
        </w:rPr>
        <w:t>relies on assumptions that may not hold under</w:t>
      </w:r>
      <w:r>
        <w:rPr>
          <w:lang w:val="en-GB"/>
        </w:rPr>
        <w:t xml:space="preserve"> future conditions, especially in uncertain environments. Variations in demand, inflation, or supply chain issues can undermine the accuracy of the budget. Additionally, external financial data shows fluctuations in operating costs, </w:t>
      </w:r>
      <w:r w:rsidR="00BF517C">
        <w:rPr>
          <w:lang w:val="en-GB"/>
        </w:rPr>
        <w:t>emphasising</w:t>
      </w:r>
      <w:r>
        <w:rPr>
          <w:lang w:val="en-GB"/>
        </w:rPr>
        <w:t xml:space="preserve"> the need for flexible budgeting and ongoing monitoring in a changing environment (Google Finance, 2026).</w:t>
      </w:r>
    </w:p>
    <w:p w14:paraId="7190CA6E" w14:textId="2E5CE949" w:rsidR="008F42B8" w:rsidRPr="008F42B8" w:rsidRDefault="008F42B8" w:rsidP="008F42B8">
      <w:pPr>
        <w:rPr>
          <w:lang w:val="en-GB"/>
        </w:rPr>
      </w:pPr>
      <w:r w:rsidRPr="008F42B8">
        <w:rPr>
          <w:lang w:val="en-GB"/>
        </w:rPr>
        <w:t xml:space="preserve">To address </w:t>
      </w:r>
      <w:r w:rsidR="00DD3CF2">
        <w:rPr>
          <w:lang w:val="en-GB"/>
        </w:rPr>
        <w:t>it</w:t>
      </w:r>
      <w:r w:rsidRPr="008F42B8">
        <w:rPr>
          <w:lang w:val="en-GB"/>
        </w:rPr>
        <w:t>, Rolls-Royce increasingly adopts flexible budgeting techniques, including rolling forecasts and scenario planning.</w:t>
      </w:r>
      <w:r w:rsidR="00DD3CF2">
        <w:rPr>
          <w:lang w:val="en-GB"/>
        </w:rPr>
        <w:t xml:space="preserve"> I</w:t>
      </w:r>
      <w:r w:rsidRPr="008F42B8">
        <w:rPr>
          <w:lang w:val="en-GB"/>
        </w:rPr>
        <w:t>mprove adaptability and support more effective decision-making in a volatile environment.</w:t>
      </w:r>
    </w:p>
    <w:p w14:paraId="5AB2C0A4" w14:textId="77777777" w:rsidR="008F42B8" w:rsidRPr="008F42B8" w:rsidRDefault="008F42B8" w:rsidP="008F42B8">
      <w:pPr>
        <w:pStyle w:val="Heading1"/>
      </w:pPr>
      <w:bookmarkStart w:id="4" w:name="_Toc225592923"/>
      <w:r w:rsidRPr="008F42B8">
        <w:rPr>
          <w:rFonts w:eastAsia="Times New Roman"/>
        </w:rPr>
        <w:t>4. Performance Measurement and Decision-Making</w:t>
      </w:r>
      <w:bookmarkEnd w:id="4"/>
    </w:p>
    <w:p w14:paraId="78B45602" w14:textId="459284C7" w:rsidR="008F552E" w:rsidRPr="008F552E" w:rsidRDefault="00457C48" w:rsidP="008F552E">
      <w:r>
        <w:t xml:space="preserve">Performance measurement is a crucial aspect of management accounting, allowing </w:t>
      </w:r>
      <w:proofErr w:type="spellStart"/>
      <w:r w:rsidR="00BF517C">
        <w:t>organisations</w:t>
      </w:r>
      <w:proofErr w:type="spellEnd"/>
      <w:r>
        <w:t xml:space="preserve"> to assess whether they are meeting their strategic and operational </w:t>
      </w:r>
      <w:r>
        <w:lastRenderedPageBreak/>
        <w:t xml:space="preserve">goals. This is usually done using a mix of financial and non-financial metrics, offering a more complete picture of how the </w:t>
      </w:r>
      <w:proofErr w:type="spellStart"/>
      <w:r w:rsidR="00BF517C">
        <w:t>organisation</w:t>
      </w:r>
      <w:proofErr w:type="spellEnd"/>
      <w:r>
        <w:t xml:space="preserve"> is performing (Kaplan and Norton, 1996).</w:t>
      </w:r>
    </w:p>
    <w:p w14:paraId="39547F04" w14:textId="5B5A0DC6" w:rsidR="008F552E" w:rsidRPr="008F552E" w:rsidRDefault="008F552E" w:rsidP="008F552E">
      <w:r w:rsidRPr="008F552E">
        <w:t xml:space="preserve">In Rolls-Royce Holdings plc, financial metrics such as operating margin, free cash flow, and return on capital are central to assessing profitability and value creation (Rolls-Royce Holdings plc, 2025a). These indicators support strategic decision-making by informing investment choices, cost control measures, and capital allocation. For example, improvements in operating margin may reflect successful pricing strategies or efficiency gains, while strong free cash flow enables reinvestment and shareholder returns. However, these metrics are inherently </w:t>
      </w:r>
      <w:proofErr w:type="gramStart"/>
      <w:r w:rsidR="00457C48">
        <w:t>backwards-looking</w:t>
      </w:r>
      <w:proofErr w:type="gramEnd"/>
      <w:r w:rsidRPr="008F552E">
        <w:t xml:space="preserve"> and may not fully capture future performance risks.</w:t>
      </w:r>
    </w:p>
    <w:p w14:paraId="799992B1" w14:textId="77777777" w:rsidR="008F552E" w:rsidRPr="008F552E" w:rsidRDefault="008F552E" w:rsidP="008F552E">
      <w:r w:rsidRPr="008F552E">
        <w:t>Non-financial indicators are therefore equally important. Measures such as engine flying hours, reliability, and maintenance efficiency directly influence long-term service revenues under LTSA contracts. For instance, higher engine utilisation increases service income, while improved reliability reduces maintenance costs and strengthens customer relationships (Proactive Investors, 2024). These indicators highlight the strong interdependence between operational performance and financial outcomes within Rolls-Royce’s business model.</w:t>
      </w:r>
    </w:p>
    <w:p w14:paraId="139D9321" w14:textId="0D82E0C7" w:rsidR="008F552E" w:rsidRPr="008F552E" w:rsidRDefault="00457C48" w:rsidP="008F552E">
      <w:r>
        <w:t xml:space="preserve">Integrating financial and non-financial metrics aligns with the Balanced Scorecard framework, connecting short-term performance to long-term strategic goals (Kaplan and Norton, 1996). In this context, measuring performance </w:t>
      </w:r>
      <w:r w:rsidR="00BF517C">
        <w:t>supports decision-making by confirming that operational gains—such as increased engine efficiency or reduced downtime—align with broader</w:t>
      </w:r>
      <w:r>
        <w:t xml:space="preserve"> </w:t>
      </w:r>
      <w:proofErr w:type="spellStart"/>
      <w:r>
        <w:t>organisational</w:t>
      </w:r>
      <w:proofErr w:type="spellEnd"/>
      <w:r>
        <w:t xml:space="preserve"> aims, such as profitability and sustainability.</w:t>
      </w:r>
    </w:p>
    <w:p w14:paraId="1F221229" w14:textId="77777777" w:rsidR="008F552E" w:rsidRPr="008F552E" w:rsidRDefault="008F552E" w:rsidP="008F552E">
      <w:r w:rsidRPr="008F552E">
        <w:t>However, performance measurement systems have significant limitations. Over-reliance on financial metrics can encourage short-termism, potentially undermining long-term value creation. Conversely, non-financial KPIs may be difficult to quantify and can lack standardisation, reducing their reliability. Furthermore, poorly designed or misaligned KPIs can distort managerial behaviour, leading to decisions that optimise specific metrics rather than overall organisational performance.</w:t>
      </w:r>
    </w:p>
    <w:p w14:paraId="791F7912" w14:textId="2DDE6300" w:rsidR="008F552E" w:rsidRPr="008F552E" w:rsidRDefault="00457C48" w:rsidP="008F552E">
      <w:r>
        <w:t xml:space="preserve">The success of performance measurement relies heavily on choosing the right indicators and correctly interpreting and applying them in decision-making. Managers </w:t>
      </w:r>
      <w:r>
        <w:lastRenderedPageBreak/>
        <w:t>need to take a balanced and adaptable approach, integrating quantitative data with their professional judgement.</w:t>
      </w:r>
    </w:p>
    <w:p w14:paraId="4774A0FF" w14:textId="702B8078" w:rsidR="008F552E" w:rsidRPr="008F552E" w:rsidRDefault="008F552E" w:rsidP="008F552E">
      <w:r w:rsidRPr="008F552E">
        <w:t>Overall, performance measurement plays a crucial role in supporting decision-making in Rolls-Royce</w:t>
      </w:r>
      <w:r>
        <w:t>. Still, its</w:t>
      </w:r>
      <w:r w:rsidRPr="008F552E">
        <w:t xml:space="preserve"> value depends on the integration, relevance, and critical use of both financial and non-financial information.</w:t>
      </w:r>
    </w:p>
    <w:p w14:paraId="446C4995" w14:textId="77777777" w:rsidR="008F42B8" w:rsidRPr="008F42B8" w:rsidRDefault="008F42B8" w:rsidP="008F42B8">
      <w:pPr>
        <w:pStyle w:val="Heading1"/>
      </w:pPr>
      <w:bookmarkStart w:id="5" w:name="_Toc225592924"/>
      <w:r w:rsidRPr="008F42B8">
        <w:rPr>
          <w:rFonts w:eastAsia="Times New Roman"/>
        </w:rPr>
        <w:t>5. Sustainability and Ethical Considerations</w:t>
      </w:r>
      <w:bookmarkEnd w:id="5"/>
    </w:p>
    <w:p w14:paraId="608C62B2" w14:textId="77777777" w:rsidR="00B67883" w:rsidRPr="00B67883" w:rsidRDefault="00B67883" w:rsidP="00B67883">
      <w:r w:rsidRPr="00B67883">
        <w:t>Sustainability and ethical considerations are increasingly embedded within management accounting, requiring organisations to extend decision-making beyond purely financial metrics to include environmental and social impacts. In capital-intensive industries such as aerospace, this shift is particularly significant, as long-term investments and product lifecycles amplify the consequences of strategic decisions (Drury and Tayles, 2025).</w:t>
      </w:r>
    </w:p>
    <w:p w14:paraId="04B33184" w14:textId="4BFAB0C3" w:rsidR="00B67883" w:rsidRPr="00B67883" w:rsidRDefault="00457C48" w:rsidP="00B67883">
      <w:r>
        <w:t xml:space="preserve">At Rolls-Royce Holdings plc, sustainability is a core strategic focus, </w:t>
      </w:r>
      <w:r w:rsidR="00BF517C">
        <w:t>driven by regulatory requirements and the environmental impacts</w:t>
      </w:r>
      <w:r>
        <w:t xml:space="preserve"> of aviation. The firm has pledged to cut carbon emissions and invest in advanced, efficient technologies such as next-generation engines and alternative energy sources (Rolls-Royce Holdings plc, 2024c). Management accounting plays a vital role in these efforts by integrating environmental data into investment decisions and performance tracking, helping managers evaluate the balance between financial gains and sustainability goals.</w:t>
      </w:r>
    </w:p>
    <w:p w14:paraId="697F492D" w14:textId="6E7C7B7E" w:rsidR="00B67883" w:rsidRPr="00B67883" w:rsidRDefault="00457C48" w:rsidP="00B67883">
      <w:r>
        <w:t xml:space="preserve">Integrating sustainability into management accounting is challenging </w:t>
      </w:r>
      <w:r w:rsidR="00BF517C">
        <w:t>because quantifying environmental and social impacts is difficult, often relying</w:t>
      </w:r>
      <w:r>
        <w:t xml:space="preserve"> on estimates or proxies. This creates uncertainty in decision-making because managers may find it </w:t>
      </w:r>
      <w:r w:rsidR="00BF517C">
        <w:t>difficult to assess the true costs and benefits of sustainability-related investments accurately</w:t>
      </w:r>
      <w:r>
        <w:t xml:space="preserve">. Additionally, a fundamental conflict exists between </w:t>
      </w:r>
      <w:proofErr w:type="spellStart"/>
      <w:r w:rsidR="00BF517C">
        <w:t>prioritising</w:t>
      </w:r>
      <w:proofErr w:type="spellEnd"/>
      <w:r>
        <w:t xml:space="preserve"> short-term financial results and pursuing long-term environmental objectives. For instance, investing in low-emission technologies might </w:t>
      </w:r>
      <w:r w:rsidR="00BF517C">
        <w:t>initially raise costs, potentially</w:t>
      </w:r>
      <w:r>
        <w:t xml:space="preserve"> impacting profitability and shareholder returns.</w:t>
      </w:r>
    </w:p>
    <w:p w14:paraId="53273457" w14:textId="77777777" w:rsidR="00B67883" w:rsidRPr="00B67883" w:rsidRDefault="00B67883" w:rsidP="00B67883">
      <w:r w:rsidRPr="00B67883">
        <w:t>Critically, there is also a risk that sustainability reporting becomes symbolic rather than substantive. Organisations may prioritise reputational benefits over genuine operational change, leading to “greenwashing” and reducing the reliability of non-financial data used in management accounting. This undermines the effectiveness of sustainability metrics as decision-making tools.</w:t>
      </w:r>
    </w:p>
    <w:p w14:paraId="220FC426" w14:textId="77777777" w:rsidR="00B67883" w:rsidRPr="00B67883" w:rsidRDefault="00B67883" w:rsidP="00B67883">
      <w:r w:rsidRPr="00B67883">
        <w:lastRenderedPageBreak/>
        <w:t>To address these limitations, Rolls-Royce must integrate environmental management accounting (EMA) more effectively into its decision-making processes, including the use of carbon pricing, lifecycle environmental costing, and more transparent reporting frameworks (Oncioiu, 2020).</w:t>
      </w:r>
    </w:p>
    <w:p w14:paraId="51E4B7C7" w14:textId="77777777" w:rsidR="00B67883" w:rsidRPr="00B67883" w:rsidRDefault="00B67883" w:rsidP="00B67883">
      <w:r w:rsidRPr="00B67883">
        <w:t>Overall, while sustainability enhances the scope of management accounting, its effectiveness depends on the accuracy, consistency, and critical application of non-financial information in a complex and uncertain business environment.</w:t>
      </w:r>
    </w:p>
    <w:p w14:paraId="1C61A50A" w14:textId="77777777" w:rsidR="008F42B8" w:rsidRPr="008F42B8" w:rsidRDefault="008F42B8" w:rsidP="008F42B8">
      <w:pPr>
        <w:pStyle w:val="Heading1"/>
      </w:pPr>
      <w:bookmarkStart w:id="6" w:name="_Toc225592925"/>
      <w:r w:rsidRPr="008F42B8">
        <w:rPr>
          <w:rFonts w:eastAsia="Times New Roman"/>
        </w:rPr>
        <w:t>6. Conclusion and Recommendations</w:t>
      </w:r>
      <w:bookmarkEnd w:id="6"/>
    </w:p>
    <w:p w14:paraId="0BB3AD33" w14:textId="76F6F4B2" w:rsidR="00B67883" w:rsidRPr="00B67883" w:rsidRDefault="00457C48" w:rsidP="00B67883">
      <w:r>
        <w:t xml:space="preserve">Management accounting is vital </w:t>
      </w:r>
      <w:r w:rsidR="00BF517C">
        <w:t>to decision-making at Rolls-Royce Holdings plc, particularly in areas such as</w:t>
      </w:r>
      <w:r>
        <w:t xml:space="preserve"> cost analysis, budgeting, and performance evaluation. However, its usefulness is limited by </w:t>
      </w:r>
      <w:r w:rsidR="00BF517C">
        <w:t>its dependence on long-term forecasts, uncertainties in cost estimation</w:t>
      </w:r>
      <w:r>
        <w:t xml:space="preserve">, and difficulties in incorporating non-financial data. Therefore, management accounting should be seen as a helpful framework that needs careful interpretation and judgment, rather than a perfectly accurate decision tool (Drury and </w:t>
      </w:r>
      <w:proofErr w:type="spellStart"/>
      <w:r>
        <w:t>Tayles</w:t>
      </w:r>
      <w:proofErr w:type="spellEnd"/>
      <w:r>
        <w:t>, 2025).</w:t>
      </w:r>
    </w:p>
    <w:p w14:paraId="0708265E" w14:textId="77777777" w:rsidR="00B67883" w:rsidRPr="00B67883" w:rsidRDefault="00B67883" w:rsidP="00B67883">
      <w:r w:rsidRPr="00B67883">
        <w:t>To enhance decision-making, Rolls-Royce should adopt more advanced, data-driven approaches. This includes expanding driver-based forecasting for LTSA contracts, incorporating scenario and sensitivity analysis to manage uncertainty, and strengthening the integration of environmental management accounting into capital investment decisions (Oncioiu, 2020). Additionally, performance measurement systems should be refined to ensure better alignment between financial and operational KPIs.</w:t>
      </w:r>
    </w:p>
    <w:p w14:paraId="5EB49766" w14:textId="77777777" w:rsidR="00B67883" w:rsidRDefault="00B67883" w:rsidP="00B67883">
      <w:r w:rsidRPr="00B67883">
        <w:t>Overall, the value of management accounting lies not in the data itself, but in how effectively it is interpreted within a complex and evolving business environment.</w:t>
      </w:r>
    </w:p>
    <w:p w14:paraId="3F639960" w14:textId="77777777" w:rsidR="00F87641" w:rsidRDefault="00F87641" w:rsidP="00B67883"/>
    <w:p w14:paraId="2BEACA24" w14:textId="77777777" w:rsidR="00F403F3" w:rsidRPr="00B67883" w:rsidRDefault="00F403F3" w:rsidP="00B67883"/>
    <w:p w14:paraId="74A16F77" w14:textId="77777777" w:rsidR="00457C48" w:rsidRDefault="00457C48" w:rsidP="007D300B">
      <w:pPr>
        <w:pStyle w:val="Heading1"/>
      </w:pPr>
    </w:p>
    <w:p w14:paraId="2DEB879A" w14:textId="76B0B876" w:rsidR="007D300B" w:rsidRPr="006D7719" w:rsidRDefault="007D300B" w:rsidP="007D300B">
      <w:pPr>
        <w:pStyle w:val="Heading1"/>
      </w:pPr>
      <w:bookmarkStart w:id="7" w:name="_Toc225592926"/>
      <w:r>
        <w:t>References</w:t>
      </w:r>
      <w:bookmarkEnd w:id="7"/>
    </w:p>
    <w:p w14:paraId="3FBDE155" w14:textId="77777777" w:rsidR="007D300B" w:rsidRPr="007D300B" w:rsidRDefault="007D300B" w:rsidP="007D300B">
      <w:pPr>
        <w:ind w:left="720" w:hanging="720"/>
        <w:rPr>
          <w:lang w:val="en-GB"/>
        </w:rPr>
      </w:pPr>
      <w:r w:rsidRPr="007D300B">
        <w:rPr>
          <w:lang w:val="en-GB"/>
        </w:rPr>
        <w:t xml:space="preserve">Atrill, P. and McLaney, E. (2021) </w:t>
      </w:r>
      <w:r w:rsidRPr="007D300B">
        <w:rPr>
          <w:i/>
          <w:iCs/>
          <w:lang w:val="en-GB"/>
        </w:rPr>
        <w:t>Management Accounting for Decision Makers</w:t>
      </w:r>
      <w:r w:rsidRPr="007D300B">
        <w:rPr>
          <w:lang w:val="en-GB"/>
        </w:rPr>
        <w:t>. 10th edn. Harlow: Pearson.</w:t>
      </w:r>
    </w:p>
    <w:p w14:paraId="727A512B" w14:textId="77777777" w:rsidR="007D300B" w:rsidRPr="007D300B" w:rsidRDefault="007D300B" w:rsidP="007D300B">
      <w:pPr>
        <w:ind w:left="720" w:hanging="720"/>
        <w:rPr>
          <w:lang w:val="en-GB"/>
        </w:rPr>
      </w:pPr>
      <w:r w:rsidRPr="007D300B">
        <w:rPr>
          <w:lang w:val="en-GB"/>
        </w:rPr>
        <w:t xml:space="preserve">Atrill, P. and McLaney, E. (2022) </w:t>
      </w:r>
      <w:r w:rsidRPr="007D300B">
        <w:rPr>
          <w:i/>
          <w:iCs/>
          <w:lang w:val="en-GB"/>
        </w:rPr>
        <w:t>Accounting and Finance for Non-Specialists</w:t>
      </w:r>
      <w:r w:rsidRPr="007D300B">
        <w:rPr>
          <w:lang w:val="en-GB"/>
        </w:rPr>
        <w:t>. 12th edn. Harlow: Pearson.</w:t>
      </w:r>
    </w:p>
    <w:p w14:paraId="5988CFE9" w14:textId="77777777" w:rsidR="007D300B" w:rsidRPr="007D300B" w:rsidRDefault="007D300B" w:rsidP="007D300B">
      <w:pPr>
        <w:ind w:left="720" w:hanging="720"/>
        <w:rPr>
          <w:lang w:val="en-GB"/>
        </w:rPr>
      </w:pPr>
      <w:r w:rsidRPr="007D300B">
        <w:rPr>
          <w:lang w:val="en-GB"/>
        </w:rPr>
        <w:t xml:space="preserve">Drury, C. and Tayles, M. (2025) </w:t>
      </w:r>
      <w:r w:rsidRPr="007D300B">
        <w:rPr>
          <w:i/>
          <w:iCs/>
          <w:lang w:val="en-GB"/>
        </w:rPr>
        <w:t>Management and Cost Accounting</w:t>
      </w:r>
      <w:r w:rsidRPr="007D300B">
        <w:rPr>
          <w:lang w:val="en-GB"/>
        </w:rPr>
        <w:t>. 12th edn. Andover: Cengage Learning.</w:t>
      </w:r>
    </w:p>
    <w:p w14:paraId="709D100F" w14:textId="1FF9EAAE" w:rsidR="007D300B" w:rsidRPr="007D300B" w:rsidRDefault="007D300B" w:rsidP="007D300B">
      <w:pPr>
        <w:ind w:left="720" w:hanging="720"/>
        <w:rPr>
          <w:lang w:val="en-GB"/>
        </w:rPr>
      </w:pPr>
      <w:r w:rsidRPr="007D300B">
        <w:rPr>
          <w:lang w:val="en-GB"/>
        </w:rPr>
        <w:t xml:space="preserve">Gabelli Funds (2024) </w:t>
      </w:r>
      <w:r w:rsidRPr="007D300B">
        <w:rPr>
          <w:i/>
          <w:iCs/>
          <w:lang w:val="en-GB"/>
        </w:rPr>
        <w:t>Airplanes: Power by the Hour</w:t>
      </w:r>
      <w:r w:rsidRPr="007D300B">
        <w:rPr>
          <w:lang w:val="en-GB"/>
        </w:rPr>
        <w:t xml:space="preserve">. Available at: </w:t>
      </w:r>
      <w:hyperlink r:id="rId9" w:history="1">
        <w:r w:rsidR="008D1536" w:rsidRPr="007D300B">
          <w:rPr>
            <w:rStyle w:val="Hyperlink"/>
            <w:lang w:val="en-GB"/>
          </w:rPr>
          <w:t>https://www.gabelli.com</w:t>
        </w:r>
      </w:hyperlink>
      <w:r w:rsidR="008D1536">
        <w:rPr>
          <w:lang w:val="en-GB"/>
        </w:rPr>
        <w:t xml:space="preserve"> </w:t>
      </w:r>
      <w:r w:rsidRPr="007D300B">
        <w:rPr>
          <w:lang w:val="en-GB"/>
        </w:rPr>
        <w:t xml:space="preserve"> (Accessed: 27 March 2026).</w:t>
      </w:r>
    </w:p>
    <w:p w14:paraId="547DF74D" w14:textId="708F74E2" w:rsidR="007D300B" w:rsidRPr="007D300B" w:rsidRDefault="007D300B" w:rsidP="007D300B">
      <w:pPr>
        <w:ind w:left="720" w:hanging="720"/>
        <w:rPr>
          <w:lang w:val="en-GB"/>
        </w:rPr>
      </w:pPr>
      <w:r w:rsidRPr="007D300B">
        <w:rPr>
          <w:lang w:val="en-GB"/>
        </w:rPr>
        <w:t xml:space="preserve">Google Finance (2026) </w:t>
      </w:r>
      <w:r w:rsidRPr="007D300B">
        <w:rPr>
          <w:i/>
          <w:iCs/>
          <w:lang w:val="en-GB"/>
        </w:rPr>
        <w:t>Rolls-Royce Holdings plc (</w:t>
      </w:r>
      <w:proofErr w:type="gramStart"/>
      <w:r w:rsidRPr="007D300B">
        <w:rPr>
          <w:i/>
          <w:iCs/>
          <w:lang w:val="en-GB"/>
        </w:rPr>
        <w:t>RR.L</w:t>
      </w:r>
      <w:proofErr w:type="gramEnd"/>
      <w:r w:rsidRPr="007D300B">
        <w:rPr>
          <w:i/>
          <w:iCs/>
          <w:lang w:val="en-GB"/>
        </w:rPr>
        <w:t>)</w:t>
      </w:r>
      <w:r w:rsidRPr="007D300B">
        <w:rPr>
          <w:lang w:val="en-GB"/>
        </w:rPr>
        <w:t xml:space="preserve">. Available at: </w:t>
      </w:r>
      <w:hyperlink r:id="rId10" w:history="1">
        <w:r w:rsidR="008D1536" w:rsidRPr="007D300B">
          <w:rPr>
            <w:rStyle w:val="Hyperlink"/>
            <w:lang w:val="en-GB"/>
          </w:rPr>
          <w:t>https://www.google.com/finance/quote/RR:LON</w:t>
        </w:r>
      </w:hyperlink>
      <w:r w:rsidR="008D1536">
        <w:rPr>
          <w:lang w:val="en-GB"/>
        </w:rPr>
        <w:t xml:space="preserve"> </w:t>
      </w:r>
      <w:r w:rsidRPr="007D300B">
        <w:rPr>
          <w:lang w:val="en-GB"/>
        </w:rPr>
        <w:t xml:space="preserve"> (Accessed: 27 March 2026).</w:t>
      </w:r>
    </w:p>
    <w:p w14:paraId="7F851584" w14:textId="77777777" w:rsidR="007D300B" w:rsidRPr="007D300B" w:rsidRDefault="007D300B" w:rsidP="007D300B">
      <w:pPr>
        <w:ind w:left="720" w:hanging="720"/>
        <w:rPr>
          <w:lang w:val="en-GB"/>
        </w:rPr>
      </w:pPr>
      <w:r w:rsidRPr="007D300B">
        <w:rPr>
          <w:lang w:val="en-GB"/>
        </w:rPr>
        <w:t xml:space="preserve">MarketLine (2025) </w:t>
      </w:r>
      <w:r w:rsidRPr="007D300B">
        <w:rPr>
          <w:i/>
          <w:iCs/>
          <w:lang w:val="en-GB"/>
        </w:rPr>
        <w:t>Rolls-Royce Holdings plc: Company Profile and SWOT Analysis</w:t>
      </w:r>
      <w:r w:rsidRPr="007D300B">
        <w:rPr>
          <w:lang w:val="en-GB"/>
        </w:rPr>
        <w:t>. Available via: MarketLine database (Accessed: 27 March 2026).</w:t>
      </w:r>
    </w:p>
    <w:p w14:paraId="2F977346" w14:textId="77777777" w:rsidR="007D300B" w:rsidRPr="007D300B" w:rsidRDefault="007D300B" w:rsidP="007D300B">
      <w:pPr>
        <w:ind w:left="720" w:hanging="720"/>
        <w:rPr>
          <w:lang w:val="en-GB"/>
        </w:rPr>
      </w:pPr>
      <w:r w:rsidRPr="007D300B">
        <w:rPr>
          <w:lang w:val="en-GB"/>
        </w:rPr>
        <w:t xml:space="preserve">Oncioiu, I. (ed.) (2020) </w:t>
      </w:r>
      <w:r w:rsidRPr="007D300B">
        <w:rPr>
          <w:i/>
          <w:iCs/>
          <w:lang w:val="en-GB"/>
        </w:rPr>
        <w:t>Management Accounting Standards for Sustainable Business Practices</w:t>
      </w:r>
      <w:r w:rsidRPr="007D300B">
        <w:rPr>
          <w:lang w:val="en-GB"/>
        </w:rPr>
        <w:t>. Hershey, PA: IGI Global.</w:t>
      </w:r>
    </w:p>
    <w:p w14:paraId="602E03E4" w14:textId="77777777" w:rsidR="007D300B" w:rsidRPr="007D300B" w:rsidRDefault="007D300B" w:rsidP="007D300B">
      <w:pPr>
        <w:ind w:left="720" w:hanging="720"/>
        <w:rPr>
          <w:lang w:val="en-GB"/>
        </w:rPr>
      </w:pPr>
      <w:r w:rsidRPr="007D300B">
        <w:rPr>
          <w:lang w:val="en-GB"/>
        </w:rPr>
        <w:t xml:space="preserve">Proactive Investors (2024) </w:t>
      </w:r>
      <w:r w:rsidRPr="007D300B">
        <w:rPr>
          <w:i/>
          <w:iCs/>
          <w:lang w:val="en-GB"/>
        </w:rPr>
        <w:t>Rolls-Royce reports strong start as engine flying hours return to 2019 levels</w:t>
      </w:r>
      <w:r w:rsidRPr="007D300B">
        <w:rPr>
          <w:lang w:val="en-GB"/>
        </w:rPr>
        <w:t xml:space="preserve">. Available at: </w:t>
      </w:r>
      <w:hyperlink r:id="rId11" w:tgtFrame="_new" w:history="1">
        <w:r w:rsidRPr="007D300B">
          <w:rPr>
            <w:rStyle w:val="Hyperlink"/>
            <w:lang w:val="en-GB"/>
          </w:rPr>
          <w:t>https://www.proactiveinvestors.co.uk</w:t>
        </w:r>
      </w:hyperlink>
      <w:r w:rsidRPr="007D300B">
        <w:rPr>
          <w:lang w:val="en-GB"/>
        </w:rPr>
        <w:t xml:space="preserve"> (Accessed: 27 March 2026).</w:t>
      </w:r>
    </w:p>
    <w:p w14:paraId="60583C42" w14:textId="77777777" w:rsidR="007D300B" w:rsidRPr="007D300B" w:rsidRDefault="007D300B" w:rsidP="007D300B">
      <w:pPr>
        <w:ind w:left="720" w:hanging="720"/>
        <w:rPr>
          <w:lang w:val="en-GB"/>
        </w:rPr>
      </w:pPr>
      <w:r w:rsidRPr="007D300B">
        <w:rPr>
          <w:lang w:val="en-GB"/>
        </w:rPr>
        <w:t xml:space="preserve">Rolls-Royce Holdings plc (2017) </w:t>
      </w:r>
      <w:r w:rsidRPr="007D300B">
        <w:rPr>
          <w:i/>
          <w:iCs/>
          <w:lang w:val="en-GB"/>
        </w:rPr>
        <w:t>TotalCare – Power by the Hour</w:t>
      </w:r>
      <w:r w:rsidRPr="007D300B">
        <w:rPr>
          <w:lang w:val="en-GB"/>
        </w:rPr>
        <w:t xml:space="preserve">. Available at: </w:t>
      </w:r>
      <w:hyperlink r:id="rId12" w:tgtFrame="_new" w:history="1">
        <w:r w:rsidRPr="007D300B">
          <w:rPr>
            <w:rStyle w:val="Hyperlink"/>
            <w:lang w:val="en-GB"/>
          </w:rPr>
          <w:t>https://www.rolls-royce.com</w:t>
        </w:r>
      </w:hyperlink>
      <w:r w:rsidRPr="007D300B">
        <w:rPr>
          <w:lang w:val="en-GB"/>
        </w:rPr>
        <w:t xml:space="preserve"> (Accessed: 27 March 2026).</w:t>
      </w:r>
    </w:p>
    <w:p w14:paraId="6AB7E629" w14:textId="77777777" w:rsidR="005C7FD7" w:rsidRDefault="005C7FD7" w:rsidP="007D300B">
      <w:pPr>
        <w:ind w:left="720" w:hanging="720"/>
      </w:pPr>
      <w:r w:rsidRPr="005C7FD7">
        <w:t xml:space="preserve">Rolls-Royce Holdings plc (2024a) </w:t>
      </w:r>
      <w:r w:rsidRPr="005C7FD7">
        <w:rPr>
          <w:i/>
          <w:iCs/>
        </w:rPr>
        <w:t>Annual Report and Accounts 2024</w:t>
      </w:r>
      <w:r w:rsidRPr="005C7FD7">
        <w:t xml:space="preserve">. Available at: </w:t>
      </w:r>
      <w:hyperlink r:id="rId13" w:tgtFrame="_new" w:history="1">
        <w:r w:rsidRPr="005C7FD7">
          <w:rPr>
            <w:rStyle w:val="Hyperlink"/>
          </w:rPr>
          <w:t>https://www.rolls-royce.com/~/med</w:t>
        </w:r>
        <w:r w:rsidRPr="005C7FD7">
          <w:rPr>
            <w:rStyle w:val="Hyperlink"/>
          </w:rPr>
          <w:t>i</w:t>
        </w:r>
        <w:r w:rsidRPr="005C7FD7">
          <w:rPr>
            <w:rStyle w:val="Hyperlink"/>
          </w:rPr>
          <w:t>a/Files/R/Rolls-Royce/documents/annual-report/2025/2024-annual-report.pdf</w:t>
        </w:r>
      </w:hyperlink>
      <w:r w:rsidRPr="005C7FD7">
        <w:t xml:space="preserve"> (Accessed: 27 March 2026).</w:t>
      </w:r>
    </w:p>
    <w:p w14:paraId="64AA7392" w14:textId="5A899221" w:rsidR="007D300B" w:rsidRPr="007D300B" w:rsidRDefault="007D300B" w:rsidP="007D300B">
      <w:pPr>
        <w:ind w:left="720" w:hanging="720"/>
        <w:rPr>
          <w:lang w:val="en-GB"/>
        </w:rPr>
      </w:pPr>
      <w:r w:rsidRPr="007D300B">
        <w:rPr>
          <w:lang w:val="en-GB"/>
        </w:rPr>
        <w:t xml:space="preserve">Rolls-Royce Holdings plc (2024b) </w:t>
      </w:r>
      <w:r w:rsidRPr="007D300B">
        <w:rPr>
          <w:i/>
          <w:iCs/>
          <w:lang w:val="en-GB"/>
        </w:rPr>
        <w:t>Long-Term Service Agreements (LTSA) Overview</w:t>
      </w:r>
      <w:r w:rsidRPr="007D300B">
        <w:rPr>
          <w:lang w:val="en-GB"/>
        </w:rPr>
        <w:t xml:space="preserve">. Available at: </w:t>
      </w:r>
      <w:hyperlink r:id="rId14" w:tgtFrame="_new" w:history="1">
        <w:r w:rsidRPr="007D300B">
          <w:rPr>
            <w:rStyle w:val="Hyperlink"/>
            <w:lang w:val="en-GB"/>
          </w:rPr>
          <w:t>https://www.rolls-royce.com</w:t>
        </w:r>
      </w:hyperlink>
      <w:r w:rsidRPr="007D300B">
        <w:rPr>
          <w:lang w:val="en-GB"/>
        </w:rPr>
        <w:t xml:space="preserve"> (Accessed: 27 March 2026).</w:t>
      </w:r>
    </w:p>
    <w:p w14:paraId="7A20A624" w14:textId="195918DA" w:rsidR="007D300B" w:rsidRPr="007D300B" w:rsidRDefault="007D300B" w:rsidP="007D300B">
      <w:pPr>
        <w:ind w:left="720" w:hanging="720"/>
        <w:rPr>
          <w:lang w:val="en-GB"/>
        </w:rPr>
      </w:pPr>
      <w:r w:rsidRPr="007D300B">
        <w:rPr>
          <w:lang w:val="en-GB"/>
        </w:rPr>
        <w:t xml:space="preserve">Rolls-Royce Holdings plc (2024c) </w:t>
      </w:r>
      <w:r w:rsidRPr="007D300B">
        <w:rPr>
          <w:i/>
          <w:iCs/>
          <w:lang w:val="en-GB"/>
        </w:rPr>
        <w:t>Sustainability Report 2024</w:t>
      </w:r>
      <w:r w:rsidRPr="007D300B">
        <w:rPr>
          <w:lang w:val="en-GB"/>
        </w:rPr>
        <w:t xml:space="preserve">. Available at: </w:t>
      </w:r>
      <w:hyperlink r:id="rId15" w:tgtFrame="_new" w:history="1">
        <w:r w:rsidRPr="007D300B">
          <w:rPr>
            <w:rStyle w:val="Hyperlink"/>
            <w:lang w:val="en-GB"/>
          </w:rPr>
          <w:t>https://www.rolls-royce.com/sustainability.aspx</w:t>
        </w:r>
      </w:hyperlink>
      <w:r w:rsidRPr="007D300B">
        <w:rPr>
          <w:lang w:val="en-GB"/>
        </w:rPr>
        <w:t xml:space="preserve"> (Accessed: 27 March 2026).</w:t>
      </w:r>
    </w:p>
    <w:p w14:paraId="7EF173CC" w14:textId="77777777" w:rsidR="00592956" w:rsidRDefault="00592956" w:rsidP="007D300B">
      <w:pPr>
        <w:ind w:left="720" w:hanging="720"/>
      </w:pPr>
      <w:r w:rsidRPr="00592956">
        <w:t xml:space="preserve">Rolls-Royce Holdings plc (2025a) </w:t>
      </w:r>
      <w:r w:rsidRPr="00592956">
        <w:rPr>
          <w:i/>
          <w:iCs/>
        </w:rPr>
        <w:t>Full Year Results 2024 Presentation</w:t>
      </w:r>
      <w:r w:rsidRPr="00592956">
        <w:t xml:space="preserve">. Available at: </w:t>
      </w:r>
      <w:hyperlink r:id="rId16" w:tgtFrame="_new" w:history="1">
        <w:r w:rsidRPr="00592956">
          <w:rPr>
            <w:rStyle w:val="Hyperlink"/>
          </w:rPr>
          <w:t>https://www.rolls-royce.com/~/media/Files/R/Rolls-</w:t>
        </w:r>
        <w:r w:rsidRPr="00592956">
          <w:rPr>
            <w:rStyle w:val="Hyperlink"/>
          </w:rPr>
          <w:lastRenderedPageBreak/>
          <w:t>Royce/documents/investors/results/2024-full-year-results/rr-plc-holdings-2024-full-year-results-presentation.pdf</w:t>
        </w:r>
      </w:hyperlink>
      <w:r w:rsidRPr="00592956">
        <w:t xml:space="preserve"> (Accessed: 27 March 2026).</w:t>
      </w:r>
    </w:p>
    <w:p w14:paraId="023CD6C5" w14:textId="5643B7DD" w:rsidR="007D300B" w:rsidRPr="007D300B" w:rsidRDefault="007D300B" w:rsidP="007D300B">
      <w:pPr>
        <w:ind w:left="720" w:hanging="720"/>
        <w:rPr>
          <w:lang w:val="en-GB"/>
        </w:rPr>
      </w:pPr>
      <w:r w:rsidRPr="007D300B">
        <w:rPr>
          <w:lang w:val="en-GB"/>
        </w:rPr>
        <w:t xml:space="preserve">Rolls-Royce Holdings plc (2025b) </w:t>
      </w:r>
      <w:r w:rsidRPr="007D300B">
        <w:rPr>
          <w:i/>
          <w:iCs/>
          <w:lang w:val="en-GB"/>
        </w:rPr>
        <w:t>Full Year Results 2024 Press Release</w:t>
      </w:r>
      <w:r w:rsidRPr="007D300B">
        <w:rPr>
          <w:lang w:val="en-GB"/>
        </w:rPr>
        <w:t xml:space="preserve">. Available at: </w:t>
      </w:r>
      <w:hyperlink r:id="rId17" w:tgtFrame="_new" w:history="1">
        <w:r w:rsidRPr="007D300B">
          <w:rPr>
            <w:rStyle w:val="Hyperlink"/>
            <w:lang w:val="en-GB"/>
          </w:rPr>
          <w:t>https://www.rolls-royce.com</w:t>
        </w:r>
      </w:hyperlink>
      <w:r w:rsidRPr="007D300B">
        <w:rPr>
          <w:lang w:val="en-GB"/>
        </w:rPr>
        <w:t xml:space="preserve"> (Accessed: 27 March 2026).</w:t>
      </w:r>
    </w:p>
    <w:p w14:paraId="7307EEDF" w14:textId="77777777" w:rsidR="007D300B" w:rsidRPr="007D300B" w:rsidRDefault="007D300B" w:rsidP="007D300B">
      <w:pPr>
        <w:ind w:left="720" w:hanging="720"/>
        <w:rPr>
          <w:lang w:val="en-GB"/>
        </w:rPr>
      </w:pPr>
      <w:r w:rsidRPr="007D300B">
        <w:rPr>
          <w:lang w:val="en-GB"/>
        </w:rPr>
        <w:t xml:space="preserve">Rolls-Royce Holdings plc (2025c) </w:t>
      </w:r>
      <w:r w:rsidRPr="007D300B">
        <w:rPr>
          <w:i/>
          <w:iCs/>
          <w:lang w:val="en-GB"/>
        </w:rPr>
        <w:t>Annual Report 2024 – Independent Assurance and Reporting Basis</w:t>
      </w:r>
      <w:r w:rsidRPr="007D300B">
        <w:rPr>
          <w:lang w:val="en-GB"/>
        </w:rPr>
        <w:t xml:space="preserve">. Available at: </w:t>
      </w:r>
      <w:hyperlink r:id="rId18" w:tgtFrame="_new" w:history="1">
        <w:r w:rsidRPr="007D300B">
          <w:rPr>
            <w:rStyle w:val="Hyperlink"/>
            <w:lang w:val="en-GB"/>
          </w:rPr>
          <w:t>https://www.rolls-royce.com</w:t>
        </w:r>
      </w:hyperlink>
      <w:r w:rsidRPr="007D300B">
        <w:rPr>
          <w:lang w:val="en-GB"/>
        </w:rPr>
        <w:t xml:space="preserve"> (Accessed: 27 March 2026).</w:t>
      </w:r>
    </w:p>
    <w:p w14:paraId="1263E0C5" w14:textId="77777777" w:rsidR="007D300B" w:rsidRPr="007D300B" w:rsidRDefault="007D300B" w:rsidP="007D300B">
      <w:pPr>
        <w:ind w:left="720" w:hanging="720"/>
        <w:rPr>
          <w:lang w:val="en-GB"/>
        </w:rPr>
      </w:pPr>
      <w:r w:rsidRPr="007D300B">
        <w:rPr>
          <w:lang w:val="en-GB"/>
        </w:rPr>
        <w:t xml:space="preserve">Rolls-Royce Holdings plc (n.d.) </w:t>
      </w:r>
      <w:r w:rsidRPr="007D300B">
        <w:rPr>
          <w:i/>
          <w:iCs/>
          <w:lang w:val="en-GB"/>
        </w:rPr>
        <w:t>Civil Aerospace: LTSA cash vs profit presentation</w:t>
      </w:r>
      <w:r w:rsidRPr="007D300B">
        <w:rPr>
          <w:lang w:val="en-GB"/>
        </w:rPr>
        <w:t xml:space="preserve">. Available at: </w:t>
      </w:r>
      <w:hyperlink r:id="rId19" w:tgtFrame="_new" w:history="1">
        <w:r w:rsidRPr="007D300B">
          <w:rPr>
            <w:rStyle w:val="Hyperlink"/>
            <w:lang w:val="en-GB"/>
          </w:rPr>
          <w:t>https://www.rolls-royce.com</w:t>
        </w:r>
      </w:hyperlink>
      <w:r w:rsidRPr="007D300B">
        <w:rPr>
          <w:lang w:val="en-GB"/>
        </w:rPr>
        <w:t xml:space="preserve"> (Accessed: 27 March 2026).</w:t>
      </w:r>
    </w:p>
    <w:p w14:paraId="1CB2A46F" w14:textId="77777777" w:rsidR="007D300B" w:rsidRPr="007D300B" w:rsidRDefault="007D300B" w:rsidP="007D300B">
      <w:pPr>
        <w:ind w:left="720" w:hanging="720"/>
        <w:rPr>
          <w:lang w:val="en-GB"/>
        </w:rPr>
      </w:pPr>
      <w:r w:rsidRPr="007D300B">
        <w:rPr>
          <w:lang w:val="en-GB"/>
        </w:rPr>
        <w:t xml:space="preserve">Weetman, P. (2013) </w:t>
      </w:r>
      <w:r w:rsidRPr="007D300B">
        <w:rPr>
          <w:i/>
          <w:iCs/>
          <w:lang w:val="en-GB"/>
        </w:rPr>
        <w:t>Financial and Management Accounting: An Introduction</w:t>
      </w:r>
      <w:r w:rsidRPr="007D300B">
        <w:rPr>
          <w:lang w:val="en-GB"/>
        </w:rPr>
        <w:t>. 6th edn. Harlow: Pearson Education Limited.</w:t>
      </w:r>
    </w:p>
    <w:sectPr w:rsidR="007D300B" w:rsidRPr="007D300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F82D1" w14:textId="77777777" w:rsidR="00D238F3" w:rsidRDefault="00D238F3" w:rsidP="004D4E68">
      <w:pPr>
        <w:spacing w:after="0" w:line="240" w:lineRule="auto"/>
      </w:pPr>
      <w:r>
        <w:separator/>
      </w:r>
    </w:p>
  </w:endnote>
  <w:endnote w:type="continuationSeparator" w:id="0">
    <w:p w14:paraId="16D534B4" w14:textId="77777777" w:rsidR="00D238F3" w:rsidRDefault="00D238F3" w:rsidP="004D4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252188"/>
      <w:docPartObj>
        <w:docPartGallery w:val="Page Numbers (Bottom of Page)"/>
        <w:docPartUnique/>
      </w:docPartObj>
    </w:sdtPr>
    <w:sdtEndPr>
      <w:rPr>
        <w:noProof/>
      </w:rPr>
    </w:sdtEndPr>
    <w:sdtContent>
      <w:p w14:paraId="5261B213" w14:textId="3A1A121E" w:rsidR="004D4E68" w:rsidRDefault="004D4E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139988" w14:textId="77777777" w:rsidR="004D4E68" w:rsidRDefault="004D4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92DD2" w14:textId="77777777" w:rsidR="00D238F3" w:rsidRDefault="00D238F3" w:rsidP="004D4E68">
      <w:pPr>
        <w:spacing w:after="0" w:line="240" w:lineRule="auto"/>
      </w:pPr>
      <w:r>
        <w:separator/>
      </w:r>
    </w:p>
  </w:footnote>
  <w:footnote w:type="continuationSeparator" w:id="0">
    <w:p w14:paraId="1304E6FD" w14:textId="77777777" w:rsidR="00D238F3" w:rsidRDefault="00D238F3" w:rsidP="004D4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D5172"/>
    <w:multiLevelType w:val="hybridMultilevel"/>
    <w:tmpl w:val="4B320E40"/>
    <w:lvl w:ilvl="0" w:tplc="0F242E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D525CE"/>
    <w:multiLevelType w:val="hybridMultilevel"/>
    <w:tmpl w:val="1CFC7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6216622">
    <w:abstractNumId w:val="0"/>
  </w:num>
  <w:num w:numId="2" w16cid:durableId="614945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68"/>
    <w:rsid w:val="00013AC4"/>
    <w:rsid w:val="000407FD"/>
    <w:rsid w:val="00063860"/>
    <w:rsid w:val="0006560A"/>
    <w:rsid w:val="00162559"/>
    <w:rsid w:val="00180F4A"/>
    <w:rsid w:val="00193CA5"/>
    <w:rsid w:val="001A2B2A"/>
    <w:rsid w:val="001E3BE1"/>
    <w:rsid w:val="002C13DA"/>
    <w:rsid w:val="002D70F3"/>
    <w:rsid w:val="002E4C2F"/>
    <w:rsid w:val="00322D0B"/>
    <w:rsid w:val="00375682"/>
    <w:rsid w:val="00457C48"/>
    <w:rsid w:val="00463C22"/>
    <w:rsid w:val="00484C0A"/>
    <w:rsid w:val="004D11D8"/>
    <w:rsid w:val="004D4E68"/>
    <w:rsid w:val="005508F2"/>
    <w:rsid w:val="00592956"/>
    <w:rsid w:val="005C7FD7"/>
    <w:rsid w:val="006052FB"/>
    <w:rsid w:val="006243EB"/>
    <w:rsid w:val="006728E6"/>
    <w:rsid w:val="006D7719"/>
    <w:rsid w:val="006F5A2D"/>
    <w:rsid w:val="006F6A71"/>
    <w:rsid w:val="007178F4"/>
    <w:rsid w:val="007451FE"/>
    <w:rsid w:val="0079362E"/>
    <w:rsid w:val="007D300B"/>
    <w:rsid w:val="00855389"/>
    <w:rsid w:val="008754C7"/>
    <w:rsid w:val="00896D79"/>
    <w:rsid w:val="008D1536"/>
    <w:rsid w:val="008E27EC"/>
    <w:rsid w:val="008F42B8"/>
    <w:rsid w:val="008F552E"/>
    <w:rsid w:val="00952D90"/>
    <w:rsid w:val="009E5D84"/>
    <w:rsid w:val="00A42B1F"/>
    <w:rsid w:val="00A475B8"/>
    <w:rsid w:val="00AD122C"/>
    <w:rsid w:val="00B30D25"/>
    <w:rsid w:val="00B67883"/>
    <w:rsid w:val="00BA129A"/>
    <w:rsid w:val="00BB01A5"/>
    <w:rsid w:val="00BF517C"/>
    <w:rsid w:val="00C63927"/>
    <w:rsid w:val="00C97922"/>
    <w:rsid w:val="00D238F3"/>
    <w:rsid w:val="00DD3CF2"/>
    <w:rsid w:val="00E07036"/>
    <w:rsid w:val="00EB26E7"/>
    <w:rsid w:val="00EF18B4"/>
    <w:rsid w:val="00EF6F1A"/>
    <w:rsid w:val="00F16AE4"/>
    <w:rsid w:val="00F403F3"/>
    <w:rsid w:val="00F87641"/>
    <w:rsid w:val="00FD71C2"/>
    <w:rsid w:val="00FF047A"/>
    <w:rsid w:val="00FF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2B6F8"/>
  <w15:chartTrackingRefBased/>
  <w15:docId w15:val="{7606E6E0-AC2E-4308-8996-DD6A4A356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89"/>
    <w:pPr>
      <w:spacing w:after="80"/>
    </w:pPr>
    <w:rPr>
      <w:rFonts w:ascii="Arial" w:hAnsi="Arial"/>
      <w:sz w:val="24"/>
      <w:lang w:val="en-US"/>
    </w:rPr>
  </w:style>
  <w:style w:type="paragraph" w:styleId="Heading1">
    <w:name w:val="heading 1"/>
    <w:basedOn w:val="Normal"/>
    <w:next w:val="Normal"/>
    <w:link w:val="Heading1Char"/>
    <w:autoRedefine/>
    <w:uiPriority w:val="9"/>
    <w:qFormat/>
    <w:rsid w:val="009E5D84"/>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autoRedefine/>
    <w:uiPriority w:val="9"/>
    <w:unhideWhenUsed/>
    <w:qFormat/>
    <w:rsid w:val="007178F4"/>
    <w:pPr>
      <w:keepNext/>
      <w:keepLines/>
      <w:spacing w:before="16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193CA5"/>
    <w:pPr>
      <w:keepNext/>
      <w:keepLines/>
      <w:spacing w:before="16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4D4E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D4E6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D4E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4E6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4E6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4E6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3CA5"/>
    <w:rPr>
      <w:rFonts w:ascii="Arial" w:eastAsiaTheme="majorEastAsia" w:hAnsi="Arial" w:cstheme="majorBidi"/>
      <w:sz w:val="24"/>
      <w:szCs w:val="28"/>
    </w:rPr>
  </w:style>
  <w:style w:type="character" w:customStyle="1" w:styleId="Heading1Char">
    <w:name w:val="Heading 1 Char"/>
    <w:basedOn w:val="DefaultParagraphFont"/>
    <w:link w:val="Heading1"/>
    <w:uiPriority w:val="9"/>
    <w:rsid w:val="009E5D84"/>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7178F4"/>
    <w:rPr>
      <w:rFonts w:ascii="Arial" w:eastAsiaTheme="majorEastAsia" w:hAnsi="Arial" w:cstheme="majorBidi"/>
      <w:b/>
      <w:sz w:val="24"/>
      <w:szCs w:val="32"/>
    </w:rPr>
  </w:style>
  <w:style w:type="character" w:customStyle="1" w:styleId="Heading4Char">
    <w:name w:val="Heading 4 Char"/>
    <w:basedOn w:val="DefaultParagraphFont"/>
    <w:link w:val="Heading4"/>
    <w:uiPriority w:val="9"/>
    <w:semiHidden/>
    <w:rsid w:val="004D4E68"/>
    <w:rPr>
      <w:rFonts w:eastAsiaTheme="majorEastAsia" w:cstheme="majorBidi"/>
      <w:i/>
      <w:iCs/>
      <w:color w:val="0F4761" w:themeColor="accent1" w:themeShade="BF"/>
      <w:sz w:val="24"/>
      <w:lang w:val="en-US"/>
    </w:rPr>
  </w:style>
  <w:style w:type="character" w:customStyle="1" w:styleId="Heading5Char">
    <w:name w:val="Heading 5 Char"/>
    <w:basedOn w:val="DefaultParagraphFont"/>
    <w:link w:val="Heading5"/>
    <w:uiPriority w:val="9"/>
    <w:semiHidden/>
    <w:rsid w:val="004D4E68"/>
    <w:rPr>
      <w:rFonts w:eastAsiaTheme="majorEastAsia" w:cstheme="majorBidi"/>
      <w:color w:val="0F4761" w:themeColor="accent1" w:themeShade="BF"/>
      <w:sz w:val="24"/>
      <w:lang w:val="en-US"/>
    </w:rPr>
  </w:style>
  <w:style w:type="character" w:customStyle="1" w:styleId="Heading6Char">
    <w:name w:val="Heading 6 Char"/>
    <w:basedOn w:val="DefaultParagraphFont"/>
    <w:link w:val="Heading6"/>
    <w:uiPriority w:val="9"/>
    <w:semiHidden/>
    <w:rsid w:val="004D4E68"/>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4D4E68"/>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4D4E68"/>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4D4E68"/>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4D4E68"/>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E68"/>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4D4E6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E68"/>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4D4E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4E68"/>
    <w:rPr>
      <w:rFonts w:ascii="Arial" w:hAnsi="Arial"/>
      <w:i/>
      <w:iCs/>
      <w:color w:val="404040" w:themeColor="text1" w:themeTint="BF"/>
      <w:sz w:val="24"/>
      <w:lang w:val="en-US"/>
    </w:rPr>
  </w:style>
  <w:style w:type="paragraph" w:styleId="ListParagraph">
    <w:name w:val="List Paragraph"/>
    <w:basedOn w:val="Normal"/>
    <w:uiPriority w:val="34"/>
    <w:qFormat/>
    <w:rsid w:val="004D4E68"/>
    <w:pPr>
      <w:ind w:left="720"/>
      <w:contextualSpacing/>
    </w:pPr>
  </w:style>
  <w:style w:type="character" w:styleId="IntenseEmphasis">
    <w:name w:val="Intense Emphasis"/>
    <w:basedOn w:val="DefaultParagraphFont"/>
    <w:uiPriority w:val="21"/>
    <w:qFormat/>
    <w:rsid w:val="004D4E68"/>
    <w:rPr>
      <w:i/>
      <w:iCs/>
      <w:color w:val="0F4761" w:themeColor="accent1" w:themeShade="BF"/>
    </w:rPr>
  </w:style>
  <w:style w:type="paragraph" w:styleId="IntenseQuote">
    <w:name w:val="Intense Quote"/>
    <w:basedOn w:val="Normal"/>
    <w:next w:val="Normal"/>
    <w:link w:val="IntenseQuoteChar"/>
    <w:uiPriority w:val="30"/>
    <w:qFormat/>
    <w:rsid w:val="004D4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E68"/>
    <w:rPr>
      <w:rFonts w:ascii="Arial" w:hAnsi="Arial"/>
      <w:i/>
      <w:iCs/>
      <w:color w:val="0F4761" w:themeColor="accent1" w:themeShade="BF"/>
      <w:sz w:val="24"/>
      <w:lang w:val="en-US"/>
    </w:rPr>
  </w:style>
  <w:style w:type="character" w:styleId="IntenseReference">
    <w:name w:val="Intense Reference"/>
    <w:basedOn w:val="DefaultParagraphFont"/>
    <w:uiPriority w:val="32"/>
    <w:qFormat/>
    <w:rsid w:val="004D4E68"/>
    <w:rPr>
      <w:b/>
      <w:bCs/>
      <w:smallCaps/>
      <w:color w:val="0F4761" w:themeColor="accent1" w:themeShade="BF"/>
      <w:spacing w:val="5"/>
    </w:rPr>
  </w:style>
  <w:style w:type="paragraph" w:styleId="Header">
    <w:name w:val="header"/>
    <w:basedOn w:val="Normal"/>
    <w:link w:val="HeaderChar"/>
    <w:uiPriority w:val="99"/>
    <w:unhideWhenUsed/>
    <w:rsid w:val="004D4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E68"/>
    <w:rPr>
      <w:rFonts w:ascii="Arial" w:hAnsi="Arial"/>
      <w:sz w:val="24"/>
      <w:lang w:val="en-US"/>
    </w:rPr>
  </w:style>
  <w:style w:type="paragraph" w:styleId="Footer">
    <w:name w:val="footer"/>
    <w:basedOn w:val="Normal"/>
    <w:link w:val="FooterChar"/>
    <w:uiPriority w:val="99"/>
    <w:unhideWhenUsed/>
    <w:rsid w:val="004D4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E68"/>
    <w:rPr>
      <w:rFonts w:ascii="Arial" w:hAnsi="Arial"/>
      <w:sz w:val="24"/>
      <w:lang w:val="en-US"/>
    </w:rPr>
  </w:style>
  <w:style w:type="character" w:styleId="Hyperlink">
    <w:name w:val="Hyperlink"/>
    <w:basedOn w:val="DefaultParagraphFont"/>
    <w:uiPriority w:val="99"/>
    <w:unhideWhenUsed/>
    <w:rsid w:val="00C97922"/>
    <w:rPr>
      <w:color w:val="467886" w:themeColor="hyperlink"/>
      <w:u w:val="single"/>
    </w:rPr>
  </w:style>
  <w:style w:type="character" w:styleId="UnresolvedMention">
    <w:name w:val="Unresolved Mention"/>
    <w:basedOn w:val="DefaultParagraphFont"/>
    <w:uiPriority w:val="99"/>
    <w:semiHidden/>
    <w:unhideWhenUsed/>
    <w:rsid w:val="00C97922"/>
    <w:rPr>
      <w:color w:val="605E5C"/>
      <w:shd w:val="clear" w:color="auto" w:fill="E1DFDD"/>
    </w:rPr>
  </w:style>
  <w:style w:type="paragraph" w:styleId="TOCHeading">
    <w:name w:val="TOC Heading"/>
    <w:basedOn w:val="Heading1"/>
    <w:next w:val="Normal"/>
    <w:uiPriority w:val="39"/>
    <w:unhideWhenUsed/>
    <w:qFormat/>
    <w:rsid w:val="006D7719"/>
    <w:pPr>
      <w:spacing w:before="240" w:line="259" w:lineRule="auto"/>
      <w:jc w:val="left"/>
      <w:outlineLvl w:val="9"/>
    </w:pPr>
    <w:rPr>
      <w:rFonts w:asciiTheme="majorHAnsi" w:hAnsiTheme="majorHAnsi"/>
      <w:b w:val="0"/>
      <w:bCs w:val="0"/>
      <w:color w:val="0F4761" w:themeColor="accent1" w:themeShade="BF"/>
      <w:sz w:val="32"/>
      <w:szCs w:val="32"/>
      <w:lang w:val="en-US"/>
    </w:rPr>
  </w:style>
  <w:style w:type="paragraph" w:styleId="TOC1">
    <w:name w:val="toc 1"/>
    <w:basedOn w:val="Normal"/>
    <w:next w:val="Normal"/>
    <w:autoRedefine/>
    <w:uiPriority w:val="39"/>
    <w:unhideWhenUsed/>
    <w:rsid w:val="006D7719"/>
    <w:pPr>
      <w:spacing w:after="100"/>
    </w:pPr>
  </w:style>
  <w:style w:type="table" w:styleId="TableGrid">
    <w:name w:val="Table Grid"/>
    <w:basedOn w:val="TableNormal"/>
    <w:uiPriority w:val="39"/>
    <w:rsid w:val="00C6392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D30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olls-royce.com/~/media/Files/R/Rolls-Royce/documents/annual-report/2025/2024-annual-report.pdf?utm_source=chatgpt.com" TargetMode="External"/><Relationship Id="rId18" Type="http://schemas.openxmlformats.org/officeDocument/2006/relationships/hyperlink" Target="https://www.rolls-royce.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olls-royce.com" TargetMode="External"/><Relationship Id="rId17" Type="http://schemas.openxmlformats.org/officeDocument/2006/relationships/hyperlink" Target="https://www.rolls-royce.com" TargetMode="External"/><Relationship Id="rId2" Type="http://schemas.openxmlformats.org/officeDocument/2006/relationships/numbering" Target="numbering.xml"/><Relationship Id="rId16" Type="http://schemas.openxmlformats.org/officeDocument/2006/relationships/hyperlink" Target="https://www.rolls-royce.com/~/media/Files/R/Rolls-Royce/documents/investors/results/2024-full-year-results/rr-plc-holdings-2024-full-year-results-presentation.pdf?utm_source=chatgp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activeinvestors.co.uk" TargetMode="External"/><Relationship Id="rId5" Type="http://schemas.openxmlformats.org/officeDocument/2006/relationships/webSettings" Target="webSettings.xml"/><Relationship Id="rId15" Type="http://schemas.openxmlformats.org/officeDocument/2006/relationships/hyperlink" Target="https://www.rolls-royce.com/sustainability.aspx" TargetMode="External"/><Relationship Id="rId10" Type="http://schemas.openxmlformats.org/officeDocument/2006/relationships/hyperlink" Target="https://www.google.com/finance/quote/RR:LON" TargetMode="External"/><Relationship Id="rId19" Type="http://schemas.openxmlformats.org/officeDocument/2006/relationships/hyperlink" Target="https://www.rolls-royce.com" TargetMode="External"/><Relationship Id="rId4" Type="http://schemas.openxmlformats.org/officeDocument/2006/relationships/settings" Target="settings.xml"/><Relationship Id="rId9" Type="http://schemas.openxmlformats.org/officeDocument/2006/relationships/hyperlink" Target="https://www.gabelli.com" TargetMode="External"/><Relationship Id="rId14" Type="http://schemas.openxmlformats.org/officeDocument/2006/relationships/hyperlink" Target="https://www.rolls-royce.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E15AB5-AED8-4B20-8628-4D90F13A5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2197</Words>
  <Characters>15448</Characters>
  <Application>Microsoft Office Word</Application>
  <DocSecurity>0</DocSecurity>
  <Lines>315</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Antal-Berbecaru (2242917)</dc:creator>
  <cp:keywords/>
  <dc:description/>
  <cp:lastModifiedBy>Constantin Iftimie (2242919)</cp:lastModifiedBy>
  <cp:revision>11</cp:revision>
  <dcterms:created xsi:type="dcterms:W3CDTF">2026-03-28T00:07:00Z</dcterms:created>
  <dcterms:modified xsi:type="dcterms:W3CDTF">2026-03-28T12:23:00Z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152eda54-5d11-4350-86e7-39b835d46cb6</vt:lpwstr>
  </property>
</Properties>
</file>