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55E1E" w14:textId="4E7AF3BC" w:rsidR="00176B3C" w:rsidRPr="00E13804" w:rsidRDefault="00E13804" w:rsidP="008A1BC3">
      <w:pPr>
        <w:ind w:hanging="284"/>
        <w:rPr>
          <w:rFonts w:ascii="Times New Roman" w:hAnsi="Times New Roman"/>
          <w:b/>
          <w:bCs/>
          <w:sz w:val="22"/>
          <w:szCs w:val="22"/>
          <w:lang w:eastAsia="en-GB"/>
        </w:rPr>
      </w:pPr>
      <w:r w:rsidRPr="00E13804">
        <w:rPr>
          <w:b/>
          <w:bCs/>
          <w:noProof/>
          <w:lang w:val="en-GB" w:eastAsia="en-GB"/>
        </w:rPr>
        <w:drawing>
          <wp:anchor distT="0" distB="0" distL="114300" distR="114300" simplePos="0" relativeHeight="251658240" behindDoc="1" locked="0" layoutInCell="1" allowOverlap="1" wp14:anchorId="6CCD9DAF" wp14:editId="689F50A7">
            <wp:simplePos x="0" y="0"/>
            <wp:positionH relativeFrom="column">
              <wp:posOffset>-330200</wp:posOffset>
            </wp:positionH>
            <wp:positionV relativeFrom="paragraph">
              <wp:posOffset>0</wp:posOffset>
            </wp:positionV>
            <wp:extent cx="2575560" cy="1409700"/>
            <wp:effectExtent l="0" t="0" r="0" b="0"/>
            <wp:wrapTight wrapText="bothSides">
              <wp:wrapPolygon edited="0">
                <wp:start x="0" y="0"/>
                <wp:lineTo x="0" y="21308"/>
                <wp:lineTo x="21408" y="21308"/>
                <wp:lineTo x="21408" y="0"/>
                <wp:lineTo x="0" y="0"/>
              </wp:wrapPolygon>
            </wp:wrapTight>
            <wp:docPr id="1855507369"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of-wales-trinity-saint-david-logo-vector | ESRC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560" cy="1409700"/>
                    </a:xfrm>
                    <a:prstGeom prst="rect">
                      <a:avLst/>
                    </a:prstGeom>
                    <a:noFill/>
                    <a:ln>
                      <a:noFill/>
                    </a:ln>
                  </pic:spPr>
                </pic:pic>
              </a:graphicData>
            </a:graphic>
          </wp:anchor>
        </w:drawing>
      </w:r>
    </w:p>
    <w:p w14:paraId="0FB883D6" w14:textId="77777777" w:rsidR="00FA1626" w:rsidRPr="00E13804" w:rsidRDefault="00FA1626" w:rsidP="008A1BC3">
      <w:pPr>
        <w:shd w:val="clear" w:color="auto" w:fill="FFFFFF"/>
        <w:jc w:val="center"/>
        <w:rPr>
          <w:rFonts w:ascii="Times New Roman" w:eastAsia="Times New Roman" w:hAnsi="Times New Roman"/>
          <w:b/>
          <w:bCs/>
        </w:rPr>
      </w:pPr>
    </w:p>
    <w:p w14:paraId="34A6618A" w14:textId="77777777" w:rsidR="00140BE2" w:rsidRPr="00E13804" w:rsidRDefault="00140BE2" w:rsidP="008A1BC3">
      <w:pPr>
        <w:shd w:val="clear" w:color="auto" w:fill="FFFFFF"/>
        <w:jc w:val="center"/>
        <w:rPr>
          <w:rFonts w:ascii="Times New Roman" w:eastAsia="Times New Roman" w:hAnsi="Times New Roman"/>
          <w:b/>
          <w:bCs/>
        </w:rPr>
      </w:pPr>
    </w:p>
    <w:p w14:paraId="6DF8B8D5" w14:textId="77777777" w:rsidR="00140BE2" w:rsidRPr="00E13804" w:rsidRDefault="00140BE2" w:rsidP="008A1BC3">
      <w:pPr>
        <w:shd w:val="clear" w:color="auto" w:fill="FFFFFF"/>
        <w:jc w:val="center"/>
        <w:rPr>
          <w:rFonts w:ascii="Times New Roman" w:eastAsia="Times New Roman" w:hAnsi="Times New Roman"/>
          <w:b/>
          <w:bCs/>
        </w:rPr>
      </w:pPr>
    </w:p>
    <w:p w14:paraId="5E6E5D1C" w14:textId="77777777" w:rsidR="00E13804" w:rsidRPr="00E13804" w:rsidRDefault="00E13804" w:rsidP="008A1BC3">
      <w:pPr>
        <w:shd w:val="clear" w:color="auto" w:fill="FFFFFF"/>
        <w:jc w:val="center"/>
        <w:rPr>
          <w:rFonts w:ascii="Times New Roman" w:eastAsia="Times New Roman" w:hAnsi="Times New Roman"/>
          <w:b/>
          <w:bCs/>
        </w:rPr>
      </w:pPr>
    </w:p>
    <w:p w14:paraId="79CCABF7" w14:textId="77777777" w:rsidR="00E13804" w:rsidRPr="00E13804" w:rsidRDefault="00E13804" w:rsidP="008A1BC3">
      <w:pPr>
        <w:shd w:val="clear" w:color="auto" w:fill="FFFFFF"/>
        <w:jc w:val="center"/>
        <w:rPr>
          <w:rFonts w:ascii="Times New Roman" w:eastAsia="Times New Roman" w:hAnsi="Times New Roman"/>
          <w:b/>
          <w:bCs/>
        </w:rPr>
      </w:pPr>
    </w:p>
    <w:p w14:paraId="3A93B300" w14:textId="77777777" w:rsidR="00E13804" w:rsidRPr="00E13804" w:rsidRDefault="00E13804" w:rsidP="008A1BC3">
      <w:pPr>
        <w:shd w:val="clear" w:color="auto" w:fill="FFFFFF"/>
        <w:jc w:val="center"/>
        <w:rPr>
          <w:rFonts w:ascii="Times New Roman" w:eastAsia="Times New Roman" w:hAnsi="Times New Roman"/>
          <w:b/>
          <w:bCs/>
        </w:rPr>
      </w:pPr>
    </w:p>
    <w:p w14:paraId="4F46E94E" w14:textId="17CD2BE1" w:rsidR="00E13804" w:rsidRPr="00E13804" w:rsidRDefault="00E13804" w:rsidP="00E13804">
      <w:pPr>
        <w:ind w:hanging="284"/>
        <w:rPr>
          <w:rFonts w:ascii="Times New Roman" w:hAnsi="Times New Roman"/>
          <w:sz w:val="22"/>
          <w:szCs w:val="22"/>
          <w:lang w:eastAsia="en-GB"/>
        </w:rPr>
      </w:pPr>
      <w:r w:rsidRPr="00E13804">
        <w:rPr>
          <w:rFonts w:ascii="Times New Roman" w:hAnsi="Times New Roman"/>
          <w:b/>
          <w:bCs/>
          <w:sz w:val="22"/>
          <w:szCs w:val="22"/>
          <w:lang w:eastAsia="en-GB"/>
        </w:rPr>
        <w:t xml:space="preserve">                                                     Student name: </w:t>
      </w:r>
      <w:r>
        <w:rPr>
          <w:rFonts w:ascii="Times New Roman" w:hAnsi="Times New Roman"/>
          <w:sz w:val="22"/>
          <w:szCs w:val="22"/>
          <w:lang w:eastAsia="en-GB"/>
        </w:rPr>
        <w:t>Chandru subbaiah</w:t>
      </w:r>
    </w:p>
    <w:p w14:paraId="6E713B29" w14:textId="57F20FE8" w:rsidR="00E13804" w:rsidRPr="00E13804" w:rsidRDefault="00E13804" w:rsidP="00E13804">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Student ID:</w:t>
      </w:r>
      <w:r>
        <w:rPr>
          <w:rFonts w:ascii="Times New Roman" w:hAnsi="Times New Roman"/>
          <w:sz w:val="22"/>
          <w:szCs w:val="22"/>
          <w:lang w:eastAsia="en-GB"/>
        </w:rPr>
        <w:t>2507406</w:t>
      </w:r>
    </w:p>
    <w:p w14:paraId="08F78E55" w14:textId="77777777" w:rsidR="00E13804" w:rsidRDefault="00E13804" w:rsidP="00E13804">
      <w:pPr>
        <w:ind w:hanging="284"/>
        <w:rPr>
          <w:rFonts w:ascii="Times New Roman" w:hAnsi="Times New Roman"/>
          <w:sz w:val="22"/>
          <w:szCs w:val="22"/>
          <w:lang w:eastAsia="en-GB"/>
        </w:rPr>
      </w:pPr>
    </w:p>
    <w:p w14:paraId="1C1BFEDD" w14:textId="77777777" w:rsidR="00E13804" w:rsidRDefault="00E13804" w:rsidP="00E13804">
      <w:pPr>
        <w:ind w:hanging="284"/>
        <w:rPr>
          <w:rFonts w:ascii="Times New Roman" w:hAnsi="Times New Roman"/>
          <w:sz w:val="22"/>
          <w:szCs w:val="22"/>
          <w:lang w:eastAsia="en-GB"/>
        </w:rPr>
      </w:pPr>
    </w:p>
    <w:p w14:paraId="790D2FA9" w14:textId="77777777" w:rsidR="00E13804" w:rsidRDefault="00E13804" w:rsidP="00E13804">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Module Name: </w:t>
      </w:r>
      <w:r>
        <w:rPr>
          <w:rFonts w:ascii="Times New Roman" w:hAnsi="Times New Roman"/>
          <w:sz w:val="22"/>
          <w:szCs w:val="22"/>
          <w:lang w:eastAsia="en-GB"/>
        </w:rPr>
        <w:t>Marketing Management</w:t>
      </w:r>
    </w:p>
    <w:p w14:paraId="09EA5C43" w14:textId="77777777" w:rsidR="00E13804" w:rsidRDefault="00E13804" w:rsidP="00E13804">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Module code: </w:t>
      </w:r>
      <w:r>
        <w:rPr>
          <w:rFonts w:ascii="Times New Roman" w:hAnsi="Times New Roman"/>
          <w:sz w:val="22"/>
          <w:szCs w:val="22"/>
          <w:lang w:eastAsia="en-GB"/>
        </w:rPr>
        <w:t>LCMB7024</w:t>
      </w:r>
    </w:p>
    <w:p w14:paraId="7EE21F2C" w14:textId="77777777" w:rsidR="00E13804" w:rsidRDefault="00E13804" w:rsidP="00E13804">
      <w:pPr>
        <w:ind w:hanging="284"/>
        <w:rPr>
          <w:rFonts w:ascii="Times New Roman" w:hAnsi="Times New Roman"/>
          <w:sz w:val="22"/>
          <w:szCs w:val="22"/>
          <w:lang w:eastAsia="en-GB"/>
        </w:rPr>
      </w:pPr>
    </w:p>
    <w:p w14:paraId="43D2DAF6" w14:textId="77777777" w:rsidR="00E13804" w:rsidRDefault="00E13804" w:rsidP="00E13804">
      <w:pPr>
        <w:ind w:hanging="284"/>
        <w:rPr>
          <w:rFonts w:ascii="Times New Roman" w:hAnsi="Times New Roman"/>
          <w:sz w:val="22"/>
          <w:szCs w:val="22"/>
          <w:lang w:eastAsia="en-GB"/>
        </w:rPr>
      </w:pPr>
    </w:p>
    <w:p w14:paraId="0B26F280" w14:textId="77777777" w:rsidR="00E13804" w:rsidRDefault="00E13804" w:rsidP="00E13804">
      <w:pPr>
        <w:ind w:hanging="284"/>
        <w:rPr>
          <w:rFonts w:ascii="Times New Roman" w:hAnsi="Times New Roman"/>
          <w:sz w:val="22"/>
          <w:szCs w:val="22"/>
          <w:lang w:eastAsia="en-GB"/>
        </w:rPr>
      </w:pPr>
    </w:p>
    <w:p w14:paraId="7031D7E3" w14:textId="77777777" w:rsidR="00E13804" w:rsidRPr="00BF589B" w:rsidRDefault="00E13804" w:rsidP="00E13804">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Lecturer Name: </w:t>
      </w:r>
      <w:r>
        <w:rPr>
          <w:rFonts w:ascii="Times New Roman" w:hAnsi="Times New Roman"/>
          <w:sz w:val="22"/>
          <w:szCs w:val="22"/>
          <w:lang w:eastAsia="en-GB"/>
        </w:rPr>
        <w:t xml:space="preserve">Dr Tushara bakendran </w:t>
      </w:r>
    </w:p>
    <w:p w14:paraId="3A79995C" w14:textId="11C89E09" w:rsidR="00E13804" w:rsidRPr="00E30775" w:rsidRDefault="00E13804" w:rsidP="00E13804">
      <w:pPr>
        <w:rPr>
          <w:rFonts w:ascii="Times New Roman" w:hAnsi="Times New Roman"/>
        </w:rPr>
      </w:pPr>
      <w:r>
        <w:rPr>
          <w:rFonts w:ascii="Times New Roman" w:hAnsi="Times New Roman"/>
          <w:b/>
          <w:bCs/>
          <w:sz w:val="22"/>
          <w:szCs w:val="22"/>
          <w:lang w:eastAsia="en-GB"/>
        </w:rPr>
        <w:t xml:space="preserve">                                                                      </w:t>
      </w:r>
      <w:r>
        <w:rPr>
          <w:rFonts w:ascii="Times New Roman" w:hAnsi="Times New Roman"/>
          <w:b/>
          <w:bCs/>
        </w:rPr>
        <w:t>Term:</w:t>
      </w:r>
      <w:r>
        <w:rPr>
          <w:rFonts w:ascii="Times New Roman" w:hAnsi="Times New Roman"/>
        </w:rPr>
        <w:t>01</w:t>
      </w:r>
    </w:p>
    <w:p w14:paraId="65FD41C6" w14:textId="77777777" w:rsidR="00E13804" w:rsidRDefault="00E13804" w:rsidP="00E13804">
      <w:pPr>
        <w:rPr>
          <w:rFonts w:ascii="Times New Roman" w:hAnsi="Times New Roman"/>
        </w:rPr>
      </w:pPr>
    </w:p>
    <w:p w14:paraId="3FD14396" w14:textId="77777777" w:rsidR="00E13804" w:rsidRDefault="00E13804" w:rsidP="00E13804">
      <w:pPr>
        <w:rPr>
          <w:rFonts w:ascii="Times New Roman" w:hAnsi="Times New Roman"/>
        </w:rPr>
      </w:pPr>
    </w:p>
    <w:p w14:paraId="01FAB566" w14:textId="7C145748" w:rsidR="00233264" w:rsidRPr="00233264" w:rsidRDefault="00E13804" w:rsidP="001A1606">
      <w:pPr>
        <w:rPr>
          <w:rFonts w:ascii="Times New Roman" w:eastAsia="Times New Roman" w:hAnsi="Times New Roman"/>
          <w:b/>
        </w:rPr>
      </w:pPr>
      <w:r>
        <w:rPr>
          <w:rFonts w:ascii="Times New Roman" w:eastAsia="Times New Roman" w:hAnsi="Times New Roman"/>
        </w:rPr>
        <w:t xml:space="preserve">                                                         </w:t>
      </w:r>
      <w:r w:rsidR="00FA1626" w:rsidRPr="00233264">
        <w:rPr>
          <w:rFonts w:ascii="Times New Roman" w:eastAsia="Times New Roman" w:hAnsi="Times New Roman"/>
          <w:b/>
        </w:rPr>
        <w:t xml:space="preserve">Assignment Title: </w:t>
      </w:r>
    </w:p>
    <w:p w14:paraId="0A0DC9F9" w14:textId="77777777" w:rsidR="001A1606" w:rsidRPr="00233264" w:rsidRDefault="001A1606" w:rsidP="001A1606">
      <w:pPr>
        <w:rPr>
          <w:rFonts w:ascii="Times New Roman" w:hAnsi="Times New Roman"/>
        </w:rPr>
      </w:pPr>
      <w:r w:rsidRPr="00233264">
        <w:rPr>
          <w:rStyle w:val="Strong"/>
          <w:rFonts w:ascii="Times New Roman" w:hAnsi="Times New Roman"/>
          <w:b w:val="0"/>
          <w:bCs w:val="0"/>
        </w:rPr>
        <w:t>Marketing Environmental Analysis: Tesla (Pioneer) and BYD (Follower) in the Global EV Industry</w:t>
      </w:r>
    </w:p>
    <w:p w14:paraId="4E0A069D" w14:textId="77777777" w:rsidR="00FA1626" w:rsidRDefault="00FA1626" w:rsidP="008A1BC3">
      <w:pPr>
        <w:rPr>
          <w:rFonts w:ascii="Times New Roman" w:eastAsia="Times New Roman" w:hAnsi="Times New Roman"/>
          <w:b/>
        </w:rPr>
      </w:pPr>
    </w:p>
    <w:p w14:paraId="0AC6CAC6" w14:textId="77777777" w:rsidR="00140BE2" w:rsidRDefault="00140BE2" w:rsidP="008A1BC3">
      <w:pPr>
        <w:spacing w:before="280" w:after="280"/>
        <w:jc w:val="left"/>
      </w:pPr>
    </w:p>
    <w:p w14:paraId="075DB259" w14:textId="77777777" w:rsidR="00140BE2" w:rsidRDefault="00140BE2" w:rsidP="008A1BC3">
      <w:pPr>
        <w:spacing w:before="280" w:after="280"/>
        <w:jc w:val="left"/>
      </w:pPr>
    </w:p>
    <w:p w14:paraId="308FBE73" w14:textId="77777777" w:rsidR="00140BE2" w:rsidRDefault="00140BE2" w:rsidP="008A1BC3">
      <w:pPr>
        <w:spacing w:before="280" w:after="280"/>
        <w:jc w:val="left"/>
      </w:pPr>
    </w:p>
    <w:p w14:paraId="158A0B82" w14:textId="77777777" w:rsidR="00140BE2" w:rsidRDefault="00140BE2" w:rsidP="008A1BC3">
      <w:pPr>
        <w:spacing w:before="280" w:after="280"/>
        <w:jc w:val="left"/>
      </w:pPr>
    </w:p>
    <w:p w14:paraId="6BE849DF" w14:textId="77777777" w:rsidR="00140BE2" w:rsidRDefault="00140BE2" w:rsidP="008A1BC3">
      <w:pPr>
        <w:spacing w:before="280" w:after="280"/>
        <w:jc w:val="left"/>
      </w:pPr>
    </w:p>
    <w:p w14:paraId="4966F370" w14:textId="77777777" w:rsidR="00176B3C" w:rsidRDefault="00176B3C" w:rsidP="008A1BC3">
      <w:pPr>
        <w:ind w:hanging="284"/>
        <w:rPr>
          <w:rFonts w:ascii="Times New Roman" w:hAnsi="Times New Roman"/>
          <w:b/>
          <w:bCs/>
          <w:sz w:val="22"/>
          <w:szCs w:val="22"/>
          <w:lang w:eastAsia="en-GB"/>
        </w:rPr>
      </w:pPr>
    </w:p>
    <w:sdt>
      <w:sdtPr>
        <w:rPr>
          <w:rFonts w:ascii="Times New Roman" w:eastAsiaTheme="minorHAnsi" w:hAnsi="Times New Roman" w:cs="Times New Roman"/>
          <w:b/>
          <w:bCs/>
          <w:color w:val="auto"/>
          <w:spacing w:val="-10"/>
          <w:kern w:val="32"/>
          <w:sz w:val="22"/>
          <w:szCs w:val="24"/>
          <w:lang w:val="en-GB" w:eastAsia="en-GB"/>
        </w:rPr>
        <w:id w:val="669221256"/>
        <w:docPartObj>
          <w:docPartGallery w:val="Table of Contents"/>
          <w:docPartUnique/>
        </w:docPartObj>
      </w:sdtPr>
      <w:sdtEndPr>
        <w:rPr>
          <w:rFonts w:ascii="Arial" w:hAnsi="Arial"/>
          <w:b w:val="0"/>
          <w:bCs w:val="0"/>
          <w:noProof/>
          <w:spacing w:val="0"/>
          <w:kern w:val="0"/>
          <w:sz w:val="24"/>
          <w:lang w:val="en-US" w:eastAsia="en-US"/>
        </w:rPr>
      </w:sdtEndPr>
      <w:sdtContent>
        <w:p w14:paraId="0D95DA3F" w14:textId="77777777" w:rsidR="00255593" w:rsidRPr="00BA2F5D" w:rsidRDefault="00255593" w:rsidP="008A1BC3">
          <w:pPr>
            <w:pStyle w:val="TOCHeading"/>
            <w:rPr>
              <w:rFonts w:ascii="Times New Roman" w:hAnsi="Times New Roman" w:cs="Times New Roman"/>
              <w:b/>
              <w:color w:val="auto"/>
              <w:sz w:val="40"/>
              <w:szCs w:val="24"/>
            </w:rPr>
          </w:pPr>
          <w:r w:rsidRPr="00BA2F5D">
            <w:rPr>
              <w:rFonts w:ascii="Times New Roman" w:hAnsi="Times New Roman" w:cs="Times New Roman"/>
              <w:color w:val="auto"/>
              <w:sz w:val="22"/>
              <w:szCs w:val="24"/>
            </w:rPr>
            <w:t xml:space="preserve">                                          </w:t>
          </w:r>
          <w:r w:rsidRPr="00BA2F5D">
            <w:rPr>
              <w:rFonts w:ascii="Times New Roman" w:hAnsi="Times New Roman" w:cs="Times New Roman"/>
              <w:color w:val="auto"/>
              <w:sz w:val="40"/>
              <w:szCs w:val="24"/>
            </w:rPr>
            <w:t>Table of Contents</w:t>
          </w:r>
        </w:p>
        <w:p w14:paraId="48E24C19" w14:textId="77777777" w:rsidR="001A1606" w:rsidRDefault="00255593">
          <w:pPr>
            <w:pStyle w:val="TOC3"/>
            <w:tabs>
              <w:tab w:val="right" w:leader="dot" w:pos="10054"/>
            </w:tabs>
            <w:rPr>
              <w:rFonts w:asciiTheme="minorHAnsi" w:eastAsiaTheme="minorEastAsia" w:hAnsiTheme="minorHAnsi" w:cstheme="minorBidi"/>
              <w:noProof/>
              <w:sz w:val="22"/>
              <w:szCs w:val="22"/>
              <w:lang w:val="en-GB"/>
            </w:rPr>
          </w:pPr>
          <w:r w:rsidRPr="00BA2F5D">
            <w:rPr>
              <w:rFonts w:ascii="Times New Roman" w:eastAsiaTheme="majorEastAsia" w:hAnsi="Times New Roman"/>
              <w:sz w:val="22"/>
              <w:szCs w:val="28"/>
            </w:rPr>
            <w:fldChar w:fldCharType="begin"/>
          </w:r>
          <w:r w:rsidRPr="00BA2F5D">
            <w:rPr>
              <w:rFonts w:ascii="Times New Roman" w:hAnsi="Times New Roman"/>
              <w:sz w:val="22"/>
              <w:szCs w:val="28"/>
            </w:rPr>
            <w:instrText xml:space="preserve"> TOC \o "1-3" \h \z \u </w:instrText>
          </w:r>
          <w:r w:rsidRPr="00BA2F5D">
            <w:rPr>
              <w:rFonts w:ascii="Times New Roman" w:eastAsiaTheme="majorEastAsia" w:hAnsi="Times New Roman"/>
              <w:sz w:val="22"/>
              <w:szCs w:val="28"/>
            </w:rPr>
            <w:fldChar w:fldCharType="separate"/>
          </w:r>
          <w:hyperlink w:anchor="_Toc214460692" w:history="1">
            <w:r w:rsidR="001A1606" w:rsidRPr="00286CD1">
              <w:rPr>
                <w:rStyle w:val="Hyperlink"/>
                <w:noProof/>
              </w:rPr>
              <w:t>Marketing Environmental Analysis: Tesla (Pioneer) and BYD (Follower) in the Global EV Industry</w:t>
            </w:r>
            <w:r w:rsidR="001A1606">
              <w:rPr>
                <w:noProof/>
                <w:webHidden/>
              </w:rPr>
              <w:tab/>
            </w:r>
            <w:r w:rsidR="001A1606">
              <w:rPr>
                <w:noProof/>
                <w:webHidden/>
              </w:rPr>
              <w:fldChar w:fldCharType="begin"/>
            </w:r>
            <w:r w:rsidR="001A1606">
              <w:rPr>
                <w:noProof/>
                <w:webHidden/>
              </w:rPr>
              <w:instrText xml:space="preserve"> PAGEREF _Toc214460692 \h </w:instrText>
            </w:r>
            <w:r w:rsidR="001A1606">
              <w:rPr>
                <w:noProof/>
                <w:webHidden/>
              </w:rPr>
            </w:r>
            <w:r w:rsidR="001A1606">
              <w:rPr>
                <w:noProof/>
                <w:webHidden/>
              </w:rPr>
              <w:fldChar w:fldCharType="separate"/>
            </w:r>
            <w:r w:rsidR="001A1606">
              <w:rPr>
                <w:noProof/>
                <w:webHidden/>
              </w:rPr>
              <w:t>4</w:t>
            </w:r>
            <w:r w:rsidR="001A1606">
              <w:rPr>
                <w:noProof/>
                <w:webHidden/>
              </w:rPr>
              <w:fldChar w:fldCharType="end"/>
            </w:r>
          </w:hyperlink>
        </w:p>
        <w:p w14:paraId="2C8E312D" w14:textId="77777777" w:rsidR="001A1606" w:rsidRDefault="001A1606">
          <w:pPr>
            <w:pStyle w:val="TOC1"/>
            <w:rPr>
              <w:rFonts w:asciiTheme="minorHAnsi" w:eastAsiaTheme="minorEastAsia" w:hAnsiTheme="minorHAnsi" w:cstheme="minorBidi"/>
              <w:sz w:val="22"/>
              <w:szCs w:val="22"/>
              <w:lang w:val="en-GB"/>
            </w:rPr>
          </w:pPr>
          <w:hyperlink w:anchor="_Toc214460693" w:history="1">
            <w:r w:rsidRPr="00286CD1">
              <w:rPr>
                <w:rStyle w:val="Hyperlink"/>
              </w:rPr>
              <w:t>1. Introduction</w:t>
            </w:r>
            <w:r>
              <w:rPr>
                <w:webHidden/>
              </w:rPr>
              <w:tab/>
            </w:r>
            <w:r>
              <w:rPr>
                <w:webHidden/>
              </w:rPr>
              <w:fldChar w:fldCharType="begin"/>
            </w:r>
            <w:r>
              <w:rPr>
                <w:webHidden/>
              </w:rPr>
              <w:instrText xml:space="preserve"> PAGEREF _Toc214460693 \h </w:instrText>
            </w:r>
            <w:r>
              <w:rPr>
                <w:webHidden/>
              </w:rPr>
            </w:r>
            <w:r>
              <w:rPr>
                <w:webHidden/>
              </w:rPr>
              <w:fldChar w:fldCharType="separate"/>
            </w:r>
            <w:r>
              <w:rPr>
                <w:webHidden/>
              </w:rPr>
              <w:t>4</w:t>
            </w:r>
            <w:r>
              <w:rPr>
                <w:webHidden/>
              </w:rPr>
              <w:fldChar w:fldCharType="end"/>
            </w:r>
          </w:hyperlink>
        </w:p>
        <w:p w14:paraId="660159DF"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694" w:history="1">
            <w:r w:rsidRPr="00286CD1">
              <w:rPr>
                <w:rStyle w:val="Hyperlink"/>
                <w:noProof/>
              </w:rPr>
              <w:t>1.1 Strategic Marketing Management and Its Relevance</w:t>
            </w:r>
            <w:r>
              <w:rPr>
                <w:noProof/>
                <w:webHidden/>
              </w:rPr>
              <w:tab/>
            </w:r>
            <w:r>
              <w:rPr>
                <w:noProof/>
                <w:webHidden/>
              </w:rPr>
              <w:fldChar w:fldCharType="begin"/>
            </w:r>
            <w:r>
              <w:rPr>
                <w:noProof/>
                <w:webHidden/>
              </w:rPr>
              <w:instrText xml:space="preserve"> PAGEREF _Toc214460694 \h </w:instrText>
            </w:r>
            <w:r>
              <w:rPr>
                <w:noProof/>
                <w:webHidden/>
              </w:rPr>
            </w:r>
            <w:r>
              <w:rPr>
                <w:noProof/>
                <w:webHidden/>
              </w:rPr>
              <w:fldChar w:fldCharType="separate"/>
            </w:r>
            <w:r>
              <w:rPr>
                <w:noProof/>
                <w:webHidden/>
              </w:rPr>
              <w:t>4</w:t>
            </w:r>
            <w:r>
              <w:rPr>
                <w:noProof/>
                <w:webHidden/>
              </w:rPr>
              <w:fldChar w:fldCharType="end"/>
            </w:r>
          </w:hyperlink>
        </w:p>
        <w:p w14:paraId="5CE1A7A3"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695" w:history="1">
            <w:r w:rsidRPr="00286CD1">
              <w:rPr>
                <w:rStyle w:val="Hyperlink"/>
                <w:noProof/>
              </w:rPr>
              <w:t>1.2 Importance of Analysing the Macro Environment</w:t>
            </w:r>
            <w:r>
              <w:rPr>
                <w:noProof/>
                <w:webHidden/>
              </w:rPr>
              <w:tab/>
            </w:r>
            <w:r>
              <w:rPr>
                <w:noProof/>
                <w:webHidden/>
              </w:rPr>
              <w:fldChar w:fldCharType="begin"/>
            </w:r>
            <w:r>
              <w:rPr>
                <w:noProof/>
                <w:webHidden/>
              </w:rPr>
              <w:instrText xml:space="preserve"> PAGEREF _Toc214460695 \h </w:instrText>
            </w:r>
            <w:r>
              <w:rPr>
                <w:noProof/>
                <w:webHidden/>
              </w:rPr>
            </w:r>
            <w:r>
              <w:rPr>
                <w:noProof/>
                <w:webHidden/>
              </w:rPr>
              <w:fldChar w:fldCharType="separate"/>
            </w:r>
            <w:r>
              <w:rPr>
                <w:noProof/>
                <w:webHidden/>
              </w:rPr>
              <w:t>5</w:t>
            </w:r>
            <w:r>
              <w:rPr>
                <w:noProof/>
                <w:webHidden/>
              </w:rPr>
              <w:fldChar w:fldCharType="end"/>
            </w:r>
          </w:hyperlink>
        </w:p>
        <w:p w14:paraId="57E8FA12"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696" w:history="1">
            <w:r w:rsidRPr="00286CD1">
              <w:rPr>
                <w:rStyle w:val="Hyperlink"/>
                <w:noProof/>
              </w:rPr>
              <w:t>1.3 Scope and Structure of the Report</w:t>
            </w:r>
            <w:r>
              <w:rPr>
                <w:noProof/>
                <w:webHidden/>
              </w:rPr>
              <w:tab/>
            </w:r>
            <w:r>
              <w:rPr>
                <w:noProof/>
                <w:webHidden/>
              </w:rPr>
              <w:fldChar w:fldCharType="begin"/>
            </w:r>
            <w:r>
              <w:rPr>
                <w:noProof/>
                <w:webHidden/>
              </w:rPr>
              <w:instrText xml:space="preserve"> PAGEREF _Toc214460696 \h </w:instrText>
            </w:r>
            <w:r>
              <w:rPr>
                <w:noProof/>
                <w:webHidden/>
              </w:rPr>
            </w:r>
            <w:r>
              <w:rPr>
                <w:noProof/>
                <w:webHidden/>
              </w:rPr>
              <w:fldChar w:fldCharType="separate"/>
            </w:r>
            <w:r>
              <w:rPr>
                <w:noProof/>
                <w:webHidden/>
              </w:rPr>
              <w:t>5</w:t>
            </w:r>
            <w:r>
              <w:rPr>
                <w:noProof/>
                <w:webHidden/>
              </w:rPr>
              <w:fldChar w:fldCharType="end"/>
            </w:r>
          </w:hyperlink>
        </w:p>
        <w:p w14:paraId="1FCE66EC" w14:textId="77777777" w:rsidR="001A1606" w:rsidRDefault="001A1606">
          <w:pPr>
            <w:pStyle w:val="TOC1"/>
            <w:rPr>
              <w:rFonts w:asciiTheme="minorHAnsi" w:eastAsiaTheme="minorEastAsia" w:hAnsiTheme="minorHAnsi" w:cstheme="minorBidi"/>
              <w:sz w:val="22"/>
              <w:szCs w:val="22"/>
              <w:lang w:val="en-GB"/>
            </w:rPr>
          </w:pPr>
          <w:hyperlink w:anchor="_Toc214460697" w:history="1">
            <w:r w:rsidRPr="00286CD1">
              <w:rPr>
                <w:rStyle w:val="Hyperlink"/>
              </w:rPr>
              <w:t>2. Task 1: Critical Analysis of the Macro Marketing Environment</w:t>
            </w:r>
            <w:r>
              <w:rPr>
                <w:webHidden/>
              </w:rPr>
              <w:tab/>
            </w:r>
            <w:r>
              <w:rPr>
                <w:webHidden/>
              </w:rPr>
              <w:fldChar w:fldCharType="begin"/>
            </w:r>
            <w:r>
              <w:rPr>
                <w:webHidden/>
              </w:rPr>
              <w:instrText xml:space="preserve"> PAGEREF _Toc214460697 \h </w:instrText>
            </w:r>
            <w:r>
              <w:rPr>
                <w:webHidden/>
              </w:rPr>
            </w:r>
            <w:r>
              <w:rPr>
                <w:webHidden/>
              </w:rPr>
              <w:fldChar w:fldCharType="separate"/>
            </w:r>
            <w:r>
              <w:rPr>
                <w:webHidden/>
              </w:rPr>
              <w:t>6</w:t>
            </w:r>
            <w:r>
              <w:rPr>
                <w:webHidden/>
              </w:rPr>
              <w:fldChar w:fldCharType="end"/>
            </w:r>
          </w:hyperlink>
        </w:p>
        <w:p w14:paraId="4C4F322B"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698" w:history="1">
            <w:r w:rsidRPr="00286CD1">
              <w:rPr>
                <w:rStyle w:val="Hyperlink"/>
                <w:noProof/>
              </w:rPr>
              <w:t>2.1 Understanding the Macro Marketing Environment</w:t>
            </w:r>
            <w:r>
              <w:rPr>
                <w:noProof/>
                <w:webHidden/>
              </w:rPr>
              <w:tab/>
            </w:r>
            <w:r>
              <w:rPr>
                <w:noProof/>
                <w:webHidden/>
              </w:rPr>
              <w:fldChar w:fldCharType="begin"/>
            </w:r>
            <w:r>
              <w:rPr>
                <w:noProof/>
                <w:webHidden/>
              </w:rPr>
              <w:instrText xml:space="preserve"> PAGEREF _Toc214460698 \h </w:instrText>
            </w:r>
            <w:r>
              <w:rPr>
                <w:noProof/>
                <w:webHidden/>
              </w:rPr>
            </w:r>
            <w:r>
              <w:rPr>
                <w:noProof/>
                <w:webHidden/>
              </w:rPr>
              <w:fldChar w:fldCharType="separate"/>
            </w:r>
            <w:r>
              <w:rPr>
                <w:noProof/>
                <w:webHidden/>
              </w:rPr>
              <w:t>6</w:t>
            </w:r>
            <w:r>
              <w:rPr>
                <w:noProof/>
                <w:webHidden/>
              </w:rPr>
              <w:fldChar w:fldCharType="end"/>
            </w:r>
          </w:hyperlink>
        </w:p>
        <w:p w14:paraId="15446B93"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699" w:history="1">
            <w:r w:rsidRPr="00286CD1">
              <w:rPr>
                <w:rStyle w:val="Hyperlink"/>
                <w:noProof/>
              </w:rPr>
              <w:t>2.1.1 The Concept and Purpose of Macro-Environment Analysis</w:t>
            </w:r>
            <w:r>
              <w:rPr>
                <w:noProof/>
                <w:webHidden/>
              </w:rPr>
              <w:tab/>
            </w:r>
            <w:r>
              <w:rPr>
                <w:noProof/>
                <w:webHidden/>
              </w:rPr>
              <w:fldChar w:fldCharType="begin"/>
            </w:r>
            <w:r>
              <w:rPr>
                <w:noProof/>
                <w:webHidden/>
              </w:rPr>
              <w:instrText xml:space="preserve"> PAGEREF _Toc214460699 \h </w:instrText>
            </w:r>
            <w:r>
              <w:rPr>
                <w:noProof/>
                <w:webHidden/>
              </w:rPr>
            </w:r>
            <w:r>
              <w:rPr>
                <w:noProof/>
                <w:webHidden/>
              </w:rPr>
              <w:fldChar w:fldCharType="separate"/>
            </w:r>
            <w:r>
              <w:rPr>
                <w:noProof/>
                <w:webHidden/>
              </w:rPr>
              <w:t>6</w:t>
            </w:r>
            <w:r>
              <w:rPr>
                <w:noProof/>
                <w:webHidden/>
              </w:rPr>
              <w:fldChar w:fldCharType="end"/>
            </w:r>
          </w:hyperlink>
        </w:p>
        <w:p w14:paraId="7CDF929B"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00" w:history="1">
            <w:r w:rsidRPr="00286CD1">
              <w:rPr>
                <w:rStyle w:val="Hyperlink"/>
                <w:noProof/>
              </w:rPr>
              <w:t>2.1.2 The PESTEL Framework as a Diagnostic Tool</w:t>
            </w:r>
            <w:r>
              <w:rPr>
                <w:noProof/>
                <w:webHidden/>
              </w:rPr>
              <w:tab/>
            </w:r>
            <w:r>
              <w:rPr>
                <w:noProof/>
                <w:webHidden/>
              </w:rPr>
              <w:fldChar w:fldCharType="begin"/>
            </w:r>
            <w:r>
              <w:rPr>
                <w:noProof/>
                <w:webHidden/>
              </w:rPr>
              <w:instrText xml:space="preserve"> PAGEREF _Toc214460700 \h </w:instrText>
            </w:r>
            <w:r>
              <w:rPr>
                <w:noProof/>
                <w:webHidden/>
              </w:rPr>
            </w:r>
            <w:r>
              <w:rPr>
                <w:noProof/>
                <w:webHidden/>
              </w:rPr>
              <w:fldChar w:fldCharType="separate"/>
            </w:r>
            <w:r>
              <w:rPr>
                <w:noProof/>
                <w:webHidden/>
              </w:rPr>
              <w:t>7</w:t>
            </w:r>
            <w:r>
              <w:rPr>
                <w:noProof/>
                <w:webHidden/>
              </w:rPr>
              <w:fldChar w:fldCharType="end"/>
            </w:r>
          </w:hyperlink>
        </w:p>
        <w:p w14:paraId="28084AF5"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1" w:history="1">
            <w:r w:rsidRPr="00286CD1">
              <w:rPr>
                <w:rStyle w:val="Hyperlink"/>
                <w:noProof/>
              </w:rPr>
              <w:t>2.2 Selected Macro Actors: Technological and Environmental Forces</w:t>
            </w:r>
            <w:r>
              <w:rPr>
                <w:noProof/>
                <w:webHidden/>
              </w:rPr>
              <w:tab/>
            </w:r>
            <w:r>
              <w:rPr>
                <w:noProof/>
                <w:webHidden/>
              </w:rPr>
              <w:fldChar w:fldCharType="begin"/>
            </w:r>
            <w:r>
              <w:rPr>
                <w:noProof/>
                <w:webHidden/>
              </w:rPr>
              <w:instrText xml:space="preserve"> PAGEREF _Toc214460701 \h </w:instrText>
            </w:r>
            <w:r>
              <w:rPr>
                <w:noProof/>
                <w:webHidden/>
              </w:rPr>
            </w:r>
            <w:r>
              <w:rPr>
                <w:noProof/>
                <w:webHidden/>
              </w:rPr>
              <w:fldChar w:fldCharType="separate"/>
            </w:r>
            <w:r>
              <w:rPr>
                <w:noProof/>
                <w:webHidden/>
              </w:rPr>
              <w:t>8</w:t>
            </w:r>
            <w:r>
              <w:rPr>
                <w:noProof/>
                <w:webHidden/>
              </w:rPr>
              <w:fldChar w:fldCharType="end"/>
            </w:r>
          </w:hyperlink>
        </w:p>
        <w:p w14:paraId="61305C36"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02" w:history="1">
            <w:r w:rsidRPr="00286CD1">
              <w:rPr>
                <w:rStyle w:val="Hyperlink"/>
                <w:noProof/>
              </w:rPr>
              <w:t>2.2.1 Rationale for Selecting Technological Forces</w:t>
            </w:r>
            <w:r>
              <w:rPr>
                <w:noProof/>
                <w:webHidden/>
              </w:rPr>
              <w:tab/>
            </w:r>
            <w:r>
              <w:rPr>
                <w:noProof/>
                <w:webHidden/>
              </w:rPr>
              <w:fldChar w:fldCharType="begin"/>
            </w:r>
            <w:r>
              <w:rPr>
                <w:noProof/>
                <w:webHidden/>
              </w:rPr>
              <w:instrText xml:space="preserve"> PAGEREF _Toc214460702 \h </w:instrText>
            </w:r>
            <w:r>
              <w:rPr>
                <w:noProof/>
                <w:webHidden/>
              </w:rPr>
            </w:r>
            <w:r>
              <w:rPr>
                <w:noProof/>
                <w:webHidden/>
              </w:rPr>
              <w:fldChar w:fldCharType="separate"/>
            </w:r>
            <w:r>
              <w:rPr>
                <w:noProof/>
                <w:webHidden/>
              </w:rPr>
              <w:t>8</w:t>
            </w:r>
            <w:r>
              <w:rPr>
                <w:noProof/>
                <w:webHidden/>
              </w:rPr>
              <w:fldChar w:fldCharType="end"/>
            </w:r>
          </w:hyperlink>
        </w:p>
        <w:p w14:paraId="174E8133"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03" w:history="1">
            <w:r w:rsidRPr="00286CD1">
              <w:rPr>
                <w:rStyle w:val="Hyperlink"/>
                <w:noProof/>
              </w:rPr>
              <w:t>2.2.2 Rationale for Selecting Environmental Forces</w:t>
            </w:r>
            <w:r>
              <w:rPr>
                <w:noProof/>
                <w:webHidden/>
              </w:rPr>
              <w:tab/>
            </w:r>
            <w:r>
              <w:rPr>
                <w:noProof/>
                <w:webHidden/>
              </w:rPr>
              <w:fldChar w:fldCharType="begin"/>
            </w:r>
            <w:r>
              <w:rPr>
                <w:noProof/>
                <w:webHidden/>
              </w:rPr>
              <w:instrText xml:space="preserve"> PAGEREF _Toc214460703 \h </w:instrText>
            </w:r>
            <w:r>
              <w:rPr>
                <w:noProof/>
                <w:webHidden/>
              </w:rPr>
            </w:r>
            <w:r>
              <w:rPr>
                <w:noProof/>
                <w:webHidden/>
              </w:rPr>
              <w:fldChar w:fldCharType="separate"/>
            </w:r>
            <w:r>
              <w:rPr>
                <w:noProof/>
                <w:webHidden/>
              </w:rPr>
              <w:t>9</w:t>
            </w:r>
            <w:r>
              <w:rPr>
                <w:noProof/>
                <w:webHidden/>
              </w:rPr>
              <w:fldChar w:fldCharType="end"/>
            </w:r>
          </w:hyperlink>
        </w:p>
        <w:p w14:paraId="39BF457D" w14:textId="77777777" w:rsidR="001A1606" w:rsidRDefault="001A1606">
          <w:pPr>
            <w:pStyle w:val="TOC1"/>
            <w:rPr>
              <w:rFonts w:asciiTheme="minorHAnsi" w:eastAsiaTheme="minorEastAsia" w:hAnsiTheme="minorHAnsi" w:cstheme="minorBidi"/>
              <w:sz w:val="22"/>
              <w:szCs w:val="22"/>
              <w:lang w:val="en-GB"/>
            </w:rPr>
          </w:pPr>
          <w:hyperlink w:anchor="_Toc214460704" w:history="1">
            <w:r w:rsidRPr="00286CD1">
              <w:rPr>
                <w:rStyle w:val="Hyperlink"/>
              </w:rPr>
              <w:t>3. Detailed Examination of Technological Forces in the EV Industry</w:t>
            </w:r>
            <w:r>
              <w:rPr>
                <w:webHidden/>
              </w:rPr>
              <w:tab/>
            </w:r>
            <w:r>
              <w:rPr>
                <w:webHidden/>
              </w:rPr>
              <w:fldChar w:fldCharType="begin"/>
            </w:r>
            <w:r>
              <w:rPr>
                <w:webHidden/>
              </w:rPr>
              <w:instrText xml:space="preserve"> PAGEREF _Toc214460704 \h </w:instrText>
            </w:r>
            <w:r>
              <w:rPr>
                <w:webHidden/>
              </w:rPr>
            </w:r>
            <w:r>
              <w:rPr>
                <w:webHidden/>
              </w:rPr>
              <w:fldChar w:fldCharType="separate"/>
            </w:r>
            <w:r>
              <w:rPr>
                <w:webHidden/>
              </w:rPr>
              <w:t>9</w:t>
            </w:r>
            <w:r>
              <w:rPr>
                <w:webHidden/>
              </w:rPr>
              <w:fldChar w:fldCharType="end"/>
            </w:r>
          </w:hyperlink>
        </w:p>
        <w:p w14:paraId="79D99C95"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5" w:history="1">
            <w:r w:rsidRPr="00286CD1">
              <w:rPr>
                <w:rStyle w:val="Hyperlink"/>
                <w:noProof/>
              </w:rPr>
              <w:t>3.1 Evolution of Battery Technology</w:t>
            </w:r>
            <w:r>
              <w:rPr>
                <w:noProof/>
                <w:webHidden/>
              </w:rPr>
              <w:tab/>
            </w:r>
            <w:r>
              <w:rPr>
                <w:noProof/>
                <w:webHidden/>
              </w:rPr>
              <w:fldChar w:fldCharType="begin"/>
            </w:r>
            <w:r>
              <w:rPr>
                <w:noProof/>
                <w:webHidden/>
              </w:rPr>
              <w:instrText xml:space="preserve"> PAGEREF _Toc214460705 \h </w:instrText>
            </w:r>
            <w:r>
              <w:rPr>
                <w:noProof/>
                <w:webHidden/>
              </w:rPr>
            </w:r>
            <w:r>
              <w:rPr>
                <w:noProof/>
                <w:webHidden/>
              </w:rPr>
              <w:fldChar w:fldCharType="separate"/>
            </w:r>
            <w:r>
              <w:rPr>
                <w:noProof/>
                <w:webHidden/>
              </w:rPr>
              <w:t>9</w:t>
            </w:r>
            <w:r>
              <w:rPr>
                <w:noProof/>
                <w:webHidden/>
              </w:rPr>
              <w:fldChar w:fldCharType="end"/>
            </w:r>
          </w:hyperlink>
        </w:p>
        <w:p w14:paraId="2C58E79B"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6" w:history="1">
            <w:r w:rsidRPr="00286CD1">
              <w:rPr>
                <w:rStyle w:val="Hyperlink"/>
                <w:noProof/>
              </w:rPr>
              <w:t>3.2 Autonomous Driving and Software Ecosystems</w:t>
            </w:r>
            <w:r>
              <w:rPr>
                <w:noProof/>
                <w:webHidden/>
              </w:rPr>
              <w:tab/>
            </w:r>
            <w:r>
              <w:rPr>
                <w:noProof/>
                <w:webHidden/>
              </w:rPr>
              <w:fldChar w:fldCharType="begin"/>
            </w:r>
            <w:r>
              <w:rPr>
                <w:noProof/>
                <w:webHidden/>
              </w:rPr>
              <w:instrText xml:space="preserve"> PAGEREF _Toc214460706 \h </w:instrText>
            </w:r>
            <w:r>
              <w:rPr>
                <w:noProof/>
                <w:webHidden/>
              </w:rPr>
            </w:r>
            <w:r>
              <w:rPr>
                <w:noProof/>
                <w:webHidden/>
              </w:rPr>
              <w:fldChar w:fldCharType="separate"/>
            </w:r>
            <w:r>
              <w:rPr>
                <w:noProof/>
                <w:webHidden/>
              </w:rPr>
              <w:t>11</w:t>
            </w:r>
            <w:r>
              <w:rPr>
                <w:noProof/>
                <w:webHidden/>
              </w:rPr>
              <w:fldChar w:fldCharType="end"/>
            </w:r>
          </w:hyperlink>
        </w:p>
        <w:p w14:paraId="69B9F94D"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7" w:history="1">
            <w:r w:rsidRPr="00286CD1">
              <w:rPr>
                <w:rStyle w:val="Hyperlink"/>
                <w:noProof/>
              </w:rPr>
              <w:t>3.3 Innovation in Charging Infrastructure</w:t>
            </w:r>
            <w:r>
              <w:rPr>
                <w:noProof/>
                <w:webHidden/>
              </w:rPr>
              <w:tab/>
            </w:r>
            <w:r>
              <w:rPr>
                <w:noProof/>
                <w:webHidden/>
              </w:rPr>
              <w:fldChar w:fldCharType="begin"/>
            </w:r>
            <w:r>
              <w:rPr>
                <w:noProof/>
                <w:webHidden/>
              </w:rPr>
              <w:instrText xml:space="preserve"> PAGEREF _Toc214460707 \h </w:instrText>
            </w:r>
            <w:r>
              <w:rPr>
                <w:noProof/>
                <w:webHidden/>
              </w:rPr>
            </w:r>
            <w:r>
              <w:rPr>
                <w:noProof/>
                <w:webHidden/>
              </w:rPr>
              <w:fldChar w:fldCharType="separate"/>
            </w:r>
            <w:r>
              <w:rPr>
                <w:noProof/>
                <w:webHidden/>
              </w:rPr>
              <w:t>11</w:t>
            </w:r>
            <w:r>
              <w:rPr>
                <w:noProof/>
                <w:webHidden/>
              </w:rPr>
              <w:fldChar w:fldCharType="end"/>
            </w:r>
          </w:hyperlink>
        </w:p>
        <w:p w14:paraId="1E9DF091"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8" w:history="1">
            <w:r w:rsidRPr="00286CD1">
              <w:rPr>
                <w:rStyle w:val="Hyperlink"/>
                <w:noProof/>
              </w:rPr>
              <w:t>3.4 Technological Threats Facing the EV Industry</w:t>
            </w:r>
            <w:r>
              <w:rPr>
                <w:noProof/>
                <w:webHidden/>
              </w:rPr>
              <w:tab/>
            </w:r>
            <w:r>
              <w:rPr>
                <w:noProof/>
                <w:webHidden/>
              </w:rPr>
              <w:fldChar w:fldCharType="begin"/>
            </w:r>
            <w:r>
              <w:rPr>
                <w:noProof/>
                <w:webHidden/>
              </w:rPr>
              <w:instrText xml:space="preserve"> PAGEREF _Toc214460708 \h </w:instrText>
            </w:r>
            <w:r>
              <w:rPr>
                <w:noProof/>
                <w:webHidden/>
              </w:rPr>
            </w:r>
            <w:r>
              <w:rPr>
                <w:noProof/>
                <w:webHidden/>
              </w:rPr>
              <w:fldChar w:fldCharType="separate"/>
            </w:r>
            <w:r>
              <w:rPr>
                <w:noProof/>
                <w:webHidden/>
              </w:rPr>
              <w:t>12</w:t>
            </w:r>
            <w:r>
              <w:rPr>
                <w:noProof/>
                <w:webHidden/>
              </w:rPr>
              <w:fldChar w:fldCharType="end"/>
            </w:r>
          </w:hyperlink>
        </w:p>
        <w:p w14:paraId="2C22AC3D" w14:textId="77777777" w:rsidR="001A1606" w:rsidRDefault="001A1606">
          <w:pPr>
            <w:pStyle w:val="TOC1"/>
            <w:rPr>
              <w:rFonts w:asciiTheme="minorHAnsi" w:eastAsiaTheme="minorEastAsia" w:hAnsiTheme="minorHAnsi" w:cstheme="minorBidi"/>
              <w:sz w:val="22"/>
              <w:szCs w:val="22"/>
              <w:lang w:val="en-GB"/>
            </w:rPr>
          </w:pPr>
          <w:hyperlink w:anchor="_Toc214460709" w:history="1">
            <w:r w:rsidRPr="00286CD1">
              <w:rPr>
                <w:rStyle w:val="Hyperlink"/>
              </w:rPr>
              <w:t>4. Detailed Examination of Environmental Forces in the EV Industry</w:t>
            </w:r>
            <w:r>
              <w:rPr>
                <w:webHidden/>
              </w:rPr>
              <w:tab/>
            </w:r>
            <w:r>
              <w:rPr>
                <w:webHidden/>
              </w:rPr>
              <w:fldChar w:fldCharType="begin"/>
            </w:r>
            <w:r>
              <w:rPr>
                <w:webHidden/>
              </w:rPr>
              <w:instrText xml:space="preserve"> PAGEREF _Toc214460709 \h </w:instrText>
            </w:r>
            <w:r>
              <w:rPr>
                <w:webHidden/>
              </w:rPr>
            </w:r>
            <w:r>
              <w:rPr>
                <w:webHidden/>
              </w:rPr>
              <w:fldChar w:fldCharType="separate"/>
            </w:r>
            <w:r>
              <w:rPr>
                <w:webHidden/>
              </w:rPr>
              <w:t>12</w:t>
            </w:r>
            <w:r>
              <w:rPr>
                <w:webHidden/>
              </w:rPr>
              <w:fldChar w:fldCharType="end"/>
            </w:r>
          </w:hyperlink>
        </w:p>
        <w:p w14:paraId="49367787"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0" w:history="1">
            <w:r w:rsidRPr="00286CD1">
              <w:rPr>
                <w:rStyle w:val="Hyperlink"/>
                <w:noProof/>
              </w:rPr>
              <w:t>4.1 Climate Change as a Global Driver of EV Adoption</w:t>
            </w:r>
            <w:r>
              <w:rPr>
                <w:noProof/>
                <w:webHidden/>
              </w:rPr>
              <w:tab/>
            </w:r>
            <w:r>
              <w:rPr>
                <w:noProof/>
                <w:webHidden/>
              </w:rPr>
              <w:fldChar w:fldCharType="begin"/>
            </w:r>
            <w:r>
              <w:rPr>
                <w:noProof/>
                <w:webHidden/>
              </w:rPr>
              <w:instrText xml:space="preserve"> PAGEREF _Toc214460710 \h </w:instrText>
            </w:r>
            <w:r>
              <w:rPr>
                <w:noProof/>
                <w:webHidden/>
              </w:rPr>
            </w:r>
            <w:r>
              <w:rPr>
                <w:noProof/>
                <w:webHidden/>
              </w:rPr>
              <w:fldChar w:fldCharType="separate"/>
            </w:r>
            <w:r>
              <w:rPr>
                <w:noProof/>
                <w:webHidden/>
              </w:rPr>
              <w:t>12</w:t>
            </w:r>
            <w:r>
              <w:rPr>
                <w:noProof/>
                <w:webHidden/>
              </w:rPr>
              <w:fldChar w:fldCharType="end"/>
            </w:r>
          </w:hyperlink>
        </w:p>
        <w:p w14:paraId="499447F0"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1" w:history="1">
            <w:r w:rsidRPr="00286CD1">
              <w:rPr>
                <w:rStyle w:val="Hyperlink"/>
                <w:noProof/>
              </w:rPr>
              <w:t>4.2 Environmental Shifts in Consumer Attitudes</w:t>
            </w:r>
            <w:r>
              <w:rPr>
                <w:noProof/>
                <w:webHidden/>
              </w:rPr>
              <w:tab/>
            </w:r>
            <w:r>
              <w:rPr>
                <w:noProof/>
                <w:webHidden/>
              </w:rPr>
              <w:fldChar w:fldCharType="begin"/>
            </w:r>
            <w:r>
              <w:rPr>
                <w:noProof/>
                <w:webHidden/>
              </w:rPr>
              <w:instrText xml:space="preserve"> PAGEREF _Toc214460711 \h </w:instrText>
            </w:r>
            <w:r>
              <w:rPr>
                <w:noProof/>
                <w:webHidden/>
              </w:rPr>
            </w:r>
            <w:r>
              <w:rPr>
                <w:noProof/>
                <w:webHidden/>
              </w:rPr>
              <w:fldChar w:fldCharType="separate"/>
            </w:r>
            <w:r>
              <w:rPr>
                <w:noProof/>
                <w:webHidden/>
              </w:rPr>
              <w:t>13</w:t>
            </w:r>
            <w:r>
              <w:rPr>
                <w:noProof/>
                <w:webHidden/>
              </w:rPr>
              <w:fldChar w:fldCharType="end"/>
            </w:r>
          </w:hyperlink>
        </w:p>
        <w:p w14:paraId="5898B07B"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2" w:history="1">
            <w:r w:rsidRPr="00286CD1">
              <w:rPr>
                <w:rStyle w:val="Hyperlink"/>
                <w:noProof/>
              </w:rPr>
              <w:t>4.3 Sustainability Challenges Associated with EV Production</w:t>
            </w:r>
            <w:r>
              <w:rPr>
                <w:noProof/>
                <w:webHidden/>
              </w:rPr>
              <w:tab/>
            </w:r>
            <w:r>
              <w:rPr>
                <w:noProof/>
                <w:webHidden/>
              </w:rPr>
              <w:fldChar w:fldCharType="begin"/>
            </w:r>
            <w:r>
              <w:rPr>
                <w:noProof/>
                <w:webHidden/>
              </w:rPr>
              <w:instrText xml:space="preserve"> PAGEREF _Toc214460712 \h </w:instrText>
            </w:r>
            <w:r>
              <w:rPr>
                <w:noProof/>
                <w:webHidden/>
              </w:rPr>
            </w:r>
            <w:r>
              <w:rPr>
                <w:noProof/>
                <w:webHidden/>
              </w:rPr>
              <w:fldChar w:fldCharType="separate"/>
            </w:r>
            <w:r>
              <w:rPr>
                <w:noProof/>
                <w:webHidden/>
              </w:rPr>
              <w:t>14</w:t>
            </w:r>
            <w:r>
              <w:rPr>
                <w:noProof/>
                <w:webHidden/>
              </w:rPr>
              <w:fldChar w:fldCharType="end"/>
            </w:r>
          </w:hyperlink>
        </w:p>
        <w:p w14:paraId="74B746E8"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3" w:history="1">
            <w:r w:rsidRPr="00286CD1">
              <w:rPr>
                <w:rStyle w:val="Hyperlink"/>
                <w:noProof/>
              </w:rPr>
              <w:t>4.4 Environmental Opportunities and Threats</w:t>
            </w:r>
            <w:r>
              <w:rPr>
                <w:noProof/>
                <w:webHidden/>
              </w:rPr>
              <w:tab/>
            </w:r>
            <w:r>
              <w:rPr>
                <w:noProof/>
                <w:webHidden/>
              </w:rPr>
              <w:fldChar w:fldCharType="begin"/>
            </w:r>
            <w:r>
              <w:rPr>
                <w:noProof/>
                <w:webHidden/>
              </w:rPr>
              <w:instrText xml:space="preserve"> PAGEREF _Toc214460713 \h </w:instrText>
            </w:r>
            <w:r>
              <w:rPr>
                <w:noProof/>
                <w:webHidden/>
              </w:rPr>
            </w:r>
            <w:r>
              <w:rPr>
                <w:noProof/>
                <w:webHidden/>
              </w:rPr>
              <w:fldChar w:fldCharType="separate"/>
            </w:r>
            <w:r>
              <w:rPr>
                <w:noProof/>
                <w:webHidden/>
              </w:rPr>
              <w:t>14</w:t>
            </w:r>
            <w:r>
              <w:rPr>
                <w:noProof/>
                <w:webHidden/>
              </w:rPr>
              <w:fldChar w:fldCharType="end"/>
            </w:r>
          </w:hyperlink>
        </w:p>
        <w:p w14:paraId="36282586" w14:textId="77777777" w:rsidR="001A1606" w:rsidRDefault="001A1606">
          <w:pPr>
            <w:pStyle w:val="TOC1"/>
            <w:rPr>
              <w:rFonts w:asciiTheme="minorHAnsi" w:eastAsiaTheme="minorEastAsia" w:hAnsiTheme="minorHAnsi" w:cstheme="minorBidi"/>
              <w:sz w:val="22"/>
              <w:szCs w:val="22"/>
              <w:lang w:val="en-GB"/>
            </w:rPr>
          </w:pPr>
          <w:hyperlink w:anchor="_Toc214460714" w:history="1">
            <w:r w:rsidRPr="00286CD1">
              <w:rPr>
                <w:rStyle w:val="Hyperlink"/>
              </w:rPr>
              <w:t>5. Task 2: Strategic Responses of Pioneers and Followers</w:t>
            </w:r>
            <w:r>
              <w:rPr>
                <w:webHidden/>
              </w:rPr>
              <w:tab/>
            </w:r>
            <w:r>
              <w:rPr>
                <w:webHidden/>
              </w:rPr>
              <w:fldChar w:fldCharType="begin"/>
            </w:r>
            <w:r>
              <w:rPr>
                <w:webHidden/>
              </w:rPr>
              <w:instrText xml:space="preserve"> PAGEREF _Toc214460714 \h </w:instrText>
            </w:r>
            <w:r>
              <w:rPr>
                <w:webHidden/>
              </w:rPr>
            </w:r>
            <w:r>
              <w:rPr>
                <w:webHidden/>
              </w:rPr>
              <w:fldChar w:fldCharType="separate"/>
            </w:r>
            <w:r>
              <w:rPr>
                <w:webHidden/>
              </w:rPr>
              <w:t>15</w:t>
            </w:r>
            <w:r>
              <w:rPr>
                <w:webHidden/>
              </w:rPr>
              <w:fldChar w:fldCharType="end"/>
            </w:r>
          </w:hyperlink>
        </w:p>
        <w:p w14:paraId="3D34473E"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5" w:history="1">
            <w:r w:rsidRPr="00286CD1">
              <w:rPr>
                <w:rStyle w:val="Hyperlink"/>
                <w:noProof/>
              </w:rPr>
              <w:t>5.1 Strategic Responses of Tesla (Pioneer)</w:t>
            </w:r>
            <w:r>
              <w:rPr>
                <w:noProof/>
                <w:webHidden/>
              </w:rPr>
              <w:tab/>
            </w:r>
            <w:r>
              <w:rPr>
                <w:noProof/>
                <w:webHidden/>
              </w:rPr>
              <w:fldChar w:fldCharType="begin"/>
            </w:r>
            <w:r>
              <w:rPr>
                <w:noProof/>
                <w:webHidden/>
              </w:rPr>
              <w:instrText xml:space="preserve"> PAGEREF _Toc214460715 \h </w:instrText>
            </w:r>
            <w:r>
              <w:rPr>
                <w:noProof/>
                <w:webHidden/>
              </w:rPr>
            </w:r>
            <w:r>
              <w:rPr>
                <w:noProof/>
                <w:webHidden/>
              </w:rPr>
              <w:fldChar w:fldCharType="separate"/>
            </w:r>
            <w:r>
              <w:rPr>
                <w:noProof/>
                <w:webHidden/>
              </w:rPr>
              <w:t>15</w:t>
            </w:r>
            <w:r>
              <w:rPr>
                <w:noProof/>
                <w:webHidden/>
              </w:rPr>
              <w:fldChar w:fldCharType="end"/>
            </w:r>
          </w:hyperlink>
        </w:p>
        <w:p w14:paraId="199DECE4"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16" w:history="1">
            <w:r w:rsidRPr="00286CD1">
              <w:rPr>
                <w:rStyle w:val="Hyperlink"/>
                <w:noProof/>
              </w:rPr>
              <w:t>5.1.1 Application of Ansoff’s Growth Matrix</w:t>
            </w:r>
            <w:r>
              <w:rPr>
                <w:noProof/>
                <w:webHidden/>
              </w:rPr>
              <w:tab/>
            </w:r>
            <w:r>
              <w:rPr>
                <w:noProof/>
                <w:webHidden/>
              </w:rPr>
              <w:fldChar w:fldCharType="begin"/>
            </w:r>
            <w:r>
              <w:rPr>
                <w:noProof/>
                <w:webHidden/>
              </w:rPr>
              <w:instrText xml:space="preserve"> PAGEREF _Toc214460716 \h </w:instrText>
            </w:r>
            <w:r>
              <w:rPr>
                <w:noProof/>
                <w:webHidden/>
              </w:rPr>
            </w:r>
            <w:r>
              <w:rPr>
                <w:noProof/>
                <w:webHidden/>
              </w:rPr>
              <w:fldChar w:fldCharType="separate"/>
            </w:r>
            <w:r>
              <w:rPr>
                <w:noProof/>
                <w:webHidden/>
              </w:rPr>
              <w:t>15</w:t>
            </w:r>
            <w:r>
              <w:rPr>
                <w:noProof/>
                <w:webHidden/>
              </w:rPr>
              <w:fldChar w:fldCharType="end"/>
            </w:r>
          </w:hyperlink>
        </w:p>
        <w:p w14:paraId="5A95B8B9"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17" w:history="1">
            <w:r w:rsidRPr="00286CD1">
              <w:rPr>
                <w:rStyle w:val="Hyperlink"/>
                <w:noProof/>
              </w:rPr>
              <w:t>5.1.2 Porter’s Differentiation Strategy and Tesla’s Competitive Advantage</w:t>
            </w:r>
            <w:r>
              <w:rPr>
                <w:noProof/>
                <w:webHidden/>
              </w:rPr>
              <w:tab/>
            </w:r>
            <w:r>
              <w:rPr>
                <w:noProof/>
                <w:webHidden/>
              </w:rPr>
              <w:fldChar w:fldCharType="begin"/>
            </w:r>
            <w:r>
              <w:rPr>
                <w:noProof/>
                <w:webHidden/>
              </w:rPr>
              <w:instrText xml:space="preserve"> PAGEREF _Toc214460717 \h </w:instrText>
            </w:r>
            <w:r>
              <w:rPr>
                <w:noProof/>
                <w:webHidden/>
              </w:rPr>
            </w:r>
            <w:r>
              <w:rPr>
                <w:noProof/>
                <w:webHidden/>
              </w:rPr>
              <w:fldChar w:fldCharType="separate"/>
            </w:r>
            <w:r>
              <w:rPr>
                <w:noProof/>
                <w:webHidden/>
              </w:rPr>
              <w:t>17</w:t>
            </w:r>
            <w:r>
              <w:rPr>
                <w:noProof/>
                <w:webHidden/>
              </w:rPr>
              <w:fldChar w:fldCharType="end"/>
            </w:r>
          </w:hyperlink>
        </w:p>
        <w:p w14:paraId="3CDC7F81"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18" w:history="1">
            <w:r w:rsidRPr="00286CD1">
              <w:rPr>
                <w:rStyle w:val="Hyperlink"/>
                <w:noProof/>
              </w:rPr>
              <w:t>5.1.3 Tesla’s Environmental Strategy as a Competitive Lever</w:t>
            </w:r>
            <w:r>
              <w:rPr>
                <w:noProof/>
                <w:webHidden/>
              </w:rPr>
              <w:tab/>
            </w:r>
            <w:r>
              <w:rPr>
                <w:noProof/>
                <w:webHidden/>
              </w:rPr>
              <w:fldChar w:fldCharType="begin"/>
            </w:r>
            <w:r>
              <w:rPr>
                <w:noProof/>
                <w:webHidden/>
              </w:rPr>
              <w:instrText xml:space="preserve"> PAGEREF _Toc214460718 \h </w:instrText>
            </w:r>
            <w:r>
              <w:rPr>
                <w:noProof/>
                <w:webHidden/>
              </w:rPr>
            </w:r>
            <w:r>
              <w:rPr>
                <w:noProof/>
                <w:webHidden/>
              </w:rPr>
              <w:fldChar w:fldCharType="separate"/>
            </w:r>
            <w:r>
              <w:rPr>
                <w:noProof/>
                <w:webHidden/>
              </w:rPr>
              <w:t>17</w:t>
            </w:r>
            <w:r>
              <w:rPr>
                <w:noProof/>
                <w:webHidden/>
              </w:rPr>
              <w:fldChar w:fldCharType="end"/>
            </w:r>
          </w:hyperlink>
        </w:p>
        <w:p w14:paraId="721439B9"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9" w:history="1">
            <w:r w:rsidRPr="00286CD1">
              <w:rPr>
                <w:rStyle w:val="Hyperlink"/>
                <w:noProof/>
              </w:rPr>
              <w:t>5.2 Strategic Responses of BYD (Follower)</w:t>
            </w:r>
            <w:r>
              <w:rPr>
                <w:noProof/>
                <w:webHidden/>
              </w:rPr>
              <w:tab/>
            </w:r>
            <w:r>
              <w:rPr>
                <w:noProof/>
                <w:webHidden/>
              </w:rPr>
              <w:fldChar w:fldCharType="begin"/>
            </w:r>
            <w:r>
              <w:rPr>
                <w:noProof/>
                <w:webHidden/>
              </w:rPr>
              <w:instrText xml:space="preserve"> PAGEREF _Toc214460719 \h </w:instrText>
            </w:r>
            <w:r>
              <w:rPr>
                <w:noProof/>
                <w:webHidden/>
              </w:rPr>
            </w:r>
            <w:r>
              <w:rPr>
                <w:noProof/>
                <w:webHidden/>
              </w:rPr>
              <w:fldChar w:fldCharType="separate"/>
            </w:r>
            <w:r>
              <w:rPr>
                <w:noProof/>
                <w:webHidden/>
              </w:rPr>
              <w:t>17</w:t>
            </w:r>
            <w:r>
              <w:rPr>
                <w:noProof/>
                <w:webHidden/>
              </w:rPr>
              <w:fldChar w:fldCharType="end"/>
            </w:r>
          </w:hyperlink>
        </w:p>
        <w:p w14:paraId="0CF76173"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20" w:history="1">
            <w:r w:rsidRPr="00286CD1">
              <w:rPr>
                <w:rStyle w:val="Hyperlink"/>
                <w:noProof/>
              </w:rPr>
              <w:t>5.2.1 Application of Ansoff’s Growth Matrix</w:t>
            </w:r>
            <w:r>
              <w:rPr>
                <w:noProof/>
                <w:webHidden/>
              </w:rPr>
              <w:tab/>
            </w:r>
            <w:r>
              <w:rPr>
                <w:noProof/>
                <w:webHidden/>
              </w:rPr>
              <w:fldChar w:fldCharType="begin"/>
            </w:r>
            <w:r>
              <w:rPr>
                <w:noProof/>
                <w:webHidden/>
              </w:rPr>
              <w:instrText xml:space="preserve"> PAGEREF _Toc214460720 \h </w:instrText>
            </w:r>
            <w:r>
              <w:rPr>
                <w:noProof/>
                <w:webHidden/>
              </w:rPr>
            </w:r>
            <w:r>
              <w:rPr>
                <w:noProof/>
                <w:webHidden/>
              </w:rPr>
              <w:fldChar w:fldCharType="separate"/>
            </w:r>
            <w:r>
              <w:rPr>
                <w:noProof/>
                <w:webHidden/>
              </w:rPr>
              <w:t>17</w:t>
            </w:r>
            <w:r>
              <w:rPr>
                <w:noProof/>
                <w:webHidden/>
              </w:rPr>
              <w:fldChar w:fldCharType="end"/>
            </w:r>
          </w:hyperlink>
        </w:p>
        <w:p w14:paraId="09623A58"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21" w:history="1">
            <w:r w:rsidRPr="00286CD1">
              <w:rPr>
                <w:rStyle w:val="Hyperlink"/>
                <w:noProof/>
              </w:rPr>
              <w:t>5.2.2 Porter’s Cost Leadership Strategy and Competitive Position</w:t>
            </w:r>
            <w:r>
              <w:rPr>
                <w:noProof/>
                <w:webHidden/>
              </w:rPr>
              <w:tab/>
            </w:r>
            <w:r>
              <w:rPr>
                <w:noProof/>
                <w:webHidden/>
              </w:rPr>
              <w:fldChar w:fldCharType="begin"/>
            </w:r>
            <w:r>
              <w:rPr>
                <w:noProof/>
                <w:webHidden/>
              </w:rPr>
              <w:instrText xml:space="preserve"> PAGEREF _Toc214460721 \h </w:instrText>
            </w:r>
            <w:r>
              <w:rPr>
                <w:noProof/>
                <w:webHidden/>
              </w:rPr>
            </w:r>
            <w:r>
              <w:rPr>
                <w:noProof/>
                <w:webHidden/>
              </w:rPr>
              <w:fldChar w:fldCharType="separate"/>
            </w:r>
            <w:r>
              <w:rPr>
                <w:noProof/>
                <w:webHidden/>
              </w:rPr>
              <w:t>18</w:t>
            </w:r>
            <w:r>
              <w:rPr>
                <w:noProof/>
                <w:webHidden/>
              </w:rPr>
              <w:fldChar w:fldCharType="end"/>
            </w:r>
          </w:hyperlink>
        </w:p>
        <w:p w14:paraId="1864F2F9"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22" w:history="1">
            <w:r w:rsidRPr="00286CD1">
              <w:rPr>
                <w:rStyle w:val="Hyperlink"/>
                <w:noProof/>
              </w:rPr>
              <w:t>5.2.3 BYD’s Environmental Responses and Sustainability Position</w:t>
            </w:r>
            <w:r>
              <w:rPr>
                <w:noProof/>
                <w:webHidden/>
              </w:rPr>
              <w:tab/>
            </w:r>
            <w:r>
              <w:rPr>
                <w:noProof/>
                <w:webHidden/>
              </w:rPr>
              <w:fldChar w:fldCharType="begin"/>
            </w:r>
            <w:r>
              <w:rPr>
                <w:noProof/>
                <w:webHidden/>
              </w:rPr>
              <w:instrText xml:space="preserve"> PAGEREF _Toc214460722 \h </w:instrText>
            </w:r>
            <w:r>
              <w:rPr>
                <w:noProof/>
                <w:webHidden/>
              </w:rPr>
            </w:r>
            <w:r>
              <w:rPr>
                <w:noProof/>
                <w:webHidden/>
              </w:rPr>
              <w:fldChar w:fldCharType="separate"/>
            </w:r>
            <w:r>
              <w:rPr>
                <w:noProof/>
                <w:webHidden/>
              </w:rPr>
              <w:t>18</w:t>
            </w:r>
            <w:r>
              <w:rPr>
                <w:noProof/>
                <w:webHidden/>
              </w:rPr>
              <w:fldChar w:fldCharType="end"/>
            </w:r>
          </w:hyperlink>
        </w:p>
        <w:p w14:paraId="73CA0C5A" w14:textId="77777777" w:rsidR="001A1606" w:rsidRDefault="001A1606">
          <w:pPr>
            <w:pStyle w:val="TOC1"/>
            <w:rPr>
              <w:rFonts w:asciiTheme="minorHAnsi" w:eastAsiaTheme="minorEastAsia" w:hAnsiTheme="minorHAnsi" w:cstheme="minorBidi"/>
              <w:sz w:val="22"/>
              <w:szCs w:val="22"/>
              <w:lang w:val="en-GB"/>
            </w:rPr>
          </w:pPr>
          <w:hyperlink w:anchor="_Toc214460723" w:history="1">
            <w:r w:rsidRPr="00286CD1">
              <w:rPr>
                <w:rStyle w:val="Hyperlink"/>
              </w:rPr>
              <w:t>6. Conclusion</w:t>
            </w:r>
            <w:r>
              <w:rPr>
                <w:webHidden/>
              </w:rPr>
              <w:tab/>
            </w:r>
            <w:r>
              <w:rPr>
                <w:webHidden/>
              </w:rPr>
              <w:fldChar w:fldCharType="begin"/>
            </w:r>
            <w:r>
              <w:rPr>
                <w:webHidden/>
              </w:rPr>
              <w:instrText xml:space="preserve"> PAGEREF _Toc214460723 \h </w:instrText>
            </w:r>
            <w:r>
              <w:rPr>
                <w:webHidden/>
              </w:rPr>
            </w:r>
            <w:r>
              <w:rPr>
                <w:webHidden/>
              </w:rPr>
              <w:fldChar w:fldCharType="separate"/>
            </w:r>
            <w:r>
              <w:rPr>
                <w:webHidden/>
              </w:rPr>
              <w:t>20</w:t>
            </w:r>
            <w:r>
              <w:rPr>
                <w:webHidden/>
              </w:rPr>
              <w:fldChar w:fldCharType="end"/>
            </w:r>
          </w:hyperlink>
        </w:p>
        <w:p w14:paraId="2948C6FE"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24" w:history="1">
            <w:r w:rsidRPr="00286CD1">
              <w:rPr>
                <w:rStyle w:val="Hyperlink"/>
                <w:noProof/>
              </w:rPr>
              <w:t>6.1 Summary of Key Insights</w:t>
            </w:r>
            <w:r>
              <w:rPr>
                <w:noProof/>
                <w:webHidden/>
              </w:rPr>
              <w:tab/>
            </w:r>
            <w:r>
              <w:rPr>
                <w:noProof/>
                <w:webHidden/>
              </w:rPr>
              <w:fldChar w:fldCharType="begin"/>
            </w:r>
            <w:r>
              <w:rPr>
                <w:noProof/>
                <w:webHidden/>
              </w:rPr>
              <w:instrText xml:space="preserve"> PAGEREF _Toc214460724 \h </w:instrText>
            </w:r>
            <w:r>
              <w:rPr>
                <w:noProof/>
                <w:webHidden/>
              </w:rPr>
            </w:r>
            <w:r>
              <w:rPr>
                <w:noProof/>
                <w:webHidden/>
              </w:rPr>
              <w:fldChar w:fldCharType="separate"/>
            </w:r>
            <w:r>
              <w:rPr>
                <w:noProof/>
                <w:webHidden/>
              </w:rPr>
              <w:t>20</w:t>
            </w:r>
            <w:r>
              <w:rPr>
                <w:noProof/>
                <w:webHidden/>
              </w:rPr>
              <w:fldChar w:fldCharType="end"/>
            </w:r>
          </w:hyperlink>
        </w:p>
        <w:p w14:paraId="6806C022"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25" w:history="1">
            <w:r w:rsidRPr="00286CD1">
              <w:rPr>
                <w:rStyle w:val="Hyperlink"/>
                <w:noProof/>
              </w:rPr>
              <w:t>6.2 Strategic Importance of Environmental Scanning</w:t>
            </w:r>
            <w:r>
              <w:rPr>
                <w:noProof/>
                <w:webHidden/>
              </w:rPr>
              <w:tab/>
            </w:r>
            <w:r>
              <w:rPr>
                <w:noProof/>
                <w:webHidden/>
              </w:rPr>
              <w:fldChar w:fldCharType="begin"/>
            </w:r>
            <w:r>
              <w:rPr>
                <w:noProof/>
                <w:webHidden/>
              </w:rPr>
              <w:instrText xml:space="preserve"> PAGEREF _Toc214460725 \h </w:instrText>
            </w:r>
            <w:r>
              <w:rPr>
                <w:noProof/>
                <w:webHidden/>
              </w:rPr>
            </w:r>
            <w:r>
              <w:rPr>
                <w:noProof/>
                <w:webHidden/>
              </w:rPr>
              <w:fldChar w:fldCharType="separate"/>
            </w:r>
            <w:r>
              <w:rPr>
                <w:noProof/>
                <w:webHidden/>
              </w:rPr>
              <w:t>20</w:t>
            </w:r>
            <w:r>
              <w:rPr>
                <w:noProof/>
                <w:webHidden/>
              </w:rPr>
              <w:fldChar w:fldCharType="end"/>
            </w:r>
          </w:hyperlink>
        </w:p>
        <w:p w14:paraId="6605CB97" w14:textId="77777777" w:rsidR="001A1606" w:rsidRDefault="001A1606">
          <w:pPr>
            <w:pStyle w:val="TOC1"/>
            <w:rPr>
              <w:rFonts w:asciiTheme="minorHAnsi" w:eastAsiaTheme="minorEastAsia" w:hAnsiTheme="minorHAnsi" w:cstheme="minorBidi"/>
              <w:sz w:val="22"/>
              <w:szCs w:val="22"/>
              <w:lang w:val="en-GB"/>
            </w:rPr>
          </w:pPr>
          <w:hyperlink w:anchor="_Toc214460726" w:history="1">
            <w:r w:rsidRPr="00286CD1">
              <w:rPr>
                <w:rStyle w:val="Hyperlink"/>
              </w:rPr>
              <w:t>7. References</w:t>
            </w:r>
            <w:r>
              <w:rPr>
                <w:webHidden/>
              </w:rPr>
              <w:tab/>
            </w:r>
            <w:r>
              <w:rPr>
                <w:webHidden/>
              </w:rPr>
              <w:fldChar w:fldCharType="begin"/>
            </w:r>
            <w:r>
              <w:rPr>
                <w:webHidden/>
              </w:rPr>
              <w:instrText xml:space="preserve"> PAGEREF _Toc214460726 \h </w:instrText>
            </w:r>
            <w:r>
              <w:rPr>
                <w:webHidden/>
              </w:rPr>
            </w:r>
            <w:r>
              <w:rPr>
                <w:webHidden/>
              </w:rPr>
              <w:fldChar w:fldCharType="separate"/>
            </w:r>
            <w:r>
              <w:rPr>
                <w:webHidden/>
              </w:rPr>
              <w:t>20</w:t>
            </w:r>
            <w:r>
              <w:rPr>
                <w:webHidden/>
              </w:rPr>
              <w:fldChar w:fldCharType="end"/>
            </w:r>
          </w:hyperlink>
        </w:p>
        <w:p w14:paraId="076047A3" w14:textId="77777777" w:rsidR="001A1606" w:rsidRDefault="001A1606">
          <w:pPr>
            <w:pStyle w:val="TOC1"/>
            <w:rPr>
              <w:rFonts w:asciiTheme="minorHAnsi" w:eastAsiaTheme="minorEastAsia" w:hAnsiTheme="minorHAnsi" w:cstheme="minorBidi"/>
              <w:sz w:val="22"/>
              <w:szCs w:val="22"/>
              <w:lang w:val="en-GB"/>
            </w:rPr>
          </w:pPr>
          <w:hyperlink w:anchor="_Toc214460727" w:history="1">
            <w:r w:rsidRPr="00286CD1">
              <w:rPr>
                <w:rStyle w:val="Hyperlink"/>
              </w:rPr>
              <w:t>Appendix</w:t>
            </w:r>
            <w:r>
              <w:rPr>
                <w:webHidden/>
              </w:rPr>
              <w:tab/>
            </w:r>
            <w:r>
              <w:rPr>
                <w:webHidden/>
              </w:rPr>
              <w:fldChar w:fldCharType="begin"/>
            </w:r>
            <w:r>
              <w:rPr>
                <w:webHidden/>
              </w:rPr>
              <w:instrText xml:space="preserve"> PAGEREF _Toc214460727 \h </w:instrText>
            </w:r>
            <w:r>
              <w:rPr>
                <w:webHidden/>
              </w:rPr>
            </w:r>
            <w:r>
              <w:rPr>
                <w:webHidden/>
              </w:rPr>
              <w:fldChar w:fldCharType="separate"/>
            </w:r>
            <w:r>
              <w:rPr>
                <w:webHidden/>
              </w:rPr>
              <w:t>23</w:t>
            </w:r>
            <w:r>
              <w:rPr>
                <w:webHidden/>
              </w:rPr>
              <w:fldChar w:fldCharType="end"/>
            </w:r>
          </w:hyperlink>
        </w:p>
        <w:p w14:paraId="13A8DB49" w14:textId="77777777" w:rsidR="00820E6D" w:rsidRDefault="00255593" w:rsidP="008A1BC3">
          <w:pPr>
            <w:rPr>
              <w:noProof/>
            </w:rPr>
          </w:pPr>
          <w:r w:rsidRPr="00BA2F5D">
            <w:rPr>
              <w:b/>
              <w:noProof/>
            </w:rPr>
            <w:fldChar w:fldCharType="end"/>
          </w:r>
        </w:p>
      </w:sdtContent>
    </w:sdt>
    <w:p w14:paraId="4FF1334B" w14:textId="77777777" w:rsidR="00820E6D" w:rsidRDefault="00820E6D" w:rsidP="008A1BC3">
      <w:pPr>
        <w:rPr>
          <w:rStyle w:val="Strong"/>
          <w:rFonts w:eastAsiaTheme="majorEastAsia"/>
          <w:b w:val="0"/>
          <w:bCs w:val="0"/>
        </w:rPr>
      </w:pPr>
    </w:p>
    <w:p w14:paraId="7349B1CA" w14:textId="77777777" w:rsidR="00820E6D" w:rsidRDefault="00820E6D" w:rsidP="008A1BC3">
      <w:pPr>
        <w:rPr>
          <w:rStyle w:val="Strong"/>
          <w:rFonts w:eastAsiaTheme="majorEastAsia"/>
          <w:b w:val="0"/>
          <w:bCs w:val="0"/>
        </w:rPr>
      </w:pPr>
    </w:p>
    <w:p w14:paraId="6D3681A6" w14:textId="77777777" w:rsidR="00820E6D" w:rsidRDefault="00820E6D" w:rsidP="008A1BC3">
      <w:pPr>
        <w:rPr>
          <w:rStyle w:val="Strong"/>
          <w:rFonts w:eastAsiaTheme="majorEastAsia"/>
          <w:b w:val="0"/>
          <w:bCs w:val="0"/>
        </w:rPr>
      </w:pPr>
    </w:p>
    <w:p w14:paraId="5F18B377" w14:textId="77777777" w:rsidR="00820E6D" w:rsidRDefault="00820E6D" w:rsidP="008A1BC3">
      <w:pPr>
        <w:rPr>
          <w:rStyle w:val="Strong"/>
          <w:rFonts w:eastAsiaTheme="majorEastAsia"/>
          <w:b w:val="0"/>
          <w:bCs w:val="0"/>
        </w:rPr>
      </w:pPr>
    </w:p>
    <w:p w14:paraId="51A9C74D" w14:textId="77777777" w:rsidR="00B3631E" w:rsidRDefault="00B3631E" w:rsidP="008A1BC3">
      <w:pPr>
        <w:rPr>
          <w:rStyle w:val="Strong"/>
          <w:rFonts w:eastAsiaTheme="majorEastAsia"/>
          <w:b w:val="0"/>
          <w:bCs w:val="0"/>
        </w:rPr>
      </w:pPr>
    </w:p>
    <w:p w14:paraId="794FC476" w14:textId="77777777" w:rsidR="00B3631E" w:rsidRDefault="00B3631E" w:rsidP="008A1BC3">
      <w:pPr>
        <w:rPr>
          <w:rStyle w:val="Strong"/>
          <w:rFonts w:eastAsiaTheme="majorEastAsia"/>
          <w:b w:val="0"/>
          <w:bCs w:val="0"/>
        </w:rPr>
      </w:pPr>
    </w:p>
    <w:p w14:paraId="0430EDDD" w14:textId="77777777" w:rsidR="00B3631E" w:rsidRDefault="00B3631E" w:rsidP="008A1BC3">
      <w:pPr>
        <w:rPr>
          <w:rStyle w:val="Strong"/>
          <w:rFonts w:eastAsiaTheme="majorEastAsia"/>
          <w:b w:val="0"/>
          <w:bCs w:val="0"/>
        </w:rPr>
      </w:pPr>
    </w:p>
    <w:p w14:paraId="6421E8A9" w14:textId="77777777" w:rsidR="00B3631E" w:rsidRDefault="00B3631E" w:rsidP="008A1BC3">
      <w:pPr>
        <w:rPr>
          <w:rStyle w:val="Strong"/>
          <w:rFonts w:eastAsiaTheme="majorEastAsia"/>
          <w:b w:val="0"/>
          <w:bCs w:val="0"/>
        </w:rPr>
      </w:pPr>
    </w:p>
    <w:p w14:paraId="03E79023" w14:textId="77777777" w:rsidR="00B3631E" w:rsidRDefault="00B3631E" w:rsidP="008A1BC3">
      <w:pPr>
        <w:rPr>
          <w:rStyle w:val="Strong"/>
          <w:rFonts w:eastAsiaTheme="majorEastAsia"/>
          <w:b w:val="0"/>
          <w:bCs w:val="0"/>
        </w:rPr>
      </w:pPr>
    </w:p>
    <w:p w14:paraId="6591420A" w14:textId="77777777" w:rsidR="00B3631E" w:rsidRDefault="00B3631E" w:rsidP="008A1BC3">
      <w:pPr>
        <w:rPr>
          <w:rStyle w:val="Strong"/>
          <w:rFonts w:eastAsiaTheme="majorEastAsia"/>
          <w:b w:val="0"/>
          <w:bCs w:val="0"/>
        </w:rPr>
      </w:pPr>
    </w:p>
    <w:p w14:paraId="109F63BC" w14:textId="77777777" w:rsidR="00B3631E" w:rsidRDefault="00B3631E" w:rsidP="008A1BC3">
      <w:pPr>
        <w:rPr>
          <w:rStyle w:val="Strong"/>
          <w:rFonts w:eastAsiaTheme="majorEastAsia"/>
          <w:b w:val="0"/>
          <w:bCs w:val="0"/>
        </w:rPr>
      </w:pPr>
    </w:p>
    <w:p w14:paraId="4DC1DE91" w14:textId="77777777" w:rsidR="00B3631E" w:rsidRDefault="00B3631E" w:rsidP="008A1BC3">
      <w:pPr>
        <w:rPr>
          <w:rStyle w:val="Strong"/>
          <w:rFonts w:eastAsiaTheme="majorEastAsia"/>
          <w:b w:val="0"/>
          <w:bCs w:val="0"/>
        </w:rPr>
      </w:pPr>
    </w:p>
    <w:p w14:paraId="21842E27" w14:textId="77777777" w:rsidR="00B3631E" w:rsidRDefault="00B3631E" w:rsidP="008A1BC3">
      <w:pPr>
        <w:rPr>
          <w:rStyle w:val="Strong"/>
          <w:rFonts w:eastAsiaTheme="majorEastAsia"/>
          <w:b w:val="0"/>
          <w:bCs w:val="0"/>
        </w:rPr>
      </w:pPr>
    </w:p>
    <w:p w14:paraId="66EB60F6" w14:textId="77777777" w:rsidR="00B3631E" w:rsidRDefault="00B3631E" w:rsidP="008A1BC3">
      <w:pPr>
        <w:rPr>
          <w:rStyle w:val="Strong"/>
          <w:rFonts w:eastAsiaTheme="majorEastAsia"/>
          <w:b w:val="0"/>
          <w:bCs w:val="0"/>
        </w:rPr>
      </w:pPr>
    </w:p>
    <w:p w14:paraId="6EF3B28D" w14:textId="77777777" w:rsidR="00B3631E" w:rsidRDefault="00B3631E" w:rsidP="00B3631E">
      <w:pPr>
        <w:pStyle w:val="Heading3"/>
      </w:pPr>
      <w:bookmarkStart w:id="0" w:name="_Toc214460692"/>
      <w:r>
        <w:rPr>
          <w:rStyle w:val="Strong"/>
          <w:b w:val="0"/>
          <w:bCs w:val="0"/>
        </w:rPr>
        <w:t>Marketing Environmental Analysis: Tesla (Pioneer) and BYD (Follower) in the Global EV Industry</w:t>
      </w:r>
      <w:bookmarkEnd w:id="0"/>
    </w:p>
    <w:p w14:paraId="1615CEBA" w14:textId="77777777" w:rsidR="00B3631E" w:rsidRDefault="00000000" w:rsidP="00B3631E">
      <w:r>
        <w:pict w14:anchorId="7FD163F9">
          <v:rect id="_x0000_i1025" style="width:0;height:1.5pt" o:hralign="center" o:hrstd="t" o:hr="t" fillcolor="#a0a0a0" stroked="f"/>
        </w:pict>
      </w:r>
    </w:p>
    <w:p w14:paraId="5DA860A7" w14:textId="77777777" w:rsidR="00B3631E" w:rsidRDefault="00B3631E" w:rsidP="00802531">
      <w:pPr>
        <w:pStyle w:val="Heading1"/>
      </w:pPr>
      <w:bookmarkStart w:id="1" w:name="_Toc214460693"/>
      <w:r>
        <w:rPr>
          <w:rStyle w:val="Strong"/>
          <w:rFonts w:eastAsiaTheme="majorEastAsia"/>
          <w:b/>
          <w:bCs/>
        </w:rPr>
        <w:t>1. Introduction</w:t>
      </w:r>
      <w:bookmarkEnd w:id="1"/>
    </w:p>
    <w:p w14:paraId="1F90D185" w14:textId="77777777" w:rsidR="00B3631E" w:rsidRDefault="00B3631E" w:rsidP="00802531">
      <w:pPr>
        <w:pStyle w:val="Heading2"/>
      </w:pPr>
      <w:bookmarkStart w:id="2" w:name="_Toc214460694"/>
      <w:r>
        <w:rPr>
          <w:rStyle w:val="Strong"/>
          <w:b/>
          <w:bCs w:val="0"/>
        </w:rPr>
        <w:t>1.1 Strategic Marketing Management and Its Relevance</w:t>
      </w:r>
      <w:bookmarkEnd w:id="2"/>
    </w:p>
    <w:p w14:paraId="11C28F8B"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Managing marketing campaign strategies is, at its core, a complex and continuous process. To make better long-term decisions, businesses need to assess their internal and external resources. It allows them to pinpoint what they're good at and where they might need to work harder. To remain relevant in today's dynamic marketplace, companies need to adjust their assets and expertise to keep pace with shifting consumer demands. Varadarajan (2020) argues that the main goal of strategic marketing is to ensure a business's long-term success by aligning its goals with what customer’s value. The electric vehicle (EV) sector is navigating a landscape fraught with challenges. Modern organizations face many challenges, including the rapid advancement of technology, growing environmental responsibilities, and the need to follow strict international regulations. Therefore, modern marketing strategies are more complex and flexible than those used in olde</w:t>
      </w:r>
      <w:r>
        <w:rPr>
          <w:rFonts w:ascii="Times New Roman" w:eastAsia="Times New Roman" w:hAnsi="Times New Roman"/>
          <w:lang w:val="en-GB" w:eastAsia="en-GB"/>
        </w:rPr>
        <w:t>r, more traditional industries.</w:t>
      </w:r>
    </w:p>
    <w:p w14:paraId="7009921F" w14:textId="77777777" w:rsidR="00B3631E" w:rsidRDefault="00B3631E" w:rsidP="00802531">
      <w:pPr>
        <w:pStyle w:val="NormalWeb"/>
        <w:spacing w:line="360" w:lineRule="auto"/>
        <w:jc w:val="both"/>
      </w:pPr>
    </w:p>
    <w:p w14:paraId="3A37AC2B" w14:textId="77777777" w:rsidR="00B3631E" w:rsidRDefault="00B3631E" w:rsidP="00802531">
      <w:pPr>
        <w:pStyle w:val="Heading2"/>
      </w:pPr>
      <w:bookmarkStart w:id="3" w:name="_Toc214460695"/>
      <w:r>
        <w:rPr>
          <w:rStyle w:val="Strong"/>
          <w:b/>
          <w:bCs w:val="0"/>
        </w:rPr>
        <w:t xml:space="preserve">1.2 Importance of </w:t>
      </w:r>
      <w:proofErr w:type="spellStart"/>
      <w:r>
        <w:rPr>
          <w:rStyle w:val="Strong"/>
          <w:b/>
          <w:bCs w:val="0"/>
        </w:rPr>
        <w:t>Analysing</w:t>
      </w:r>
      <w:proofErr w:type="spellEnd"/>
      <w:r>
        <w:rPr>
          <w:rStyle w:val="Strong"/>
          <w:b/>
          <w:bCs w:val="0"/>
        </w:rPr>
        <w:t xml:space="preserve"> the Macro Environment</w:t>
      </w:r>
      <w:bookmarkEnd w:id="3"/>
    </w:p>
    <w:p w14:paraId="04D4BFAC" w14:textId="77777777" w:rsidR="00B3631E" w:rsidRDefault="009A0439" w:rsidP="00802531">
      <w:pPr>
        <w:pStyle w:val="NormalWeb"/>
        <w:spacing w:line="360" w:lineRule="auto"/>
        <w:jc w:val="both"/>
      </w:pPr>
      <w:r w:rsidRPr="006F505E">
        <w:t xml:space="preserve">Because businesses operate within larger national and global contexts, it's essential for them to </w:t>
      </w:r>
      <w:proofErr w:type="spellStart"/>
      <w:r w:rsidRPr="006F505E">
        <w:t>analyze</w:t>
      </w:r>
      <w:proofErr w:type="spellEnd"/>
      <w:r w:rsidRPr="006F505E">
        <w:t xml:space="preserve"> the macroeconomic environment to make strategic and practical decisions. External factors, often outside a manager's control, significantly affect customer behaviour, the competitive landscape, and industry trends. Keeping a wide-angle view allows businesses to fine-tune their advertising strategies, anticipate changes, and sidestep surprises. Organizations can gain insights into their external environment by using models like PESTEL. The model categorizes the environment using political, economic, social, technological, environmental, and legal factors, as described by Kotler et al. (2022). This type of research is very useful for the electric vehicle (EV) industry. With environmental worries mounting and technology advancing at breakneck speed, both companies and individuals are adjusting their priorities</w:t>
      </w:r>
      <w:r w:rsidR="00B3631E">
        <w:t>.</w:t>
      </w:r>
    </w:p>
    <w:p w14:paraId="70C9D8FC" w14:textId="77777777" w:rsidR="009A0439" w:rsidRDefault="009A0439" w:rsidP="00802531">
      <w:pPr>
        <w:pStyle w:val="NormalWeb"/>
        <w:spacing w:line="360" w:lineRule="auto"/>
        <w:jc w:val="both"/>
      </w:pPr>
    </w:p>
    <w:p w14:paraId="0A9641E6" w14:textId="77777777" w:rsidR="00B3631E" w:rsidRDefault="00B3631E" w:rsidP="00802531">
      <w:pPr>
        <w:pStyle w:val="Heading2"/>
      </w:pPr>
      <w:bookmarkStart w:id="4" w:name="_Toc214460696"/>
      <w:r>
        <w:rPr>
          <w:rStyle w:val="Strong"/>
          <w:b/>
          <w:bCs w:val="0"/>
        </w:rPr>
        <w:t>1.3 Scope and Structure of the Report</w:t>
      </w:r>
      <w:bookmarkEnd w:id="4"/>
    </w:p>
    <w:p w14:paraId="416ABBE4" w14:textId="77777777" w:rsidR="009A0439" w:rsidRDefault="009A0439" w:rsidP="009A0439">
      <w:pPr>
        <w:rPr>
          <w:rFonts w:ascii="Times New Roman" w:eastAsia="Times New Roman" w:hAnsi="Times New Roman"/>
          <w:lang w:val="en-GB" w:eastAsia="en-GB"/>
        </w:rPr>
      </w:pPr>
    </w:p>
    <w:p w14:paraId="36B70188"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This study aims to provide a thorough review of the topic. The following sections will cover these subjects.</w:t>
      </w:r>
      <w:r>
        <w:rPr>
          <w:rFonts w:ascii="Times New Roman" w:eastAsia="Times New Roman" w:hAnsi="Times New Roman"/>
          <w:lang w:val="en-GB" w:eastAsia="en-GB"/>
        </w:rPr>
        <w:t xml:space="preserve"> </w:t>
      </w:r>
      <w:r w:rsidRPr="006F505E">
        <w:rPr>
          <w:rFonts w:ascii="Times New Roman" w:eastAsia="Times New Roman" w:hAnsi="Times New Roman"/>
          <w:lang w:val="en-GB" w:eastAsia="en-GB"/>
        </w:rPr>
        <w:t xml:space="preserve">This study focuses on two important aspects of the larger environment: technological developments and environmental conditions. These factors significantly influence how electric vehicle (EV) companies operate globally. Tesla's rise to the top of the automotive world speaks volumes about its innovative spirit and willingness to take risks. BYD, a fresh face, is </w:t>
      </w:r>
      <w:r>
        <w:rPr>
          <w:rFonts w:ascii="Times New Roman" w:eastAsia="Times New Roman" w:hAnsi="Times New Roman"/>
          <w:lang w:val="en-GB" w:eastAsia="en-GB"/>
        </w:rPr>
        <w:t>revolutionizing things with their innovation strategies</w:t>
      </w:r>
      <w:r w:rsidRPr="006F505E">
        <w:rPr>
          <w:rFonts w:ascii="Times New Roman" w:eastAsia="Times New Roman" w:hAnsi="Times New Roman"/>
          <w:lang w:val="en-GB" w:eastAsia="en-GB"/>
        </w:rPr>
        <w:t xml:space="preserve">. Their approach? Streamlined operations and large-scale output, with ambitions to expand. </w:t>
      </w:r>
    </w:p>
    <w:p w14:paraId="25C280DF" w14:textId="77777777" w:rsidR="009A0439" w:rsidRDefault="009A0439" w:rsidP="009A0439">
      <w:pPr>
        <w:rPr>
          <w:rFonts w:ascii="Times New Roman" w:eastAsia="Times New Roman" w:hAnsi="Times New Roman"/>
          <w:lang w:val="en-GB" w:eastAsia="en-GB"/>
        </w:rPr>
      </w:pPr>
    </w:p>
    <w:p w14:paraId="31D6A2E9"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This report is divided into two main sections. This analysis will begin with a thorough examination of the macro marketing environment, using the PESTEL framework. The discussion will then focus on the important effects of technology and the environment. This study examines and compares the strategic approaches of BYD and Tesla, using tools like Ansoff's Growth Matrix and Porter's Generic Strategies. The final section emphasizes the importance of regularly assessing the changing environment and using flexible marketing strategies to stay competitive in a constantly evolving industry.</w:t>
      </w:r>
      <w:r>
        <w:rPr>
          <w:rFonts w:ascii="Times New Roman" w:eastAsia="Times New Roman" w:hAnsi="Times New Roman"/>
          <w:lang w:val="en-GB" w:eastAsia="en-GB"/>
        </w:rPr>
        <w:t xml:space="preserve"> </w:t>
      </w:r>
    </w:p>
    <w:p w14:paraId="12348B74" w14:textId="77777777" w:rsidR="00B3631E" w:rsidRDefault="00B3631E" w:rsidP="00802531">
      <w:pPr>
        <w:pStyle w:val="NormalWeb"/>
        <w:spacing w:line="360" w:lineRule="auto"/>
        <w:jc w:val="both"/>
      </w:pPr>
    </w:p>
    <w:p w14:paraId="04D6AD92" w14:textId="77777777" w:rsidR="00B3631E" w:rsidRDefault="00B3631E" w:rsidP="00802531"/>
    <w:p w14:paraId="3ACD7801" w14:textId="77777777" w:rsidR="000141B4" w:rsidRDefault="000141B4" w:rsidP="00802531"/>
    <w:p w14:paraId="7781A084" w14:textId="77777777" w:rsidR="000141B4" w:rsidRDefault="000141B4" w:rsidP="00802531"/>
    <w:p w14:paraId="42F7E635" w14:textId="77777777" w:rsidR="000141B4" w:rsidRDefault="000141B4" w:rsidP="00802531"/>
    <w:p w14:paraId="3B475BA4" w14:textId="77777777" w:rsidR="000141B4" w:rsidRDefault="000141B4" w:rsidP="00802531"/>
    <w:p w14:paraId="3B937AFE" w14:textId="77777777" w:rsidR="000141B4" w:rsidRDefault="000141B4" w:rsidP="00802531"/>
    <w:p w14:paraId="23E24901" w14:textId="77777777" w:rsidR="000141B4" w:rsidRDefault="000141B4" w:rsidP="00802531"/>
    <w:p w14:paraId="3B175FF7" w14:textId="77777777" w:rsidR="000141B4" w:rsidRDefault="000141B4" w:rsidP="00802531"/>
    <w:p w14:paraId="0AC94DD7" w14:textId="77777777" w:rsidR="000141B4" w:rsidRDefault="000141B4" w:rsidP="00802531"/>
    <w:p w14:paraId="67BBF30A" w14:textId="77777777" w:rsidR="000141B4" w:rsidRDefault="000141B4" w:rsidP="00802531"/>
    <w:p w14:paraId="3067C0D8" w14:textId="77777777" w:rsidR="000141B4" w:rsidRDefault="000141B4" w:rsidP="00802531"/>
    <w:p w14:paraId="175DDBC3" w14:textId="77777777" w:rsidR="000141B4" w:rsidRDefault="000141B4" w:rsidP="00802531"/>
    <w:p w14:paraId="06C491A6" w14:textId="77777777" w:rsidR="00B3631E" w:rsidRDefault="00B3631E" w:rsidP="00802531">
      <w:pPr>
        <w:pStyle w:val="Heading1"/>
        <w:rPr>
          <w:rStyle w:val="Strong"/>
          <w:rFonts w:eastAsiaTheme="majorEastAsia"/>
          <w:b/>
          <w:bCs/>
        </w:rPr>
      </w:pPr>
      <w:bookmarkStart w:id="5" w:name="_Toc214460697"/>
      <w:r>
        <w:rPr>
          <w:rStyle w:val="Strong"/>
          <w:rFonts w:eastAsiaTheme="majorEastAsia"/>
          <w:b/>
          <w:bCs/>
        </w:rPr>
        <w:lastRenderedPageBreak/>
        <w:t>2. Task 1: Critical Analysis of the Macro Marketing Environment</w:t>
      </w:r>
      <w:bookmarkEnd w:id="5"/>
    </w:p>
    <w:p w14:paraId="3E143D8F" w14:textId="77777777" w:rsidR="000141B4" w:rsidRDefault="000141B4" w:rsidP="000141B4">
      <w:pPr>
        <w:rPr>
          <w:lang w:eastAsia="en-GB"/>
        </w:rPr>
      </w:pPr>
    </w:p>
    <w:p w14:paraId="298A6FE4" w14:textId="77777777" w:rsidR="00B3631E" w:rsidRDefault="00B3631E" w:rsidP="00802531">
      <w:pPr>
        <w:pStyle w:val="Heading2"/>
      </w:pPr>
      <w:bookmarkStart w:id="6" w:name="_Toc214460698"/>
      <w:r>
        <w:rPr>
          <w:rStyle w:val="Strong"/>
          <w:b/>
          <w:bCs w:val="0"/>
        </w:rPr>
        <w:t>2.1 Understanding the Macro Marketing Environment</w:t>
      </w:r>
      <w:bookmarkEnd w:id="6"/>
    </w:p>
    <w:p w14:paraId="3EF3489B" w14:textId="77777777" w:rsidR="00B3631E" w:rsidRDefault="00B3631E" w:rsidP="00802531">
      <w:pPr>
        <w:pStyle w:val="Heading3"/>
      </w:pPr>
      <w:bookmarkStart w:id="7" w:name="_Toc214460699"/>
      <w:r>
        <w:rPr>
          <w:rStyle w:val="Strong"/>
          <w:b w:val="0"/>
          <w:bCs w:val="0"/>
        </w:rPr>
        <w:t>2.1.1 The Concept and Purpose of Macro-Environment Analysis</w:t>
      </w:r>
      <w:bookmarkEnd w:id="7"/>
    </w:p>
    <w:p w14:paraId="163546CA"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The macro-environment includes the broad, external factors that affect an organization. While these elements lie beyond the organization's direct influence, their effects on overall performance are undeniably substantial. The macro-environment is made up of several important components: economic, political, legal, technological, social, and environmental factors. These components interact with each other, creating a complex web of influences that shapes an organization's strategic choices. Grasping the broader landscape is essential for any organization. It allows them to spot both chances and challenges, ultimately leading to more informed strategic choices.</w:t>
      </w:r>
    </w:p>
    <w:p w14:paraId="14E97D1D"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 </w:t>
      </w:r>
      <w:r w:rsidRPr="006F505E">
        <w:rPr>
          <w:rFonts w:ascii="Times New Roman" w:eastAsia="Times New Roman" w:hAnsi="Times New Roman"/>
          <w:lang w:val="en-GB" w:eastAsia="en-GB"/>
        </w:rPr>
        <w:br/>
        <w:t>The term "macro marketing environment" refers to the external factors that affect entire industries, rather than just individual companies. Changes in consumer preferences, the rise of new technologies, government rules, and strong competition are all important factors to consider. Baines and his team (2023) suggest that external factors, which a company cannot control, significantly affect its long-term performance. To keep their strategies relevant and effective, organizations must constantly observe and assess changes in the larger environment, even when they have less control.</w:t>
      </w:r>
    </w:p>
    <w:p w14:paraId="5C71912F" w14:textId="77777777" w:rsidR="00B15D48" w:rsidRDefault="00B15D48" w:rsidP="009A0439">
      <w:pPr>
        <w:rPr>
          <w:rFonts w:ascii="Times New Roman" w:eastAsia="Times New Roman" w:hAnsi="Times New Roman"/>
          <w:lang w:val="en-GB" w:eastAsia="en-GB"/>
        </w:rPr>
      </w:pPr>
    </w:p>
    <w:p w14:paraId="0BDB9523" w14:textId="77777777" w:rsidR="00B15D48" w:rsidRDefault="00B15D48" w:rsidP="009A0439">
      <w:pPr>
        <w:rPr>
          <w:rFonts w:ascii="Times New Roman" w:eastAsia="Times New Roman" w:hAnsi="Times New Roman"/>
          <w:lang w:val="en-GB" w:eastAsia="en-GB"/>
        </w:rPr>
      </w:pPr>
    </w:p>
    <w:p w14:paraId="01F52A1F" w14:textId="77777777" w:rsidR="00B15D48" w:rsidRDefault="00B15D48" w:rsidP="009A0439">
      <w:pPr>
        <w:rPr>
          <w:rFonts w:ascii="Times New Roman" w:eastAsia="Times New Roman" w:hAnsi="Times New Roman"/>
          <w:lang w:val="en-GB" w:eastAsia="en-GB"/>
        </w:rPr>
      </w:pPr>
    </w:p>
    <w:p w14:paraId="355DA8E6" w14:textId="77777777" w:rsidR="00B15D48" w:rsidRDefault="00B15D48" w:rsidP="009A0439">
      <w:pPr>
        <w:rPr>
          <w:rFonts w:ascii="Times New Roman" w:eastAsia="Times New Roman" w:hAnsi="Times New Roman"/>
          <w:lang w:val="en-GB" w:eastAsia="en-GB"/>
        </w:rPr>
      </w:pPr>
    </w:p>
    <w:p w14:paraId="65255DE4" w14:textId="77777777" w:rsidR="00B15D48" w:rsidRDefault="00B15D48" w:rsidP="009A0439">
      <w:pPr>
        <w:rPr>
          <w:rFonts w:ascii="Times New Roman" w:eastAsia="Times New Roman" w:hAnsi="Times New Roman"/>
          <w:lang w:val="en-GB" w:eastAsia="en-GB"/>
        </w:rPr>
      </w:pPr>
    </w:p>
    <w:p w14:paraId="658FD89B" w14:textId="77777777" w:rsidR="00B15D48" w:rsidRDefault="00B15D48" w:rsidP="009A0439">
      <w:pPr>
        <w:rPr>
          <w:rFonts w:ascii="Times New Roman" w:eastAsia="Times New Roman" w:hAnsi="Times New Roman"/>
          <w:lang w:val="en-GB" w:eastAsia="en-GB"/>
        </w:rPr>
      </w:pPr>
    </w:p>
    <w:p w14:paraId="5A7597E9" w14:textId="77777777" w:rsidR="00B15D48" w:rsidRDefault="00B15D48" w:rsidP="009A0439">
      <w:pPr>
        <w:rPr>
          <w:rFonts w:ascii="Times New Roman" w:eastAsia="Times New Roman" w:hAnsi="Times New Roman"/>
          <w:lang w:val="en-GB" w:eastAsia="en-GB"/>
        </w:rPr>
      </w:pPr>
    </w:p>
    <w:p w14:paraId="6C51AB2C" w14:textId="77777777" w:rsidR="00B15D48" w:rsidRDefault="00B15D48" w:rsidP="009A0439">
      <w:pPr>
        <w:rPr>
          <w:rFonts w:ascii="Times New Roman" w:eastAsia="Times New Roman" w:hAnsi="Times New Roman"/>
          <w:lang w:val="en-GB" w:eastAsia="en-GB"/>
        </w:rPr>
      </w:pPr>
    </w:p>
    <w:p w14:paraId="1420958C" w14:textId="77777777" w:rsidR="00B15D48" w:rsidRDefault="00B15D48" w:rsidP="009A0439">
      <w:pPr>
        <w:rPr>
          <w:rFonts w:ascii="Times New Roman" w:eastAsia="Times New Roman" w:hAnsi="Times New Roman"/>
          <w:lang w:val="en-GB" w:eastAsia="en-GB"/>
        </w:rPr>
      </w:pPr>
    </w:p>
    <w:p w14:paraId="4115D854" w14:textId="77777777" w:rsidR="00B15D48" w:rsidRDefault="00B15D48" w:rsidP="009A0439">
      <w:pPr>
        <w:rPr>
          <w:rFonts w:ascii="Times New Roman" w:eastAsia="Times New Roman" w:hAnsi="Times New Roman"/>
          <w:lang w:val="en-GB" w:eastAsia="en-GB"/>
        </w:rPr>
      </w:pPr>
    </w:p>
    <w:p w14:paraId="7E18D864" w14:textId="77777777" w:rsidR="00B15D48" w:rsidRDefault="00B15D48" w:rsidP="009A0439">
      <w:pPr>
        <w:rPr>
          <w:rFonts w:ascii="Times New Roman" w:eastAsia="Times New Roman" w:hAnsi="Times New Roman"/>
          <w:lang w:val="en-GB" w:eastAsia="en-GB"/>
        </w:rPr>
      </w:pPr>
    </w:p>
    <w:p w14:paraId="1A327848" w14:textId="77777777" w:rsidR="009A0439" w:rsidRDefault="009A0439" w:rsidP="009A0439">
      <w:pPr>
        <w:rPr>
          <w:rFonts w:ascii="Times New Roman" w:eastAsia="Times New Roman" w:hAnsi="Times New Roman"/>
          <w:lang w:val="en-GB" w:eastAsia="en-GB"/>
        </w:rPr>
      </w:pPr>
    </w:p>
    <w:p w14:paraId="1D3D10B0" w14:textId="77777777" w:rsidR="00B3631E" w:rsidRDefault="00B3631E" w:rsidP="00802531">
      <w:pPr>
        <w:pStyle w:val="Heading3"/>
        <w:rPr>
          <w:rStyle w:val="Strong"/>
          <w:b w:val="0"/>
          <w:bCs w:val="0"/>
        </w:rPr>
      </w:pPr>
      <w:bookmarkStart w:id="8" w:name="_Toc214460700"/>
      <w:r>
        <w:rPr>
          <w:rStyle w:val="Strong"/>
          <w:b w:val="0"/>
          <w:bCs w:val="0"/>
        </w:rPr>
        <w:lastRenderedPageBreak/>
        <w:t>2.1.2 The PESTEL Framework as a Diagnostic Tool</w:t>
      </w:r>
      <w:bookmarkEnd w:id="8"/>
    </w:p>
    <w:p w14:paraId="4AB6020F" w14:textId="77777777" w:rsidR="00B15D48" w:rsidRDefault="00B15D48" w:rsidP="00B15D48"/>
    <w:p w14:paraId="4379D649" w14:textId="77777777" w:rsidR="00B15D48" w:rsidRDefault="00B15D48" w:rsidP="00B15D48">
      <w:pPr>
        <w:rPr>
          <w:rFonts w:ascii="Times New Roman" w:hAnsi="Times New Roman"/>
        </w:rPr>
      </w:pPr>
      <w:r w:rsidRPr="006D42F3">
        <w:rPr>
          <w:rFonts w:ascii="Times New Roman" w:hAnsi="Times New Roman"/>
          <w:b/>
        </w:rPr>
        <w:t>Figure 1</w:t>
      </w:r>
      <w:r w:rsidRPr="006D42F3">
        <w:rPr>
          <w:rFonts w:ascii="Times New Roman" w:hAnsi="Times New Roman"/>
        </w:rPr>
        <w:t xml:space="preserve"> – PESTEL Overview of the Global EV Environment</w:t>
      </w:r>
    </w:p>
    <w:p w14:paraId="341E8A62" w14:textId="77777777" w:rsidR="00B15D48" w:rsidRPr="00B15D48" w:rsidRDefault="00B15D48" w:rsidP="00B15D48"/>
    <w:p w14:paraId="12AF9F9B" w14:textId="77777777" w:rsidR="006D42F3" w:rsidRDefault="006D42F3" w:rsidP="006D42F3">
      <w:r w:rsidRPr="006D42F3">
        <w:rPr>
          <w:noProof/>
          <w:lang w:val="en-GB" w:eastAsia="en-GB"/>
        </w:rPr>
        <w:drawing>
          <wp:inline distT="0" distB="0" distL="0" distR="0" wp14:anchorId="1EF53168" wp14:editId="559297BB">
            <wp:extent cx="2203450" cy="212353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26410" cy="2145662"/>
                    </a:xfrm>
                    <a:prstGeom prst="rect">
                      <a:avLst/>
                    </a:prstGeom>
                  </pic:spPr>
                </pic:pic>
              </a:graphicData>
            </a:graphic>
          </wp:inline>
        </w:drawing>
      </w:r>
    </w:p>
    <w:p w14:paraId="768AB427" w14:textId="77777777" w:rsidR="00B15D48" w:rsidRPr="00B15D48" w:rsidRDefault="00B15D48" w:rsidP="006D42F3">
      <w:pPr>
        <w:rPr>
          <w:rFonts w:ascii="Times New Roman" w:hAnsi="Times New Roman"/>
        </w:rPr>
      </w:pPr>
      <w:r w:rsidRPr="00B15D48">
        <w:rPr>
          <w:rFonts w:ascii="Times New Roman" w:hAnsi="Times New Roman"/>
          <w:b/>
        </w:rPr>
        <w:t>Source:</w:t>
      </w:r>
      <w:r w:rsidRPr="00B15D48">
        <w:rPr>
          <w:rFonts w:ascii="Times New Roman" w:hAnsi="Times New Roman"/>
        </w:rPr>
        <w:t xml:space="preserve"> Adapted from Kotler et al. (2022) and IEA (2023).</w:t>
      </w:r>
    </w:p>
    <w:p w14:paraId="02955CD9" w14:textId="77777777" w:rsidR="00B3631E" w:rsidRDefault="00B3631E" w:rsidP="00802531">
      <w:pPr>
        <w:pStyle w:val="NormalWeb"/>
        <w:spacing w:line="360" w:lineRule="auto"/>
        <w:jc w:val="both"/>
      </w:pPr>
      <w:r>
        <w:t>PESTEL is a widely used analytical lens that categorises macro-environmental forces into political, economic, social, technological, environmental and legal domains (Yüksel, 2012).</w:t>
      </w:r>
    </w:p>
    <w:p w14:paraId="2C33C6E0" w14:textId="2EC85B9D" w:rsidR="00B7406F" w:rsidRDefault="00B7406F" w:rsidP="00802531">
      <w:pPr>
        <w:pStyle w:val="Heading2"/>
        <w:rPr>
          <w:rStyle w:val="Strong"/>
          <w:b/>
          <w:bCs w:val="0"/>
        </w:rPr>
      </w:pPr>
      <w:bookmarkStart w:id="9" w:name="_Toc214460701"/>
      <w:r w:rsidRPr="00B7406F">
        <w:rPr>
          <w:rStyle w:val="Strong"/>
          <w:b/>
          <w:bCs w:val="0"/>
          <w:noProof/>
        </w:rPr>
        <w:drawing>
          <wp:inline distT="0" distB="0" distL="0" distR="0" wp14:anchorId="576F7199" wp14:editId="1FE21A45">
            <wp:extent cx="2242756" cy="32639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57858" cy="3285878"/>
                    </a:xfrm>
                    <a:prstGeom prst="rect">
                      <a:avLst/>
                    </a:prstGeom>
                  </pic:spPr>
                </pic:pic>
              </a:graphicData>
            </a:graphic>
          </wp:inline>
        </w:drawing>
      </w:r>
    </w:p>
    <w:p w14:paraId="5961492E" w14:textId="77777777" w:rsidR="00B7406F" w:rsidRDefault="00B7406F" w:rsidP="00B7406F"/>
    <w:p w14:paraId="16B25FA2" w14:textId="77777777" w:rsidR="00B3631E" w:rsidRDefault="00B3631E" w:rsidP="00802531">
      <w:pPr>
        <w:pStyle w:val="Heading2"/>
      </w:pPr>
      <w:r>
        <w:rPr>
          <w:rStyle w:val="Strong"/>
          <w:b/>
          <w:bCs w:val="0"/>
        </w:rPr>
        <w:lastRenderedPageBreak/>
        <w:t>2.2 Selected Macro Actors: Technological and Environmental Forces</w:t>
      </w:r>
      <w:bookmarkEnd w:id="9"/>
    </w:p>
    <w:p w14:paraId="540B8292" w14:textId="77777777" w:rsidR="00B3631E" w:rsidRDefault="00B3631E" w:rsidP="00802531">
      <w:pPr>
        <w:pStyle w:val="Heading3"/>
        <w:rPr>
          <w:rStyle w:val="Strong"/>
          <w:b w:val="0"/>
          <w:bCs w:val="0"/>
        </w:rPr>
      </w:pPr>
      <w:bookmarkStart w:id="10" w:name="_Toc214460702"/>
      <w:r>
        <w:rPr>
          <w:rStyle w:val="Strong"/>
          <w:b w:val="0"/>
          <w:bCs w:val="0"/>
        </w:rPr>
        <w:t>2.2.1 Rationale for Selecting Technological Forces</w:t>
      </w:r>
      <w:bookmarkEnd w:id="10"/>
    </w:p>
    <w:p w14:paraId="589D0822" w14:textId="77777777" w:rsidR="006D42F3" w:rsidRDefault="006D42F3" w:rsidP="006D42F3"/>
    <w:p w14:paraId="1B4DEC2D" w14:textId="77777777" w:rsidR="006D42F3" w:rsidRPr="006D42F3" w:rsidRDefault="006D42F3" w:rsidP="006D42F3">
      <w:pPr>
        <w:rPr>
          <w:rFonts w:ascii="Times New Roman" w:hAnsi="Times New Roman"/>
          <w:b/>
        </w:rPr>
      </w:pPr>
      <w:r w:rsidRPr="006D42F3">
        <w:rPr>
          <w:rFonts w:ascii="Times New Roman" w:hAnsi="Times New Roman"/>
          <w:b/>
        </w:rPr>
        <w:t>Figure 2 – Line Graph of Global Battery Cost Decline (2010–2023)</w:t>
      </w:r>
    </w:p>
    <w:p w14:paraId="176A3C70" w14:textId="77777777" w:rsidR="006D42F3" w:rsidRDefault="006D42F3" w:rsidP="006D42F3">
      <w:r w:rsidRPr="006D42F3">
        <w:rPr>
          <w:noProof/>
          <w:lang w:val="en-GB" w:eastAsia="en-GB"/>
        </w:rPr>
        <w:drawing>
          <wp:inline distT="0" distB="0" distL="0" distR="0" wp14:anchorId="0EBD7BC8" wp14:editId="16427177">
            <wp:extent cx="3810000" cy="237670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36307" cy="2393118"/>
                    </a:xfrm>
                    <a:prstGeom prst="rect">
                      <a:avLst/>
                    </a:prstGeom>
                  </pic:spPr>
                </pic:pic>
              </a:graphicData>
            </a:graphic>
          </wp:inline>
        </w:drawing>
      </w:r>
    </w:p>
    <w:p w14:paraId="619D501B" w14:textId="77777777" w:rsidR="00B15D48" w:rsidRDefault="00B15D48" w:rsidP="00B15D48">
      <w:pPr>
        <w:pStyle w:val="NormalWeb"/>
      </w:pPr>
      <w:r>
        <w:rPr>
          <w:rStyle w:val="Emphasis"/>
          <w:rFonts w:eastAsiaTheme="majorEastAsia"/>
        </w:rPr>
        <w:t xml:space="preserve">Source: Data adapted from </w:t>
      </w:r>
      <w:proofErr w:type="spellStart"/>
      <w:r>
        <w:rPr>
          <w:rStyle w:val="Emphasis"/>
          <w:rFonts w:eastAsiaTheme="majorEastAsia"/>
        </w:rPr>
        <w:t>BloombergNEF</w:t>
      </w:r>
      <w:proofErr w:type="spellEnd"/>
      <w:r>
        <w:rPr>
          <w:rStyle w:val="Emphasis"/>
          <w:rFonts w:eastAsiaTheme="majorEastAsia"/>
        </w:rPr>
        <w:t xml:space="preserve"> (2023).</w:t>
      </w:r>
    </w:p>
    <w:p w14:paraId="6B16F738" w14:textId="77777777" w:rsidR="00B15D48" w:rsidRDefault="00B15D48" w:rsidP="006D42F3"/>
    <w:p w14:paraId="6B171042" w14:textId="77777777" w:rsidR="006D42F3" w:rsidRDefault="006D42F3" w:rsidP="00802531">
      <w:pPr>
        <w:pStyle w:val="NormalWeb"/>
        <w:spacing w:line="360" w:lineRule="auto"/>
        <w:jc w:val="both"/>
      </w:pPr>
      <w:r>
        <w:t>This figure illustrates the sharp decline in global battery prices, which has been a key driver in making EVs more affordable and expanding their potential market.</w:t>
      </w:r>
    </w:p>
    <w:p w14:paraId="6ED7A9FC" w14:textId="77777777" w:rsidR="002E5FBC" w:rsidRDefault="00B3631E" w:rsidP="00802531">
      <w:pPr>
        <w:pStyle w:val="NormalWeb"/>
        <w:spacing w:line="360" w:lineRule="auto"/>
        <w:jc w:val="both"/>
      </w:pPr>
      <w:r>
        <w:t xml:space="preserve">Technological forces define the pace at which the EV industry evolves. </w:t>
      </w:r>
      <w:r w:rsidR="002E5FBC" w:rsidRPr="006F505E">
        <w:t>The growth of the electric vehicle market and the resulting competitive landscape will be significantly shaped by advancements in supporting technologies. The electric vehicle market has changed significantly due to advancements in self-driving technology, electric motors, charging infrastructure, and battery technology. Battery prices, for instance, have seen a substantial decline. Back in 2010, the cost was north of $1,200 for each kilowatt-hour. Fast forward to 2023, and projections put it at roughly $139 per kilowatt-hour. As a result, the significant drop in prices has made electric vehicles more accessible to a wider range of consumers (</w:t>
      </w:r>
      <w:proofErr w:type="spellStart"/>
      <w:r w:rsidR="002E5FBC" w:rsidRPr="006F505E">
        <w:t>BloombergNEF</w:t>
      </w:r>
      <w:proofErr w:type="spellEnd"/>
      <w:r w:rsidR="002E5FBC" w:rsidRPr="006F505E">
        <w:t>, 2023). People and organizations that quickly embrace these advancements will gain a competitive advantage, while those who hesitate will likely struggle to keep up.</w:t>
      </w:r>
    </w:p>
    <w:p w14:paraId="62A12C0B" w14:textId="77777777" w:rsidR="00B3631E" w:rsidRDefault="00B3631E" w:rsidP="00802531">
      <w:pPr>
        <w:pStyle w:val="Heading3"/>
      </w:pPr>
      <w:bookmarkStart w:id="11" w:name="_Toc214460703"/>
      <w:r>
        <w:rPr>
          <w:rStyle w:val="Strong"/>
          <w:b w:val="0"/>
          <w:bCs w:val="0"/>
        </w:rPr>
        <w:lastRenderedPageBreak/>
        <w:t>2.2.2 Rationale for Selecting Environmental Forces</w:t>
      </w:r>
      <w:bookmarkEnd w:id="11"/>
    </w:p>
    <w:p w14:paraId="5C2399CE" w14:textId="77777777" w:rsidR="002E5FBC" w:rsidRDefault="002E5FBC" w:rsidP="002E5FBC">
      <w:pPr>
        <w:rPr>
          <w:rFonts w:ascii="Times New Roman" w:eastAsia="Times New Roman" w:hAnsi="Times New Roman"/>
          <w:lang w:val="en-GB" w:eastAsia="en-GB"/>
        </w:rPr>
      </w:pPr>
      <w:r w:rsidRPr="006F505E">
        <w:rPr>
          <w:rFonts w:ascii="Times New Roman" w:eastAsia="Times New Roman" w:hAnsi="Times New Roman"/>
          <w:lang w:val="en-GB" w:eastAsia="en-GB"/>
        </w:rPr>
        <w:t>As a result, environmental issues have become more important, reflecting the global trend toward sustainability. Across the globe, governments are tightening the reins on carbon dioxide emissions, pushing for greener transportation solutions. People are becoming more aware of the consequences of pollution and climate change. At the same time, producing electric vehicles presents specific environmental challenges. The process includes both the initial gathering of materials for batteries and their eventual disposal. As a result, the growing interest in electric vehicles (EVs), driven by environmental concerns, creates new et</w:t>
      </w:r>
      <w:r>
        <w:rPr>
          <w:rFonts w:ascii="Times New Roman" w:eastAsia="Times New Roman" w:hAnsi="Times New Roman"/>
          <w:lang w:val="en-GB" w:eastAsia="en-GB"/>
        </w:rPr>
        <w:t>hical challenges for companies.</w:t>
      </w:r>
    </w:p>
    <w:p w14:paraId="5CD05EAF" w14:textId="77777777" w:rsidR="00B3631E" w:rsidRDefault="00B3631E" w:rsidP="00802531">
      <w:pPr>
        <w:pStyle w:val="Heading1"/>
      </w:pPr>
      <w:bookmarkStart w:id="12" w:name="_Toc214460704"/>
      <w:r>
        <w:rPr>
          <w:rStyle w:val="Strong"/>
          <w:rFonts w:eastAsiaTheme="majorEastAsia"/>
          <w:b/>
          <w:bCs/>
        </w:rPr>
        <w:t>3. Detailed Examination of Technological Forces in the EV Industry</w:t>
      </w:r>
      <w:bookmarkEnd w:id="12"/>
    </w:p>
    <w:p w14:paraId="40CD3A2A" w14:textId="77777777" w:rsidR="00B3631E" w:rsidRDefault="00B3631E" w:rsidP="00802531">
      <w:pPr>
        <w:pStyle w:val="Heading2"/>
        <w:rPr>
          <w:rStyle w:val="Strong"/>
          <w:b/>
          <w:bCs w:val="0"/>
        </w:rPr>
      </w:pPr>
      <w:bookmarkStart w:id="13" w:name="_Toc214460705"/>
      <w:r>
        <w:rPr>
          <w:rStyle w:val="Strong"/>
          <w:b/>
          <w:bCs w:val="0"/>
        </w:rPr>
        <w:t>3.1 Evolution of Battery Technology</w:t>
      </w:r>
      <w:bookmarkEnd w:id="13"/>
    </w:p>
    <w:p w14:paraId="1C3D27E4" w14:textId="77777777" w:rsidR="00935F86" w:rsidRDefault="00935F86" w:rsidP="00935F86"/>
    <w:p w14:paraId="71300601" w14:textId="77777777" w:rsidR="00935F86" w:rsidRPr="00935F86" w:rsidRDefault="00935F86" w:rsidP="00935F86">
      <w:pPr>
        <w:rPr>
          <w:rFonts w:ascii="Times New Roman" w:hAnsi="Times New Roman"/>
        </w:rPr>
      </w:pPr>
      <w:r w:rsidRPr="00935F86">
        <w:rPr>
          <w:rFonts w:ascii="Times New Roman" w:hAnsi="Times New Roman"/>
        </w:rPr>
        <w:t>Figure 3 – Technological Forces in the EV Industry: Tesla vs BYD Battery Strategy</w:t>
      </w:r>
    </w:p>
    <w:p w14:paraId="5A634CB2" w14:textId="77777777" w:rsidR="00935F86" w:rsidRDefault="00935F86" w:rsidP="00935F86">
      <w:r w:rsidRPr="00935F86">
        <w:rPr>
          <w:noProof/>
          <w:lang w:val="en-GB" w:eastAsia="en-GB"/>
        </w:rPr>
        <w:drawing>
          <wp:inline distT="0" distB="0" distL="0" distR="0" wp14:anchorId="0E07927D" wp14:editId="538B77FC">
            <wp:extent cx="4298950" cy="1550168"/>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07117" cy="1553113"/>
                    </a:xfrm>
                    <a:prstGeom prst="rect">
                      <a:avLst/>
                    </a:prstGeom>
                  </pic:spPr>
                </pic:pic>
              </a:graphicData>
            </a:graphic>
          </wp:inline>
        </w:drawing>
      </w:r>
    </w:p>
    <w:p w14:paraId="2E823E14" w14:textId="77777777" w:rsidR="00B15D48" w:rsidRPr="00B15D48" w:rsidRDefault="00B15D48" w:rsidP="00935F86">
      <w:pPr>
        <w:rPr>
          <w:rFonts w:ascii="Times New Roman" w:hAnsi="Times New Roman"/>
        </w:rPr>
      </w:pPr>
      <w:r w:rsidRPr="00B15D48">
        <w:rPr>
          <w:rFonts w:ascii="Times New Roman" w:hAnsi="Times New Roman"/>
        </w:rPr>
        <w:t>Source: Based on Tesla (2020), Chen et al. (2023) and Zhou &amp; Li (2022).</w:t>
      </w:r>
    </w:p>
    <w:p w14:paraId="559450F1" w14:textId="77777777" w:rsidR="00B15D48" w:rsidRDefault="00B15D48" w:rsidP="00935F86"/>
    <w:p w14:paraId="35F218ED" w14:textId="77777777" w:rsidR="00935F86" w:rsidRPr="00935F86" w:rsidRDefault="00935F86" w:rsidP="00935F86">
      <w:pPr>
        <w:rPr>
          <w:rFonts w:ascii="Times New Roman" w:hAnsi="Times New Roman"/>
        </w:rPr>
      </w:pPr>
      <w:r>
        <w:rPr>
          <w:rFonts w:ascii="Times New Roman" w:hAnsi="Times New Roman"/>
        </w:rPr>
        <w:t>This f</w:t>
      </w:r>
      <w:r w:rsidRPr="00935F86">
        <w:rPr>
          <w:rFonts w:ascii="Times New Roman" w:hAnsi="Times New Roman"/>
        </w:rPr>
        <w:t>igure compares Tesla’s performance-driven battery strategy with BYD’s cost- and safety-oriented approach, illustrating how technological forces are interpreted differently by a pioneer and a follower.</w:t>
      </w:r>
    </w:p>
    <w:p w14:paraId="23B2FABD" w14:textId="77777777" w:rsidR="002E5FBC" w:rsidRDefault="002E5FBC" w:rsidP="00802531">
      <w:pPr>
        <w:pStyle w:val="NormalWeb"/>
        <w:spacing w:line="360" w:lineRule="auto"/>
        <w:jc w:val="both"/>
      </w:pPr>
      <w:r w:rsidRPr="006F505E">
        <w:t>The development of better batteries is a key area of research, with the goal of improving energy storage and use. This work is crucial for a variety of technologies, including electric cars, portable gadgets, and large-scale energy systems. The main challenges in creating better batteries include increasing how much energy they can store, making them last longer, and reducing how much they cost. Researchers are exploring different materials and designs to overcome these challenges. For example, using new materials like silicon or lithium-</w:t>
      </w:r>
      <w:proofErr w:type="spellStart"/>
      <w:r w:rsidRPr="006F505E">
        <w:t>sulfur</w:t>
      </w:r>
      <w:proofErr w:type="spellEnd"/>
      <w:r w:rsidRPr="006F505E">
        <w:t xml:space="preserve"> can potentially increase energy density. Also, improving how batteries are made and how they are used can help them last longer and work better. These improvements are essential </w:t>
      </w:r>
      <w:r w:rsidRPr="006F505E">
        <w:lastRenderedPageBreak/>
        <w:t xml:space="preserve">for making renewable energy sources more reliable and for reducing our reliance on fossil fuels. </w:t>
      </w:r>
      <w:r w:rsidRPr="006F505E">
        <w:br/>
        <w:t xml:space="preserve">Battery technology has been the bedrock of the electric vehicle surge from the very beginning. Recently, nickel-rich, low-cobalt battery chemistries and lithium iron phosphate (LFP) have become the standard, mainly because of improvements in safety, cost-effectiveness, and energy density (Chen et al., 2023). Tesla's work on the 4680 </w:t>
      </w:r>
      <w:proofErr w:type="gramStart"/>
      <w:r w:rsidRPr="006F505E">
        <w:t>cell</w:t>
      </w:r>
      <w:proofErr w:type="gramEnd"/>
      <w:r w:rsidRPr="006F505E">
        <w:t xml:space="preserve"> has brought about two significant advantages: more efficient manufacturing and improved performance. BYD wasn't the trailblazer in this field, yet they were the ones who brought the </w:t>
      </w:r>
      <w:proofErr w:type="gramStart"/>
      <w:r w:rsidRPr="006F505E">
        <w:t>highly-praised</w:t>
      </w:r>
      <w:proofErr w:type="gramEnd"/>
      <w:r w:rsidRPr="006F505E">
        <w:t xml:space="preserve"> Blade Battery to life. Zhou and Li (2022) suggest that imitators can intentionally use technology to improve their competitive position in the market.</w:t>
      </w:r>
    </w:p>
    <w:p w14:paraId="2449F8CF" w14:textId="77777777" w:rsidR="00B3631E" w:rsidRDefault="00B3631E" w:rsidP="00802531">
      <w:pPr>
        <w:pStyle w:val="Heading2"/>
      </w:pPr>
      <w:bookmarkStart w:id="14" w:name="_Toc214460706"/>
      <w:r>
        <w:rPr>
          <w:rStyle w:val="Strong"/>
          <w:b/>
          <w:bCs w:val="0"/>
        </w:rPr>
        <w:t>3.2 Autonomous Driving and Software Ecosystems</w:t>
      </w:r>
      <w:bookmarkEnd w:id="14"/>
    </w:p>
    <w:p w14:paraId="44DAD000" w14:textId="77777777" w:rsidR="003E22F9" w:rsidRDefault="003E22F9" w:rsidP="00802531">
      <w:pPr>
        <w:pStyle w:val="NormalWeb"/>
        <w:spacing w:line="360" w:lineRule="auto"/>
        <w:jc w:val="both"/>
      </w:pPr>
      <w:r w:rsidRPr="003E22F9">
        <w:rPr>
          <w:noProof/>
        </w:rPr>
        <w:drawing>
          <wp:inline distT="0" distB="0" distL="0" distR="0" wp14:anchorId="2886EFB1" wp14:editId="5BA6176A">
            <wp:extent cx="3790950" cy="32507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11569" cy="3268446"/>
                    </a:xfrm>
                    <a:prstGeom prst="rect">
                      <a:avLst/>
                    </a:prstGeom>
                  </pic:spPr>
                </pic:pic>
              </a:graphicData>
            </a:graphic>
          </wp:inline>
        </w:drawing>
      </w:r>
    </w:p>
    <w:p w14:paraId="196A6FB0" w14:textId="77777777" w:rsidR="00B15D48" w:rsidRDefault="00B15D48" w:rsidP="00802531">
      <w:pPr>
        <w:pStyle w:val="NormalWeb"/>
        <w:spacing w:line="360" w:lineRule="auto"/>
        <w:jc w:val="both"/>
      </w:pPr>
      <w:r>
        <w:t>Source: Adapted from Karsten and West (2022), Tesla (2023) and Nvidia (2023).</w:t>
      </w:r>
    </w:p>
    <w:p w14:paraId="234B64B1" w14:textId="77777777" w:rsidR="003E22F9" w:rsidRDefault="003E22F9" w:rsidP="00802531">
      <w:pPr>
        <w:pStyle w:val="NormalWeb"/>
        <w:spacing w:line="360" w:lineRule="auto"/>
        <w:jc w:val="both"/>
      </w:pPr>
      <w:r>
        <w:t>As illustrated in Figure, Tesla positions itself as a software-driven pioneer with strong in-house AI capabilities, whereas BYD adopts a partnership-oriented model to develop its ADAS and connectivity features.</w:t>
      </w:r>
    </w:p>
    <w:p w14:paraId="1E62A528" w14:textId="77777777" w:rsidR="002E5FBC" w:rsidRDefault="002E5FBC" w:rsidP="00802531">
      <w:pPr>
        <w:pStyle w:val="NormalWeb"/>
        <w:spacing w:line="360" w:lineRule="auto"/>
        <w:jc w:val="both"/>
      </w:pPr>
      <w:r w:rsidRPr="006F505E">
        <w:t>The rise of autonomous driving within the tech world is reshaping our perceptions of electric vehicles. Tesla has integrated its Dojo supercomputer and artificial intelligence (AI) to improve its Full Self-</w:t>
      </w:r>
      <w:r w:rsidRPr="006F505E">
        <w:lastRenderedPageBreak/>
        <w:t>Driving (FSD) capabilities (Karsten &amp; West, 2022). Tesla's strategy has set it apart, providing a seamless, software-driven experience. BYD, in contrast, takes a more cooperative route, partnering with established companies like Huawei and Nvidia to build its driver-assistance systems. While not the quickest, this approach allows BYD to remain competitive without needing large internal investments.</w:t>
      </w:r>
    </w:p>
    <w:p w14:paraId="4966B49D" w14:textId="77777777" w:rsidR="00B3631E" w:rsidRDefault="00B3631E" w:rsidP="00802531">
      <w:pPr>
        <w:pStyle w:val="Heading2"/>
      </w:pPr>
      <w:bookmarkStart w:id="15" w:name="_Toc214460707"/>
      <w:r>
        <w:rPr>
          <w:rStyle w:val="Strong"/>
          <w:b/>
          <w:bCs w:val="0"/>
        </w:rPr>
        <w:t>3.3 Innovation in Charging Infrastructure</w:t>
      </w:r>
      <w:bookmarkEnd w:id="15"/>
    </w:p>
    <w:p w14:paraId="042BD703" w14:textId="77777777" w:rsidR="002E5FBC" w:rsidRDefault="002E5FBC" w:rsidP="00802531">
      <w:pPr>
        <w:pStyle w:val="NormalWeb"/>
        <w:spacing w:line="360" w:lineRule="auto"/>
        <w:jc w:val="both"/>
      </w:pPr>
      <w:r w:rsidRPr="006F505E">
        <w:t>A reliable charging infrastructure is essential for promoting the widespread use of electric vehicles and ensuring their convenience. Tesla's Supercharger network is a definite highlight. It's fast, dependable, and pretty much everywhere you need it. In contrast, BYD's financial model depends heavily on government programs and the charging infrastructure provided by outside companies. This distinction helps to clarify how innovators and those who follow them differentiate themselves in the market by using technology in different ways.</w:t>
      </w:r>
    </w:p>
    <w:p w14:paraId="20E437C1" w14:textId="77777777" w:rsidR="00B3631E" w:rsidRDefault="00B3631E" w:rsidP="00802531">
      <w:pPr>
        <w:pStyle w:val="Heading2"/>
      </w:pPr>
      <w:bookmarkStart w:id="16" w:name="_Toc214460708"/>
      <w:r>
        <w:rPr>
          <w:rStyle w:val="Strong"/>
          <w:b/>
          <w:bCs w:val="0"/>
        </w:rPr>
        <w:t>3.4 Technological Threats Facing the EV Industry</w:t>
      </w:r>
      <w:bookmarkEnd w:id="16"/>
    </w:p>
    <w:p w14:paraId="6E3B9A49" w14:textId="77777777" w:rsidR="00EB5C10" w:rsidRDefault="00EB5C10" w:rsidP="00EB5C10">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The sector is expanding quickly, even as it navigates certain technological challenges. As a result, the combination of problems in global supply chains, rising costs for raw materials, and a shortage of semiconductors has increased uncertainty in manufacturing (IEA, 2024). The electric vehicle market might encounter some bumps ahead, with sodium-ion batteries and hydrogen fuel cell vehicles gaining traction. Businesses must constantly innovate and adapt to stay competitive. </w:t>
      </w:r>
    </w:p>
    <w:p w14:paraId="7F9AE50B" w14:textId="77777777" w:rsidR="00B3631E" w:rsidRDefault="00B3631E" w:rsidP="00802531"/>
    <w:p w14:paraId="7451C104" w14:textId="77777777" w:rsidR="00E84E48" w:rsidRDefault="00E84E48" w:rsidP="00802531"/>
    <w:p w14:paraId="7F66B78D" w14:textId="77777777" w:rsidR="00E84E48" w:rsidRDefault="00E84E48" w:rsidP="00802531"/>
    <w:p w14:paraId="229C9B3A" w14:textId="77777777" w:rsidR="00E84E48" w:rsidRDefault="00E84E48" w:rsidP="00802531"/>
    <w:p w14:paraId="6CFBD569" w14:textId="77777777" w:rsidR="00E84E48" w:rsidRDefault="00E84E48" w:rsidP="00802531"/>
    <w:p w14:paraId="14371914" w14:textId="77777777" w:rsidR="00E84E48" w:rsidRDefault="00E84E48" w:rsidP="00802531"/>
    <w:p w14:paraId="20C9D887" w14:textId="77777777" w:rsidR="00E84E48" w:rsidRDefault="00E84E48" w:rsidP="00802531"/>
    <w:p w14:paraId="7A8478B9" w14:textId="77777777" w:rsidR="00E84E48" w:rsidRDefault="00E84E48" w:rsidP="00802531"/>
    <w:p w14:paraId="47184E90" w14:textId="77777777" w:rsidR="00E84E48" w:rsidRDefault="00E84E48" w:rsidP="00802531"/>
    <w:p w14:paraId="0A8ABFCF" w14:textId="77777777" w:rsidR="00E84E48" w:rsidRDefault="00E84E48" w:rsidP="00802531"/>
    <w:p w14:paraId="07ED2558" w14:textId="77777777" w:rsidR="00B3631E" w:rsidRDefault="00B3631E" w:rsidP="00802531">
      <w:pPr>
        <w:pStyle w:val="Heading1"/>
      </w:pPr>
      <w:bookmarkStart w:id="17" w:name="_Toc214460709"/>
      <w:r>
        <w:rPr>
          <w:rStyle w:val="Strong"/>
          <w:rFonts w:eastAsiaTheme="majorEastAsia"/>
          <w:b/>
          <w:bCs/>
        </w:rPr>
        <w:lastRenderedPageBreak/>
        <w:t>4. Detailed Examination of Environmental Forces in the EV Industry</w:t>
      </w:r>
      <w:bookmarkEnd w:id="17"/>
    </w:p>
    <w:p w14:paraId="2FBE5CD6" w14:textId="77777777" w:rsidR="00B3631E" w:rsidRDefault="00B3631E" w:rsidP="00802531">
      <w:pPr>
        <w:pStyle w:val="Heading2"/>
      </w:pPr>
      <w:bookmarkStart w:id="18" w:name="_Toc214460710"/>
      <w:r>
        <w:rPr>
          <w:rStyle w:val="Strong"/>
          <w:b/>
          <w:bCs w:val="0"/>
        </w:rPr>
        <w:t>4.1 Climate Change as a Global Driver of EV Adoption</w:t>
      </w:r>
      <w:bookmarkEnd w:id="18"/>
    </w:p>
    <w:p w14:paraId="34FC5C9A" w14:textId="77777777" w:rsidR="00E84E48" w:rsidRDefault="00E84E48" w:rsidP="00EB5C10">
      <w:pPr>
        <w:rPr>
          <w:rFonts w:ascii="Times New Roman" w:eastAsia="Times New Roman" w:hAnsi="Times New Roman"/>
          <w:lang w:val="en-GB" w:eastAsia="en-GB"/>
        </w:rPr>
      </w:pPr>
    </w:p>
    <w:p w14:paraId="50795823" w14:textId="77777777" w:rsidR="00E84E48" w:rsidRDefault="00E84E48" w:rsidP="00EB5C10">
      <w:pPr>
        <w:rPr>
          <w:rFonts w:ascii="Times New Roman" w:hAnsi="Times New Roman"/>
        </w:rPr>
      </w:pPr>
      <w:r w:rsidRPr="00E84E48">
        <w:rPr>
          <w:rFonts w:ascii="Times New Roman" w:hAnsi="Times New Roman"/>
        </w:rPr>
        <w:t>Figure 5 – Climate Policy &amp; EV Adoption: Policy Push Driving EV Growth</w:t>
      </w:r>
    </w:p>
    <w:p w14:paraId="5A370889" w14:textId="77777777" w:rsidR="00E84E48" w:rsidRDefault="00E84E48" w:rsidP="00EB5C10">
      <w:pPr>
        <w:rPr>
          <w:rFonts w:ascii="Times New Roman" w:hAnsi="Times New Roman"/>
        </w:rPr>
      </w:pPr>
      <w:r>
        <w:rPr>
          <w:rFonts w:ascii="Times New Roman" w:hAnsi="Times New Roman"/>
          <w:noProof/>
          <w:lang w:val="en-GB" w:eastAsia="en-GB"/>
        </w:rPr>
        <w:drawing>
          <wp:inline distT="0" distB="0" distL="0" distR="0" wp14:anchorId="0DDD2D9B" wp14:editId="13EB2AEC">
            <wp:extent cx="5886450" cy="26506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02503" cy="2657886"/>
                    </a:xfrm>
                    <a:prstGeom prst="rect">
                      <a:avLst/>
                    </a:prstGeom>
                    <a:noFill/>
                    <a:ln>
                      <a:noFill/>
                    </a:ln>
                  </pic:spPr>
                </pic:pic>
              </a:graphicData>
            </a:graphic>
          </wp:inline>
        </w:drawing>
      </w:r>
    </w:p>
    <w:p w14:paraId="0C4F5719" w14:textId="77777777" w:rsidR="00B15D48" w:rsidRPr="00B15D48" w:rsidRDefault="00B15D48" w:rsidP="00EB5C10">
      <w:pPr>
        <w:rPr>
          <w:rFonts w:ascii="Times New Roman" w:hAnsi="Times New Roman"/>
        </w:rPr>
      </w:pPr>
      <w:r w:rsidRPr="00B15D48">
        <w:rPr>
          <w:rFonts w:ascii="Times New Roman" w:hAnsi="Times New Roman"/>
        </w:rPr>
        <w:t>Source: Based on European Commission (2023), UK Government (2021) and IEA (2023).</w:t>
      </w:r>
    </w:p>
    <w:p w14:paraId="5ACD2010" w14:textId="77777777" w:rsidR="00B15D48" w:rsidRDefault="00B15D48" w:rsidP="00EB5C10">
      <w:pPr>
        <w:rPr>
          <w:rFonts w:ascii="Times New Roman" w:hAnsi="Times New Roman"/>
        </w:rPr>
      </w:pPr>
    </w:p>
    <w:p w14:paraId="0A53F8AE" w14:textId="77777777" w:rsidR="00E84E48" w:rsidRPr="00E84E48" w:rsidRDefault="00E84E48" w:rsidP="00EB5C10">
      <w:pPr>
        <w:rPr>
          <w:rFonts w:ascii="Times New Roman" w:eastAsia="Times New Roman" w:hAnsi="Times New Roman"/>
          <w:lang w:val="en-GB" w:eastAsia="en-GB"/>
        </w:rPr>
      </w:pPr>
      <w:r>
        <w:rPr>
          <w:rFonts w:ascii="Times New Roman" w:hAnsi="Times New Roman"/>
        </w:rPr>
        <w:t>This f</w:t>
      </w:r>
      <w:r w:rsidRPr="00E84E48">
        <w:rPr>
          <w:rFonts w:ascii="Times New Roman" w:hAnsi="Times New Roman"/>
        </w:rPr>
        <w:t>igure summarizes how climate policies create a reinforcing loop, where stricter emissions targets stimulate EV adoption and, in turn, justify further investment into cleaner mobility.</w:t>
      </w:r>
    </w:p>
    <w:p w14:paraId="5277F025" w14:textId="77777777" w:rsidR="00E84E48" w:rsidRDefault="00E84E48" w:rsidP="00EB5C10">
      <w:pPr>
        <w:rPr>
          <w:rFonts w:ascii="Times New Roman" w:eastAsia="Times New Roman" w:hAnsi="Times New Roman"/>
          <w:lang w:val="en-GB" w:eastAsia="en-GB"/>
        </w:rPr>
      </w:pPr>
    </w:p>
    <w:p w14:paraId="5E44997A" w14:textId="77777777" w:rsidR="00EB5C10" w:rsidRDefault="00EB5C10" w:rsidP="00EB5C10">
      <w:pPr>
        <w:rPr>
          <w:rFonts w:ascii="Times New Roman" w:eastAsia="Times New Roman" w:hAnsi="Times New Roman"/>
          <w:lang w:val="en-GB" w:eastAsia="en-GB"/>
        </w:rPr>
      </w:pPr>
      <w:r w:rsidRPr="006F505E">
        <w:rPr>
          <w:rFonts w:ascii="Times New Roman" w:eastAsia="Times New Roman" w:hAnsi="Times New Roman"/>
          <w:lang w:val="en-GB" w:eastAsia="en-GB"/>
        </w:rPr>
        <w:t>The climate crisis has forced governments and businesses to face the difficult task of reducing emissions while also increasing the use of environmentally friendly technologies. Several nations have already enacted complete bans on cars powered by gasoline and diesel, pushing for a transition to electric vehicles as a means of fighting pollution. The European Union has set its sights on eliminating the sale of new cars powered by internal combustion engines by 2035. This move aligns with pledges made by both China and the UK (European Commission, 2023). These global changes are driving a significant increase in the need for electric vehicles.</w:t>
      </w:r>
    </w:p>
    <w:p w14:paraId="08C0B597" w14:textId="77777777" w:rsidR="00EB5C10" w:rsidRDefault="00EB5C10" w:rsidP="00802531">
      <w:pPr>
        <w:pStyle w:val="NormalWeb"/>
        <w:spacing w:line="360" w:lineRule="auto"/>
        <w:jc w:val="both"/>
      </w:pPr>
    </w:p>
    <w:p w14:paraId="64031448" w14:textId="77777777" w:rsidR="00EB5C10" w:rsidRDefault="00EB5C10" w:rsidP="00802531">
      <w:pPr>
        <w:pStyle w:val="NormalWeb"/>
        <w:spacing w:line="360" w:lineRule="auto"/>
        <w:jc w:val="both"/>
      </w:pPr>
    </w:p>
    <w:p w14:paraId="652DF15C" w14:textId="77777777" w:rsidR="00B3631E" w:rsidRDefault="00B3631E" w:rsidP="00802531">
      <w:pPr>
        <w:pStyle w:val="Heading2"/>
      </w:pPr>
      <w:bookmarkStart w:id="19" w:name="_Toc214460711"/>
      <w:r>
        <w:rPr>
          <w:rStyle w:val="Strong"/>
          <w:b/>
          <w:bCs w:val="0"/>
        </w:rPr>
        <w:lastRenderedPageBreak/>
        <w:t>4.2 Environmental Shifts in Consumer Attitudes</w:t>
      </w:r>
      <w:bookmarkEnd w:id="19"/>
    </w:p>
    <w:p w14:paraId="2E914325" w14:textId="77777777" w:rsidR="00EB5C10" w:rsidRDefault="00EB5C10" w:rsidP="00802531">
      <w:pPr>
        <w:pStyle w:val="NormalWeb"/>
        <w:spacing w:line="360" w:lineRule="auto"/>
        <w:jc w:val="both"/>
      </w:pPr>
      <w:r w:rsidRPr="006F505E">
        <w:t>The public is more aware of environmental issues than ever. The drive to lessen our environmental footprint has, to a significant degree, spurred the rise in electric and hybrid vehicle purchases. Statista's 2023 figures reveal that nearly half of European consumers are contemplating buying a vehicle with a smaller environmental footprint. As public awareness of the problem grows, electric car marketing is changing to meet shifting consumer preferences.</w:t>
      </w:r>
    </w:p>
    <w:p w14:paraId="15C9AB6D" w14:textId="77777777" w:rsidR="00B3631E" w:rsidRDefault="00B3631E" w:rsidP="00802531">
      <w:pPr>
        <w:pStyle w:val="Heading2"/>
      </w:pPr>
      <w:bookmarkStart w:id="20" w:name="_Toc214460712"/>
      <w:r>
        <w:rPr>
          <w:rStyle w:val="Strong"/>
          <w:b/>
          <w:bCs w:val="0"/>
        </w:rPr>
        <w:t>4.3 Sustainability Challenges Associated with EV Production</w:t>
      </w:r>
      <w:bookmarkEnd w:id="20"/>
    </w:p>
    <w:p w14:paraId="74C224EC" w14:textId="77777777" w:rsidR="00E84E48" w:rsidRDefault="00E84E48" w:rsidP="00802531">
      <w:pPr>
        <w:pStyle w:val="NormalWeb"/>
        <w:spacing w:line="360" w:lineRule="auto"/>
        <w:jc w:val="both"/>
      </w:pPr>
      <w:r>
        <w:t>Figure 6 – Sustainability Challenges across the EV Value Chain</w:t>
      </w:r>
    </w:p>
    <w:p w14:paraId="570F7801" w14:textId="77777777" w:rsidR="00E84E48" w:rsidRDefault="00E84E48" w:rsidP="00802531">
      <w:pPr>
        <w:pStyle w:val="NormalWeb"/>
        <w:spacing w:line="360" w:lineRule="auto"/>
        <w:jc w:val="both"/>
      </w:pPr>
      <w:r w:rsidRPr="00E84E48">
        <w:rPr>
          <w:noProof/>
        </w:rPr>
        <w:drawing>
          <wp:inline distT="0" distB="0" distL="0" distR="0" wp14:anchorId="0AC07049" wp14:editId="13A044B7">
            <wp:extent cx="5397500" cy="1367073"/>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08228" cy="1369790"/>
                    </a:xfrm>
                    <a:prstGeom prst="rect">
                      <a:avLst/>
                    </a:prstGeom>
                  </pic:spPr>
                </pic:pic>
              </a:graphicData>
            </a:graphic>
          </wp:inline>
        </w:drawing>
      </w:r>
    </w:p>
    <w:p w14:paraId="077BAB63" w14:textId="77777777" w:rsidR="00B15D48" w:rsidRDefault="00B15D48" w:rsidP="00802531">
      <w:pPr>
        <w:pStyle w:val="NormalWeb"/>
        <w:spacing w:line="360" w:lineRule="auto"/>
        <w:jc w:val="both"/>
      </w:pPr>
      <w:r>
        <w:t>Source: Adapted from World Economic Forum (2022), IEA (2022) and Harper et al. (2019).</w:t>
      </w:r>
    </w:p>
    <w:p w14:paraId="2E6AB375" w14:textId="77777777" w:rsidR="00E84E48" w:rsidRDefault="00E84E48" w:rsidP="00802531">
      <w:pPr>
        <w:pStyle w:val="NormalWeb"/>
        <w:spacing w:line="360" w:lineRule="auto"/>
        <w:jc w:val="both"/>
      </w:pPr>
      <w:r>
        <w:t>This figure presents the EV value chain and highlights key environmental risks at each stage, along with strategic responses from Tesla and BYD.</w:t>
      </w:r>
    </w:p>
    <w:p w14:paraId="4E7355B6" w14:textId="77777777" w:rsidR="00EB5C10" w:rsidRDefault="00EB5C10" w:rsidP="00802531">
      <w:pPr>
        <w:pStyle w:val="NormalWeb"/>
        <w:spacing w:line="360" w:lineRule="auto"/>
        <w:jc w:val="both"/>
      </w:pPr>
      <w:r w:rsidRPr="006F505E">
        <w:t>Even though electric vehicles (EVs) are better for the environment, their production still has some negative effects. Extracting lithium, nickel, and cobalt can potentially cause water shortages, land degradation, and social instability (World Economic Forum, 2022). A further factor that could worsen future waste problems is the limited ability to recycle batteries. To tackle these hurdles, Tesla is making strides in developing batteries that don't rely on cobalt, alongside refining its recycling processes. BYD is also using LFP technology to lessen its reliance on materials that are rare and hard to obtain.</w:t>
      </w:r>
    </w:p>
    <w:p w14:paraId="39AC0886" w14:textId="77777777" w:rsidR="00B3631E" w:rsidRDefault="00B3631E" w:rsidP="00802531">
      <w:pPr>
        <w:pStyle w:val="Heading2"/>
      </w:pPr>
      <w:bookmarkStart w:id="21" w:name="_Toc214460713"/>
      <w:r>
        <w:rPr>
          <w:rStyle w:val="Strong"/>
          <w:b/>
          <w:bCs w:val="0"/>
        </w:rPr>
        <w:lastRenderedPageBreak/>
        <w:t>4.4 Environmental Opportunities and Threats</w:t>
      </w:r>
      <w:bookmarkEnd w:id="21"/>
    </w:p>
    <w:p w14:paraId="17CFDB9E" w14:textId="77777777" w:rsidR="00EB5C10" w:rsidRDefault="00EB5C10" w:rsidP="00802531">
      <w:pPr>
        <w:pStyle w:val="NormalWeb"/>
        <w:spacing w:line="360" w:lineRule="auto"/>
        <w:jc w:val="both"/>
      </w:pPr>
      <w:r w:rsidRPr="006F505E">
        <w:t>Environmental factors present both opportunities and risks. Businesses can benefit from the combination of growing consumer demand, government financial support, and a more positive public view of environmentally friendly products. However, these groups face challenges, including stricter audit requirements, increased global scrutiny of their sustainability efforts, and the possibility of future resource shortages. Therefore, companies should consider their environmental responsibilities when creating future strategies.</w:t>
      </w:r>
    </w:p>
    <w:p w14:paraId="1C28F532" w14:textId="77777777" w:rsidR="00B3631E" w:rsidRDefault="00B3631E" w:rsidP="00802531">
      <w:pPr>
        <w:pStyle w:val="Heading1"/>
        <w:rPr>
          <w:rStyle w:val="Strong"/>
          <w:rFonts w:eastAsiaTheme="majorEastAsia"/>
          <w:b/>
          <w:bCs/>
        </w:rPr>
      </w:pPr>
      <w:bookmarkStart w:id="22" w:name="_Toc214460714"/>
      <w:r>
        <w:rPr>
          <w:rStyle w:val="Strong"/>
          <w:rFonts w:eastAsiaTheme="majorEastAsia"/>
          <w:b/>
          <w:bCs/>
        </w:rPr>
        <w:t>5. Task 2: Strategic Responses of Pioneers and Followers</w:t>
      </w:r>
      <w:bookmarkEnd w:id="22"/>
    </w:p>
    <w:p w14:paraId="6A534CDD" w14:textId="77777777" w:rsidR="00802531" w:rsidRPr="00E84E48" w:rsidRDefault="00E84E48" w:rsidP="00802531">
      <w:pPr>
        <w:rPr>
          <w:rFonts w:ascii="Times New Roman" w:hAnsi="Times New Roman"/>
        </w:rPr>
      </w:pPr>
      <w:r w:rsidRPr="00E84E48">
        <w:rPr>
          <w:rFonts w:ascii="Times New Roman" w:hAnsi="Times New Roman"/>
        </w:rPr>
        <w:t>Figure 7 – Strategic Response Framework: From Macro Forces to Firm Strategy</w:t>
      </w:r>
    </w:p>
    <w:p w14:paraId="18B8A1FD" w14:textId="77777777" w:rsidR="00E84E48" w:rsidRDefault="00E84E48" w:rsidP="00802531">
      <w:r w:rsidRPr="00E84E48">
        <w:rPr>
          <w:noProof/>
          <w:lang w:val="en-GB" w:eastAsia="en-GB"/>
        </w:rPr>
        <w:drawing>
          <wp:inline distT="0" distB="0" distL="0" distR="0" wp14:anchorId="0678C9B2" wp14:editId="62DE6164">
            <wp:extent cx="4470400" cy="3830312"/>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74978" cy="3834235"/>
                    </a:xfrm>
                    <a:prstGeom prst="rect">
                      <a:avLst/>
                    </a:prstGeom>
                  </pic:spPr>
                </pic:pic>
              </a:graphicData>
            </a:graphic>
          </wp:inline>
        </w:drawing>
      </w:r>
    </w:p>
    <w:p w14:paraId="7E2B295E" w14:textId="77777777" w:rsidR="00E84E48" w:rsidRDefault="00E84E48" w:rsidP="00802531"/>
    <w:p w14:paraId="58DEFFC5" w14:textId="77777777" w:rsidR="00B15D48" w:rsidRPr="00B15D48" w:rsidRDefault="00B15D48" w:rsidP="00802531">
      <w:pPr>
        <w:rPr>
          <w:rFonts w:ascii="Times New Roman" w:hAnsi="Times New Roman"/>
        </w:rPr>
      </w:pPr>
      <w:r w:rsidRPr="00B15D48">
        <w:rPr>
          <w:rFonts w:ascii="Times New Roman" w:hAnsi="Times New Roman"/>
        </w:rPr>
        <w:t>Source: Developed using concepts from Porter (1980), Ansoff (1957) and Lieberman &amp; Montgomery (1988).</w:t>
      </w:r>
    </w:p>
    <w:p w14:paraId="7E0715E2" w14:textId="77777777" w:rsidR="00E84E48" w:rsidRPr="00E84E48" w:rsidRDefault="00E84E48" w:rsidP="00802531">
      <w:pPr>
        <w:rPr>
          <w:rFonts w:ascii="Times New Roman" w:hAnsi="Times New Roman"/>
        </w:rPr>
      </w:pPr>
      <w:r>
        <w:rPr>
          <w:rFonts w:ascii="Times New Roman" w:hAnsi="Times New Roman"/>
        </w:rPr>
        <w:lastRenderedPageBreak/>
        <w:t>This f</w:t>
      </w:r>
      <w:r w:rsidRPr="00E84E48">
        <w:rPr>
          <w:rFonts w:ascii="Times New Roman" w:hAnsi="Times New Roman"/>
        </w:rPr>
        <w:t xml:space="preserve">igure provides an overview of how the selected technological and environmental forces translate into distinct strategic responses by Tesla and BYD, reflecting their roles as </w:t>
      </w:r>
      <w:proofErr w:type="gramStart"/>
      <w:r w:rsidRPr="00E84E48">
        <w:rPr>
          <w:rFonts w:ascii="Times New Roman" w:hAnsi="Times New Roman"/>
        </w:rPr>
        <w:t>pioneer</w:t>
      </w:r>
      <w:proofErr w:type="gramEnd"/>
      <w:r w:rsidRPr="00E84E48">
        <w:rPr>
          <w:rFonts w:ascii="Times New Roman" w:hAnsi="Times New Roman"/>
        </w:rPr>
        <w:t xml:space="preserve"> and </w:t>
      </w:r>
      <w:proofErr w:type="gramStart"/>
      <w:r w:rsidRPr="00E84E48">
        <w:rPr>
          <w:rFonts w:ascii="Times New Roman" w:hAnsi="Times New Roman"/>
        </w:rPr>
        <w:t>follower</w:t>
      </w:r>
      <w:proofErr w:type="gramEnd"/>
      <w:r w:rsidRPr="00E84E48">
        <w:rPr>
          <w:rFonts w:ascii="Times New Roman" w:hAnsi="Times New Roman"/>
        </w:rPr>
        <w:t xml:space="preserve"> respectively.</w:t>
      </w:r>
    </w:p>
    <w:p w14:paraId="70DF7FD3" w14:textId="77777777" w:rsidR="00E84E48" w:rsidRDefault="00E84E48" w:rsidP="00802531">
      <w:pPr>
        <w:rPr>
          <w:lang w:eastAsia="en-GB"/>
        </w:rPr>
      </w:pPr>
    </w:p>
    <w:p w14:paraId="4937C441" w14:textId="77777777" w:rsidR="00B3631E" w:rsidRDefault="00B3631E" w:rsidP="00802531">
      <w:pPr>
        <w:pStyle w:val="Heading2"/>
      </w:pPr>
      <w:bookmarkStart w:id="23" w:name="_Toc214460715"/>
      <w:r>
        <w:rPr>
          <w:rStyle w:val="Strong"/>
          <w:b/>
          <w:bCs w:val="0"/>
        </w:rPr>
        <w:t>5.1 Strategic Responses of Tesla (Pioneer)</w:t>
      </w:r>
      <w:bookmarkEnd w:id="23"/>
    </w:p>
    <w:p w14:paraId="7B70BC2A" w14:textId="77777777" w:rsidR="00B3631E" w:rsidRDefault="00B3631E" w:rsidP="00802531">
      <w:pPr>
        <w:pStyle w:val="Heading3"/>
      </w:pPr>
      <w:bookmarkStart w:id="24" w:name="_Toc214460716"/>
      <w:r>
        <w:rPr>
          <w:rStyle w:val="Strong"/>
          <w:b w:val="0"/>
          <w:bCs w:val="0"/>
        </w:rPr>
        <w:t>5.1.1 Application of Ansoff’s Growth Matrix</w:t>
      </w:r>
      <w:bookmarkEnd w:id="24"/>
    </w:p>
    <w:p w14:paraId="2EEF8D32" w14:textId="77777777" w:rsidR="00B3631E" w:rsidRDefault="00B3631E" w:rsidP="00802531">
      <w:pPr>
        <w:pStyle w:val="Heading4"/>
      </w:pPr>
      <w:r>
        <w:rPr>
          <w:rStyle w:val="Strong"/>
          <w:b w:val="0"/>
          <w:bCs w:val="0"/>
        </w:rPr>
        <w:t>Market Penetration through Customer Experience Enhancement</w:t>
      </w:r>
    </w:p>
    <w:p w14:paraId="37088D68" w14:textId="77777777" w:rsidR="009379C1" w:rsidRDefault="009379C1" w:rsidP="00802531">
      <w:pPr>
        <w:pStyle w:val="NormalWeb"/>
        <w:spacing w:line="360" w:lineRule="auto"/>
        <w:jc w:val="both"/>
      </w:pPr>
      <w:r w:rsidRPr="006F505E">
        <w:t xml:space="preserve">Entering new markets frequently depends on meeting the demands of existing clientele. </w:t>
      </w:r>
      <w:r w:rsidRPr="006F505E">
        <w:br/>
        <w:t>Tesla's primary focus is on refining its current offerings. This is achieved through the consistent deployment of software updates. The latest updates improve how the cars handle, add new safety measures, and extend their driving range. These enhancements accomplish two things. They show existing customers that they're appreciated, and they also attract new ones, who are frequently impressed by Tesla's reputation for ongoing innovation</w:t>
      </w:r>
    </w:p>
    <w:p w14:paraId="5E25AB3E" w14:textId="77777777" w:rsidR="00B3631E" w:rsidRDefault="00B3631E" w:rsidP="00802531">
      <w:pPr>
        <w:pStyle w:val="Heading4"/>
      </w:pPr>
      <w:r>
        <w:rPr>
          <w:rStyle w:val="Strong"/>
          <w:b w:val="0"/>
          <w:bCs w:val="0"/>
        </w:rPr>
        <w:t>Product Development through Innovation Intensity</w:t>
      </w:r>
    </w:p>
    <w:p w14:paraId="662748E8" w14:textId="77777777" w:rsidR="00B3631E" w:rsidRDefault="00B3631E" w:rsidP="00802531">
      <w:pPr>
        <w:pStyle w:val="NormalWeb"/>
        <w:spacing w:line="360" w:lineRule="auto"/>
        <w:jc w:val="both"/>
      </w:pPr>
      <w:r>
        <w:t xml:space="preserve">Tesla’s growth is largely driven by relentless product development. The introduction of advanced battery designs, AI-based autonomous systems, smart manufacturing methods and the </w:t>
      </w:r>
      <w:proofErr w:type="spellStart"/>
      <w:r>
        <w:t>Cybertruck</w:t>
      </w:r>
      <w:proofErr w:type="spellEnd"/>
      <w:r>
        <w:t xml:space="preserve"> demonstrates continuous innovation. Tesla invests heavily in research and development, with R&amp;D intensity consistently higher than most traditional automakers (Statista, 2024). This reinforces its pioneering image and differentiation strategy.</w:t>
      </w:r>
    </w:p>
    <w:p w14:paraId="0C24CEE4" w14:textId="77777777" w:rsidR="00B3631E" w:rsidRDefault="00B3631E" w:rsidP="00802531">
      <w:pPr>
        <w:pStyle w:val="Heading4"/>
      </w:pPr>
      <w:r>
        <w:rPr>
          <w:rStyle w:val="Strong"/>
          <w:b w:val="0"/>
          <w:bCs w:val="0"/>
        </w:rPr>
        <w:t>Market Development via Global Gigafactory Expansion</w:t>
      </w:r>
    </w:p>
    <w:p w14:paraId="7B21B5CD" w14:textId="77777777" w:rsidR="009379C1" w:rsidRDefault="009379C1" w:rsidP="00802531">
      <w:pPr>
        <w:pStyle w:val="NormalWeb"/>
        <w:spacing w:line="360" w:lineRule="auto"/>
        <w:jc w:val="both"/>
      </w:pPr>
      <w:r w:rsidRPr="006F505E">
        <w:t xml:space="preserve">Tesla's expansion is driven by an insatiable appetite for new ideas. Tesla's relentless drive to stay ahead of the competition is clear in its self-driving advancements, battery breakthroughs, and the eagerly awaited </w:t>
      </w:r>
      <w:proofErr w:type="spellStart"/>
      <w:r w:rsidRPr="006F505E">
        <w:t>Cybertruck</w:t>
      </w:r>
      <w:proofErr w:type="spellEnd"/>
      <w:r w:rsidRPr="006F505E">
        <w:t>. Statista's analysis of 2024 research and development expenditures shows Tesla's spending far exceeded that of its more established rivals. This significant investment highlights the company's enduring dedication to innovation.</w:t>
      </w:r>
      <w:r>
        <w:t xml:space="preserve"> </w:t>
      </w:r>
    </w:p>
    <w:p w14:paraId="5748636C" w14:textId="77777777" w:rsidR="009379C1" w:rsidRDefault="009379C1" w:rsidP="00802531">
      <w:pPr>
        <w:pStyle w:val="NormalWeb"/>
        <w:spacing w:line="360" w:lineRule="auto"/>
        <w:jc w:val="both"/>
      </w:pPr>
      <w:r w:rsidRPr="006F505E">
        <w:lastRenderedPageBreak/>
        <w:t xml:space="preserve">The construction of gigafactories is a key factor in the global expansion of markets. </w:t>
      </w:r>
      <w:r w:rsidRPr="006F505E">
        <w:br/>
        <w:t>Tesla is constructing gigafactories globally, a move that reflects its growing global footprint. This approach ensures customer needs are met, accelerates production timelines, cuts down on shipping expenses, and maintains adherence to local laws.</w:t>
      </w:r>
    </w:p>
    <w:p w14:paraId="0F1AFA15" w14:textId="77777777" w:rsidR="00B3631E" w:rsidRDefault="00B3631E" w:rsidP="00802531">
      <w:pPr>
        <w:pStyle w:val="Heading4"/>
      </w:pPr>
      <w:r>
        <w:rPr>
          <w:rStyle w:val="Strong"/>
          <w:b w:val="0"/>
          <w:bCs w:val="0"/>
        </w:rPr>
        <w:t>Diversification into Renewable Energy Solutions</w:t>
      </w:r>
    </w:p>
    <w:p w14:paraId="18F8B4EC" w14:textId="77777777" w:rsidR="009379C1" w:rsidRDefault="009379C1" w:rsidP="009379C1">
      <w:pPr>
        <w:rPr>
          <w:rFonts w:ascii="Times New Roman" w:eastAsia="Times New Roman" w:hAnsi="Times New Roman"/>
          <w:lang w:val="en-GB" w:eastAsia="en-GB"/>
        </w:rPr>
      </w:pPr>
      <w:r w:rsidRPr="006F505E">
        <w:rPr>
          <w:rFonts w:ascii="Times New Roman" w:eastAsia="Times New Roman" w:hAnsi="Times New Roman"/>
          <w:lang w:val="en-GB" w:eastAsia="en-GB"/>
        </w:rPr>
        <w:t>Tesla's venture into renewable energy has showcased its abilities, extending far beyond the realm of automobile manufacturing. Solar roofs and energy storage systems are two examples. This expansion into fresh markets supports global environmental objectives, solidifying Tesla's status as a frontrunner in the renewable energy sector.</w:t>
      </w:r>
    </w:p>
    <w:p w14:paraId="18418B8B" w14:textId="77777777" w:rsidR="00B3631E" w:rsidRDefault="00B3631E" w:rsidP="00802531"/>
    <w:p w14:paraId="259303C0" w14:textId="77777777" w:rsidR="00B3631E" w:rsidRDefault="00B3631E" w:rsidP="00802531">
      <w:pPr>
        <w:pStyle w:val="Heading3"/>
      </w:pPr>
      <w:bookmarkStart w:id="25" w:name="_Toc214460717"/>
      <w:r>
        <w:rPr>
          <w:rStyle w:val="Strong"/>
          <w:b w:val="0"/>
          <w:bCs w:val="0"/>
        </w:rPr>
        <w:t>5.1.2 Porter’s Differentiation Strategy and Tesla’s Competitive Advantage</w:t>
      </w:r>
      <w:bookmarkEnd w:id="25"/>
    </w:p>
    <w:p w14:paraId="1403B5B1" w14:textId="77777777" w:rsidR="00912690" w:rsidRDefault="00912690" w:rsidP="00912690">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Tesla's success hinges on its knack for differentiation. Their name alone suggests high-end </w:t>
      </w:r>
      <w:proofErr w:type="gramStart"/>
      <w:r w:rsidRPr="006F505E">
        <w:rPr>
          <w:rFonts w:ascii="Times New Roman" w:eastAsia="Times New Roman" w:hAnsi="Times New Roman"/>
          <w:lang w:val="en-GB" w:eastAsia="en-GB"/>
        </w:rPr>
        <w:t>products,</w:t>
      </w:r>
      <w:proofErr w:type="gramEnd"/>
      <w:r w:rsidRPr="006F505E">
        <w:rPr>
          <w:rFonts w:ascii="Times New Roman" w:eastAsia="Times New Roman" w:hAnsi="Times New Roman"/>
          <w:lang w:val="en-GB" w:eastAsia="en-GB"/>
        </w:rPr>
        <w:t xml:space="preserve"> a reputation forged through the effortless blending of their cutting-edge technology and software. This strategy, though, demands rapid scaling to retain current customers (Grant, 2021).</w:t>
      </w:r>
    </w:p>
    <w:p w14:paraId="6D5E1214" w14:textId="77777777" w:rsidR="00B3631E" w:rsidRDefault="00B3631E" w:rsidP="00802531"/>
    <w:p w14:paraId="4CE86DBE" w14:textId="77777777" w:rsidR="00B3631E" w:rsidRDefault="00B3631E" w:rsidP="00802531">
      <w:pPr>
        <w:pStyle w:val="Heading3"/>
      </w:pPr>
      <w:bookmarkStart w:id="26" w:name="_Toc214460718"/>
      <w:r>
        <w:rPr>
          <w:rStyle w:val="Strong"/>
          <w:b w:val="0"/>
          <w:bCs w:val="0"/>
        </w:rPr>
        <w:t>5.1.3 Tesla’s Environmental Strategy as a Competitive Lever</w:t>
      </w:r>
      <w:bookmarkEnd w:id="26"/>
    </w:p>
    <w:p w14:paraId="0BC70232" w14:textId="77777777" w:rsidR="00912690" w:rsidRDefault="00912690" w:rsidP="00802531">
      <w:pPr>
        <w:pStyle w:val="NormalWeb"/>
        <w:spacing w:line="360" w:lineRule="auto"/>
        <w:jc w:val="both"/>
      </w:pPr>
      <w:r w:rsidRPr="006F505E">
        <w:t xml:space="preserve">Tesla capitalizes on the worldwide drive toward sustainability, presenting itself as an environmentally conscious brand. The company collaborates with recycling initiatives, prioritizes ethical sourcing, and invests in renewable energy ventures. Despite some progress, there's still </w:t>
      </w:r>
      <w:proofErr w:type="spellStart"/>
      <w:r w:rsidRPr="006F505E">
        <w:t>skepticism</w:t>
      </w:r>
      <w:proofErr w:type="spellEnd"/>
      <w:r w:rsidRPr="006F505E">
        <w:t xml:space="preserve"> about ethical </w:t>
      </w:r>
      <w:proofErr w:type="spellStart"/>
      <w:r w:rsidRPr="006F505E">
        <w:t>labor</w:t>
      </w:r>
      <w:proofErr w:type="spellEnd"/>
      <w:r w:rsidRPr="006F505E">
        <w:t xml:space="preserve"> standards and how transparent supply chains are (Hoffman &amp; Radojevic, 2022).</w:t>
      </w:r>
    </w:p>
    <w:p w14:paraId="6CABE86A" w14:textId="77777777" w:rsidR="00B3631E" w:rsidRDefault="00B3631E" w:rsidP="00802531">
      <w:pPr>
        <w:pStyle w:val="Heading2"/>
      </w:pPr>
      <w:bookmarkStart w:id="27" w:name="_Toc214460719"/>
      <w:r>
        <w:rPr>
          <w:rStyle w:val="Strong"/>
          <w:b/>
          <w:bCs w:val="0"/>
        </w:rPr>
        <w:t>5.2 Strategic Responses of BYD (Follower)</w:t>
      </w:r>
      <w:bookmarkEnd w:id="27"/>
    </w:p>
    <w:p w14:paraId="1A0029D0" w14:textId="77777777" w:rsidR="00B3631E" w:rsidRDefault="00B3631E" w:rsidP="00802531">
      <w:pPr>
        <w:pStyle w:val="Heading3"/>
      </w:pPr>
      <w:bookmarkStart w:id="28" w:name="_Toc214460720"/>
      <w:r>
        <w:rPr>
          <w:rStyle w:val="Strong"/>
          <w:b w:val="0"/>
          <w:bCs w:val="0"/>
        </w:rPr>
        <w:t>5.2.1 Application of Ansoff’s Growth Matrix</w:t>
      </w:r>
      <w:bookmarkEnd w:id="28"/>
    </w:p>
    <w:p w14:paraId="1350DB6B" w14:textId="77777777" w:rsidR="00B3631E" w:rsidRDefault="00B3631E" w:rsidP="00802531">
      <w:pPr>
        <w:pStyle w:val="Heading4"/>
      </w:pPr>
      <w:r>
        <w:rPr>
          <w:rStyle w:val="Strong"/>
          <w:b w:val="0"/>
          <w:bCs w:val="0"/>
        </w:rPr>
        <w:t>Market Penetration through Affordability and Scale</w:t>
      </w:r>
    </w:p>
    <w:p w14:paraId="1FFE5CF5" w14:textId="77777777" w:rsidR="00912690" w:rsidRDefault="00912690" w:rsidP="00912690">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To successfully enter new markets, offering affordable and comprehensive customer accommodations is essential. The goal is to attract a substantial number of customers by offering products and services at competitive prices. Consequently, growth picks up speed, and the company's position in the market solidifies. </w:t>
      </w:r>
    </w:p>
    <w:p w14:paraId="7C40E89C" w14:textId="77777777" w:rsidR="00912690" w:rsidRDefault="00912690" w:rsidP="00912690">
      <w:pPr>
        <w:rPr>
          <w:rFonts w:ascii="Times New Roman" w:eastAsia="Times New Roman" w:hAnsi="Times New Roman"/>
          <w:lang w:val="en-GB" w:eastAsia="en-GB"/>
        </w:rPr>
      </w:pPr>
      <w:r w:rsidRPr="006F505E">
        <w:rPr>
          <w:rFonts w:ascii="Times New Roman" w:eastAsia="Times New Roman" w:hAnsi="Times New Roman"/>
          <w:lang w:val="en-GB" w:eastAsia="en-GB"/>
        </w:rPr>
        <w:lastRenderedPageBreak/>
        <w:br/>
        <w:t>BYD's lineup includes affordable electric vehicles, bolstered by its extensive manufacturing capabilities. The company's ability to produce cars and their parts at a low cost is a direct result of its vertical integration approach. As a result, the growing affordability of electric vehicles is becoming more accessible to a wider range of consumers (Zhou &amp; Li, 2022).</w:t>
      </w:r>
    </w:p>
    <w:p w14:paraId="61289F0F" w14:textId="77777777" w:rsidR="00B3631E" w:rsidRDefault="00B3631E" w:rsidP="00802531">
      <w:pPr>
        <w:pStyle w:val="Heading4"/>
      </w:pPr>
      <w:r>
        <w:rPr>
          <w:rStyle w:val="Strong"/>
          <w:b w:val="0"/>
          <w:bCs w:val="0"/>
        </w:rPr>
        <w:t>Product Development Focused on Incremental Innovation</w:t>
      </w:r>
    </w:p>
    <w:p w14:paraId="6E6ADBFC" w14:textId="77777777" w:rsidR="00912690" w:rsidRDefault="00912690" w:rsidP="00802531">
      <w:pPr>
        <w:pStyle w:val="NormalWeb"/>
        <w:spacing w:line="360" w:lineRule="auto"/>
        <w:jc w:val="both"/>
      </w:pPr>
      <w:r w:rsidRPr="006F505E">
        <w:t>Unlike Tesla, BYD's strategic approach focuses on small but significant improvements, especially in battery technology. BYD's LFP Blade Battery demonstrates their commitment to efficiency and safety, rather than simply chasing the fastest performance.</w:t>
      </w:r>
    </w:p>
    <w:p w14:paraId="14865513" w14:textId="77777777" w:rsidR="00B3631E" w:rsidRDefault="00B3631E" w:rsidP="00802531">
      <w:pPr>
        <w:pStyle w:val="Heading4"/>
      </w:pPr>
      <w:r>
        <w:rPr>
          <w:rStyle w:val="Strong"/>
          <w:b w:val="0"/>
          <w:bCs w:val="0"/>
        </w:rPr>
        <w:t>Market Development through International Expansion</w:t>
      </w:r>
    </w:p>
    <w:p w14:paraId="007A7D91" w14:textId="77777777" w:rsidR="00882FBC" w:rsidRDefault="00882FBC" w:rsidP="00802531">
      <w:pPr>
        <w:pStyle w:val="NormalWeb"/>
        <w:spacing w:line="360" w:lineRule="auto"/>
        <w:jc w:val="both"/>
      </w:pPr>
      <w:r w:rsidRPr="006F505E">
        <w:t>BYD has been busy, forming strategic partnerships with key players throughout the EU, South America, and Southeast Asia. These collaborations are integral to the company's worldwide expansion plans. BYD's strong position in the commercial transportation sector is largely due to its widespread use of electric buses.</w:t>
      </w:r>
    </w:p>
    <w:p w14:paraId="762FD7F9" w14:textId="77777777" w:rsidR="00B3631E" w:rsidRDefault="00B3631E" w:rsidP="00802531">
      <w:pPr>
        <w:pStyle w:val="Heading4"/>
      </w:pPr>
      <w:r>
        <w:rPr>
          <w:rStyle w:val="Strong"/>
          <w:b w:val="0"/>
          <w:bCs w:val="0"/>
        </w:rPr>
        <w:t>Diversification into Mobility Ecosystems</w:t>
      </w:r>
    </w:p>
    <w:p w14:paraId="247D636C" w14:textId="77777777" w:rsidR="00882FBC" w:rsidRDefault="00882FBC" w:rsidP="00802531">
      <w:pPr>
        <w:pStyle w:val="NormalWeb"/>
        <w:spacing w:line="360" w:lineRule="auto"/>
        <w:jc w:val="both"/>
      </w:pPr>
      <w:r w:rsidRPr="006F505E">
        <w:t xml:space="preserve">BYD has been expanding its horizons lately, moving into electric buses, cars, monorails, and semiconductors, among other things. This </w:t>
      </w:r>
      <w:r>
        <w:t>diversification</w:t>
      </w:r>
      <w:r w:rsidRPr="006F505E">
        <w:t xml:space="preserve"> strategy strengthens the company's position in the electric vehicle market while also reducing potential vulnerabilities.</w:t>
      </w:r>
    </w:p>
    <w:p w14:paraId="795BDDE7" w14:textId="77777777" w:rsidR="00B3631E" w:rsidRDefault="00B3631E" w:rsidP="00802531"/>
    <w:p w14:paraId="545CE58C" w14:textId="77777777" w:rsidR="00B3631E" w:rsidRDefault="00B3631E" w:rsidP="00802531">
      <w:pPr>
        <w:pStyle w:val="Heading3"/>
      </w:pPr>
      <w:bookmarkStart w:id="29" w:name="_Toc214460721"/>
      <w:r>
        <w:rPr>
          <w:rStyle w:val="Strong"/>
          <w:b w:val="0"/>
          <w:bCs w:val="0"/>
        </w:rPr>
        <w:t>5.2.2 Porter’s Cost Leadership Strategy and Competitive Position</w:t>
      </w:r>
      <w:bookmarkEnd w:id="29"/>
    </w:p>
    <w:p w14:paraId="390A97FD" w14:textId="77777777" w:rsidR="00B55B5E" w:rsidRDefault="00882FBC" w:rsidP="00802531">
      <w:pPr>
        <w:pStyle w:val="NormalWeb"/>
        <w:spacing w:line="360" w:lineRule="auto"/>
        <w:jc w:val="both"/>
      </w:pPr>
      <w:r w:rsidRPr="006F505E">
        <w:t xml:space="preserve">This viewpoint suggests that a company's success depends on its ability to produce goods and services at the lowest possible cost. This approach could significantly affect a company's competitive position. Maintaining a tight budget can lead to either healthy profit margins or the capacity to undercut competitors on price. Gaining cost leadership can give a company an edge, especially when prices are being slashed or the economy takes a hit. Another benefit is the ability to move resources to different areas, such as innovation or marketing. If this approach requires constant monitoring of costs and operational </w:t>
      </w:r>
    </w:p>
    <w:p w14:paraId="492CDF5D" w14:textId="77777777" w:rsidR="00B55B5E" w:rsidRDefault="00B55B5E" w:rsidP="00802531">
      <w:pPr>
        <w:pStyle w:val="NormalWeb"/>
        <w:spacing w:line="360" w:lineRule="auto"/>
        <w:jc w:val="both"/>
      </w:pPr>
    </w:p>
    <w:p w14:paraId="0ADF04CE" w14:textId="66759DA0" w:rsidR="00882FBC" w:rsidRDefault="00882FBC" w:rsidP="00802531">
      <w:pPr>
        <w:pStyle w:val="NormalWeb"/>
        <w:spacing w:line="360" w:lineRule="auto"/>
        <w:jc w:val="both"/>
      </w:pPr>
      <w:r w:rsidRPr="006F505E">
        <w:t xml:space="preserve">performance, businesses might struggle to adapt to changing customer needs. </w:t>
      </w:r>
      <w:r w:rsidRPr="006F505E">
        <w:br/>
        <w:t>BYD's main advantage is its ability to keep costs low. BYD's approach, building its own batteries, semiconductors, and motors, gives the company a firm grip on its manufacturing process. This, in turn, helps them maintain competitive pricing. This strategy gives you an edge when customers are especially focused on price changes.</w:t>
      </w:r>
    </w:p>
    <w:p w14:paraId="28C7F741" w14:textId="77777777" w:rsidR="00B3631E" w:rsidRDefault="00B3631E" w:rsidP="00802531">
      <w:pPr>
        <w:pStyle w:val="Heading3"/>
      </w:pPr>
      <w:bookmarkStart w:id="30" w:name="_Toc214460722"/>
      <w:r>
        <w:rPr>
          <w:rStyle w:val="Strong"/>
          <w:b w:val="0"/>
          <w:bCs w:val="0"/>
        </w:rPr>
        <w:t>5.2.3 BYD’s Environmental Responses and Sustainability Position</w:t>
      </w:r>
      <w:bookmarkEnd w:id="30"/>
    </w:p>
    <w:p w14:paraId="1A6536BB" w14:textId="77777777" w:rsidR="00B3631E" w:rsidRDefault="00882FBC" w:rsidP="00802531">
      <w:pPr>
        <w:pStyle w:val="NormalWeb"/>
        <w:spacing w:line="360" w:lineRule="auto"/>
        <w:jc w:val="both"/>
      </w:pPr>
      <w:r w:rsidRPr="006F505E">
        <w:t>By aligning with China's environmental objectives, BYD presents itself as a company with a strong environmental conscience, capitalizing on its use of cobalt-free LFP batteries. As BYD expands globally, it will inevitably face increasing pressure to adhere to the stricter environmental regulations prevalent in Western markets.</w:t>
      </w:r>
      <w:r>
        <w:t xml:space="preserve"> </w:t>
      </w:r>
      <w:r w:rsidR="00B3631E">
        <w:t>Despite these actions, BYD must continue improving global transparency and meeting the higher sustainability standards expected in European and North American markets.</w:t>
      </w:r>
    </w:p>
    <w:p w14:paraId="37F16DAA" w14:textId="77777777" w:rsidR="00B3631E" w:rsidRDefault="00B3631E" w:rsidP="00802531"/>
    <w:p w14:paraId="4408E268" w14:textId="77777777" w:rsidR="000141B4" w:rsidRDefault="000141B4" w:rsidP="00802531"/>
    <w:p w14:paraId="23E28CD8" w14:textId="77777777" w:rsidR="000141B4" w:rsidRDefault="000141B4" w:rsidP="00802531"/>
    <w:p w14:paraId="454204DF" w14:textId="77777777" w:rsidR="000141B4" w:rsidRDefault="000141B4" w:rsidP="00802531"/>
    <w:p w14:paraId="10C1C704" w14:textId="77777777" w:rsidR="000141B4" w:rsidRDefault="000141B4" w:rsidP="00802531"/>
    <w:p w14:paraId="74FC9C6C" w14:textId="77777777" w:rsidR="000141B4" w:rsidRDefault="000141B4" w:rsidP="00802531"/>
    <w:p w14:paraId="1A09CF60" w14:textId="77777777" w:rsidR="000141B4" w:rsidRDefault="000141B4" w:rsidP="000141B4">
      <w:pPr>
        <w:rPr>
          <w:lang w:eastAsia="en-GB"/>
        </w:rPr>
      </w:pPr>
      <w:r w:rsidRPr="000141B4">
        <w:rPr>
          <w:noProof/>
          <w:lang w:val="en-GB" w:eastAsia="en-GB"/>
        </w:rPr>
        <w:lastRenderedPageBreak/>
        <w:drawing>
          <wp:inline distT="0" distB="0" distL="0" distR="0" wp14:anchorId="084B2E38" wp14:editId="4738DB9B">
            <wp:extent cx="4749800" cy="4433587"/>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51774" cy="4435430"/>
                    </a:xfrm>
                    <a:prstGeom prst="rect">
                      <a:avLst/>
                    </a:prstGeom>
                  </pic:spPr>
                </pic:pic>
              </a:graphicData>
            </a:graphic>
          </wp:inline>
        </w:drawing>
      </w:r>
    </w:p>
    <w:p w14:paraId="05655E56" w14:textId="77777777" w:rsidR="00B15D48" w:rsidRPr="00B15D48" w:rsidRDefault="00B15D48" w:rsidP="000141B4">
      <w:pPr>
        <w:rPr>
          <w:rFonts w:ascii="Times New Roman" w:hAnsi="Times New Roman"/>
          <w:lang w:eastAsia="en-GB"/>
        </w:rPr>
      </w:pPr>
      <w:r w:rsidRPr="00B15D48">
        <w:rPr>
          <w:rFonts w:ascii="Times New Roman" w:hAnsi="Times New Roman"/>
        </w:rPr>
        <w:t>Source: Constructed using insights from Statista (2024), Tesla (2023), BYD (2023) and IEA (2023).</w:t>
      </w:r>
    </w:p>
    <w:p w14:paraId="1CE0AF29" w14:textId="77777777" w:rsidR="000141B4" w:rsidRDefault="000141B4" w:rsidP="000141B4">
      <w:pPr>
        <w:rPr>
          <w:lang w:eastAsia="en-GB"/>
        </w:rPr>
      </w:pPr>
    </w:p>
    <w:p w14:paraId="72AC67EC" w14:textId="77777777" w:rsidR="000141B4" w:rsidRPr="000141B4" w:rsidRDefault="000141B4" w:rsidP="000141B4">
      <w:pPr>
        <w:rPr>
          <w:rFonts w:ascii="Times New Roman" w:hAnsi="Times New Roman"/>
          <w:lang w:eastAsia="en-GB"/>
        </w:rPr>
      </w:pPr>
      <w:r>
        <w:rPr>
          <w:rFonts w:ascii="Times New Roman" w:hAnsi="Times New Roman"/>
        </w:rPr>
        <w:t>This f</w:t>
      </w:r>
      <w:r w:rsidRPr="000141B4">
        <w:rPr>
          <w:rFonts w:ascii="Times New Roman" w:hAnsi="Times New Roman"/>
        </w:rPr>
        <w:t>igure offers a summarized visual comparison of Tesla’s differentiation-oriented strategy and BYD’s cost-leadership approach, based on innovation, software capability, cost efficiency, global reach, and environmental positioning.</w:t>
      </w:r>
    </w:p>
    <w:p w14:paraId="5B1BB322" w14:textId="77777777" w:rsidR="000141B4" w:rsidRDefault="000141B4" w:rsidP="00802531"/>
    <w:p w14:paraId="50B3F67E" w14:textId="77777777" w:rsidR="000141B4" w:rsidRDefault="000141B4" w:rsidP="00802531"/>
    <w:p w14:paraId="1F82E6CA" w14:textId="77777777" w:rsidR="00C92A42" w:rsidRDefault="00C92A42" w:rsidP="00802531"/>
    <w:p w14:paraId="23933241" w14:textId="77777777" w:rsidR="00C92A42" w:rsidRDefault="00C92A42" w:rsidP="00802531"/>
    <w:p w14:paraId="23042321" w14:textId="77777777" w:rsidR="00B3631E" w:rsidRDefault="00B3631E" w:rsidP="00802531">
      <w:pPr>
        <w:pStyle w:val="Heading1"/>
      </w:pPr>
      <w:bookmarkStart w:id="31" w:name="_Toc214460723"/>
      <w:r>
        <w:rPr>
          <w:rStyle w:val="Strong"/>
          <w:rFonts w:eastAsiaTheme="majorEastAsia"/>
          <w:b/>
          <w:bCs/>
        </w:rPr>
        <w:lastRenderedPageBreak/>
        <w:t>6. Conclusion</w:t>
      </w:r>
      <w:bookmarkEnd w:id="31"/>
    </w:p>
    <w:p w14:paraId="70C47D48" w14:textId="77777777" w:rsidR="00B3631E" w:rsidRDefault="00B3631E" w:rsidP="00802531">
      <w:pPr>
        <w:pStyle w:val="Heading2"/>
      </w:pPr>
      <w:bookmarkStart w:id="32" w:name="_Toc214460724"/>
      <w:r>
        <w:rPr>
          <w:rStyle w:val="Strong"/>
          <w:b/>
          <w:bCs w:val="0"/>
        </w:rPr>
        <w:t>6.1 Summary of Key Insights</w:t>
      </w:r>
      <w:bookmarkEnd w:id="32"/>
    </w:p>
    <w:p w14:paraId="3D071A42" w14:textId="77777777" w:rsidR="00882FBC" w:rsidRDefault="00882FBC" w:rsidP="00802531">
      <w:pPr>
        <w:pStyle w:val="NormalWeb"/>
        <w:spacing w:line="360" w:lineRule="auto"/>
        <w:jc w:val="both"/>
      </w:pPr>
      <w:r w:rsidRPr="006F505E">
        <w:t>This study aimed to better understand the electric vehicle (EV) market, particularly the strategies used by both established companies and new entrants. The study focused on how environmental and technological factors affected the market. Tesla stays ahead of the game by constantly pushing boundaries and setting itself apart. This is different from BYD, which focuses on mass-producing vehicles and keeping costs down. Both approaches are vulnerable to changes in the environment and technology. Their capacity to adjust, though, hinges on what they're good at and where they stand in the marketplace.</w:t>
      </w:r>
    </w:p>
    <w:p w14:paraId="54872D6B" w14:textId="77777777" w:rsidR="00B3631E" w:rsidRDefault="00B3631E" w:rsidP="00802531">
      <w:pPr>
        <w:pStyle w:val="Heading2"/>
      </w:pPr>
      <w:bookmarkStart w:id="33" w:name="_Toc214460725"/>
      <w:r>
        <w:rPr>
          <w:rStyle w:val="Strong"/>
          <w:b/>
          <w:bCs w:val="0"/>
        </w:rPr>
        <w:t>6.2 Strategic Importance of Environmental Scanning</w:t>
      </w:r>
      <w:bookmarkEnd w:id="33"/>
    </w:p>
    <w:p w14:paraId="60E63ABC" w14:textId="77777777" w:rsidR="00882FBC" w:rsidRPr="00690529" w:rsidRDefault="00882FBC" w:rsidP="00882FBC">
      <w:pPr>
        <w:rPr>
          <w:rFonts w:ascii="Times New Roman" w:eastAsia="Times New Roman" w:hAnsi="Times New Roman"/>
          <w:b/>
          <w:bCs/>
          <w:color w:val="EE0000"/>
          <w:lang w:val="en-GB" w:eastAsia="en-GB"/>
        </w:rPr>
      </w:pPr>
      <w:r w:rsidRPr="006F505E">
        <w:rPr>
          <w:rFonts w:ascii="Times New Roman" w:eastAsia="Times New Roman" w:hAnsi="Times New Roman"/>
          <w:lang w:val="en-GB" w:eastAsia="en-GB"/>
        </w:rPr>
        <w:t xml:space="preserve">Environmental scanning is a strategic process that helps organizations find and understand external factors that could affect their goals. This process is crucial for strategic planning because it helps leaders understand the current situation and anticipate future changes. By regularly examining the external environment, organizations can spot opportunities and threats, which allows them to make better decisions and stay competitive. This proactive approach to environmental scanning helps organizations adjust their strategies, which is essential in today's constantly changing business world. </w:t>
      </w:r>
      <w:r w:rsidRPr="006F505E">
        <w:rPr>
          <w:rFonts w:ascii="Times New Roman" w:eastAsia="Times New Roman" w:hAnsi="Times New Roman"/>
          <w:lang w:val="en-GB" w:eastAsia="en-GB"/>
        </w:rPr>
        <w:br/>
        <w:t xml:space="preserve">The electric vehicle market's evolution shows that businesses need to keep a close eye on outside developments to remain competitive. To successfully implement strategic changes, reduce risks, and create lasting value, organizations must carefully consider technological advancements and sustainability issues. The success of companies like BYD and Tesla highlights the importance of considering the broader </w:t>
      </w:r>
      <w:r w:rsidRPr="00690529">
        <w:rPr>
          <w:rFonts w:ascii="Times New Roman" w:eastAsia="Times New Roman" w:hAnsi="Times New Roman"/>
          <w:lang w:val="en-GB" w:eastAsia="en-GB"/>
        </w:rPr>
        <w:t>economic environment when creating different strategic approaches.</w:t>
      </w:r>
    </w:p>
    <w:p w14:paraId="53205443" w14:textId="77777777" w:rsidR="00B7406F" w:rsidRDefault="00B7406F" w:rsidP="008A1BC3">
      <w:pPr>
        <w:rPr>
          <w:rStyle w:val="Strong"/>
          <w:rFonts w:eastAsiaTheme="majorEastAsia"/>
          <w:b w:val="0"/>
          <w:bCs w:val="0"/>
        </w:rPr>
      </w:pPr>
    </w:p>
    <w:p w14:paraId="4152C249" w14:textId="77777777" w:rsidR="00B7406F" w:rsidRDefault="00B7406F" w:rsidP="008A1BC3">
      <w:pPr>
        <w:rPr>
          <w:rStyle w:val="Strong"/>
          <w:rFonts w:eastAsiaTheme="majorEastAsia"/>
          <w:b w:val="0"/>
          <w:bCs w:val="0"/>
        </w:rPr>
      </w:pPr>
    </w:p>
    <w:p w14:paraId="1EF43214" w14:textId="77777777" w:rsidR="00B7406F" w:rsidRDefault="00B7406F" w:rsidP="008A1BC3">
      <w:pPr>
        <w:rPr>
          <w:rStyle w:val="Strong"/>
          <w:rFonts w:eastAsiaTheme="majorEastAsia"/>
          <w:b w:val="0"/>
          <w:bCs w:val="0"/>
        </w:rPr>
      </w:pPr>
    </w:p>
    <w:p w14:paraId="1931EEA7" w14:textId="77777777" w:rsidR="00B7406F" w:rsidRDefault="00B7406F" w:rsidP="008A1BC3">
      <w:pPr>
        <w:rPr>
          <w:rStyle w:val="Strong"/>
          <w:rFonts w:eastAsiaTheme="majorEastAsia"/>
          <w:b w:val="0"/>
          <w:bCs w:val="0"/>
        </w:rPr>
      </w:pPr>
    </w:p>
    <w:p w14:paraId="1A4D7F7C" w14:textId="77777777" w:rsidR="00B7406F" w:rsidRDefault="00B7406F" w:rsidP="008A1BC3">
      <w:pPr>
        <w:rPr>
          <w:rStyle w:val="Strong"/>
          <w:rFonts w:eastAsiaTheme="majorEastAsia"/>
          <w:b w:val="0"/>
          <w:bCs w:val="0"/>
        </w:rPr>
      </w:pPr>
    </w:p>
    <w:p w14:paraId="5AB3A38F" w14:textId="77777777" w:rsidR="00B7406F" w:rsidRDefault="00B7406F" w:rsidP="008A1BC3">
      <w:pPr>
        <w:rPr>
          <w:rStyle w:val="Strong"/>
          <w:rFonts w:eastAsiaTheme="majorEastAsia"/>
          <w:b w:val="0"/>
          <w:bCs w:val="0"/>
        </w:rPr>
      </w:pPr>
    </w:p>
    <w:p w14:paraId="702304C5" w14:textId="77777777" w:rsidR="00B7406F" w:rsidRDefault="00B7406F" w:rsidP="008A1BC3">
      <w:pPr>
        <w:rPr>
          <w:rStyle w:val="Strong"/>
          <w:rFonts w:eastAsiaTheme="majorEastAsia"/>
          <w:b w:val="0"/>
          <w:bCs w:val="0"/>
        </w:rPr>
      </w:pPr>
    </w:p>
    <w:p w14:paraId="680276F1" w14:textId="77777777" w:rsidR="00B7406F" w:rsidRDefault="00B7406F" w:rsidP="008A1BC3">
      <w:pPr>
        <w:rPr>
          <w:rStyle w:val="Strong"/>
          <w:rFonts w:eastAsiaTheme="majorEastAsia"/>
          <w:b w:val="0"/>
          <w:bCs w:val="0"/>
        </w:rPr>
      </w:pPr>
    </w:p>
    <w:p w14:paraId="4199EDAB" w14:textId="77777777" w:rsidR="00B7406F" w:rsidRDefault="00B7406F" w:rsidP="008A1BC3">
      <w:pPr>
        <w:rPr>
          <w:rStyle w:val="Strong"/>
          <w:rFonts w:eastAsiaTheme="majorEastAsia"/>
          <w:b w:val="0"/>
          <w:bCs w:val="0"/>
        </w:rPr>
      </w:pPr>
    </w:p>
    <w:p w14:paraId="0AE60841" w14:textId="77777777" w:rsidR="00B7406F" w:rsidRDefault="00B7406F" w:rsidP="008A1BC3">
      <w:pPr>
        <w:rPr>
          <w:rStyle w:val="Strong"/>
          <w:rFonts w:eastAsiaTheme="majorEastAsia"/>
          <w:b w:val="0"/>
          <w:bCs w:val="0"/>
        </w:rPr>
      </w:pPr>
    </w:p>
    <w:p w14:paraId="35D754E5" w14:textId="77777777" w:rsidR="00B7406F" w:rsidRDefault="00B7406F" w:rsidP="008A1BC3">
      <w:pPr>
        <w:rPr>
          <w:rStyle w:val="Strong"/>
          <w:rFonts w:eastAsiaTheme="majorEastAsia"/>
          <w:b w:val="0"/>
          <w:bCs w:val="0"/>
        </w:rPr>
      </w:pPr>
    </w:p>
    <w:p w14:paraId="6A3F65B1" w14:textId="77777777" w:rsidR="00B7406F" w:rsidRDefault="00B7406F" w:rsidP="008A1BC3">
      <w:pPr>
        <w:rPr>
          <w:rStyle w:val="Strong"/>
          <w:rFonts w:eastAsiaTheme="majorEastAsia"/>
          <w:b w:val="0"/>
          <w:bCs w:val="0"/>
        </w:rPr>
      </w:pPr>
    </w:p>
    <w:p w14:paraId="16A662D8" w14:textId="77777777" w:rsidR="00B7406F" w:rsidRDefault="00B7406F" w:rsidP="008A1BC3">
      <w:pPr>
        <w:rPr>
          <w:rStyle w:val="Strong"/>
          <w:rFonts w:eastAsiaTheme="majorEastAsia"/>
          <w:b w:val="0"/>
          <w:bCs w:val="0"/>
        </w:rPr>
      </w:pPr>
    </w:p>
    <w:p w14:paraId="65E56C31" w14:textId="77777777" w:rsidR="00B61392" w:rsidRDefault="007168BF" w:rsidP="00B61392">
      <w:pPr>
        <w:pStyle w:val="Heading1"/>
      </w:pPr>
      <w:bookmarkStart w:id="34" w:name="_Toc214460726"/>
      <w:r>
        <w:rPr>
          <w:rStyle w:val="Strong"/>
          <w:rFonts w:eastAsiaTheme="majorEastAsia"/>
          <w:b/>
          <w:bCs/>
        </w:rPr>
        <w:t>7</w:t>
      </w:r>
      <w:r w:rsidR="00520700">
        <w:rPr>
          <w:rStyle w:val="Strong"/>
          <w:rFonts w:eastAsiaTheme="majorEastAsia"/>
          <w:b/>
          <w:bCs/>
        </w:rPr>
        <w:t>. References</w:t>
      </w:r>
      <w:bookmarkEnd w:id="34"/>
      <w:r w:rsidR="00520700">
        <w:rPr>
          <w:rStyle w:val="Strong"/>
          <w:rFonts w:eastAsiaTheme="majorEastAsia"/>
          <w:b/>
          <w:bCs/>
        </w:rPr>
        <w:t xml:space="preserve"> </w:t>
      </w:r>
    </w:p>
    <w:p w14:paraId="2D748385" w14:textId="77777777" w:rsidR="00B15D48" w:rsidRDefault="00B15D48" w:rsidP="00B15D48">
      <w:pPr>
        <w:pStyle w:val="NormalWeb"/>
      </w:pPr>
      <w:r>
        <w:t xml:space="preserve">Baines, P., Fill, C. &amp; Rosengren, S. (2023). </w:t>
      </w:r>
      <w:r>
        <w:rPr>
          <w:rStyle w:val="Emphasis"/>
          <w:rFonts w:eastAsiaTheme="majorEastAsia"/>
        </w:rPr>
        <w:t>Marketing</w:t>
      </w:r>
      <w:r>
        <w:t>. 8th ed. Oxford University Press.</w:t>
      </w:r>
    </w:p>
    <w:p w14:paraId="69E6587C" w14:textId="77777777" w:rsidR="00B15D48" w:rsidRDefault="00B15D48" w:rsidP="00B15D48">
      <w:pPr>
        <w:pStyle w:val="NormalWeb"/>
      </w:pPr>
      <w:proofErr w:type="spellStart"/>
      <w:r>
        <w:t>BloombergNEF</w:t>
      </w:r>
      <w:proofErr w:type="spellEnd"/>
      <w:r>
        <w:t xml:space="preserve"> (2023). </w:t>
      </w:r>
      <w:r>
        <w:rPr>
          <w:rStyle w:val="Emphasis"/>
          <w:rFonts w:eastAsiaTheme="majorEastAsia"/>
        </w:rPr>
        <w:t>Battery Price Survey 2023</w:t>
      </w:r>
      <w:r>
        <w:t xml:space="preserve">. </w:t>
      </w:r>
      <w:proofErr w:type="spellStart"/>
      <w:r>
        <w:t>BloombergNEF</w:t>
      </w:r>
      <w:proofErr w:type="spellEnd"/>
      <w:r>
        <w:t>.</w:t>
      </w:r>
    </w:p>
    <w:p w14:paraId="44DD7EB7" w14:textId="77777777" w:rsidR="00B15D48" w:rsidRDefault="00B15D48" w:rsidP="00B15D48">
      <w:pPr>
        <w:pStyle w:val="NormalWeb"/>
      </w:pPr>
      <w:r>
        <w:t xml:space="preserve">BYD Company Ltd. (2023). </w:t>
      </w:r>
      <w:r>
        <w:rPr>
          <w:rStyle w:val="Emphasis"/>
          <w:rFonts w:eastAsiaTheme="majorEastAsia"/>
        </w:rPr>
        <w:t>Annual Report 2023</w:t>
      </w:r>
      <w:r>
        <w:t xml:space="preserve">. Available at: </w:t>
      </w:r>
      <w:r w:rsidRPr="00B15D48">
        <w:t>https://www.byd.com/</w:t>
      </w:r>
      <w:r>
        <w:t xml:space="preserve"> (Accessed: 19 November 2025).</w:t>
      </w:r>
    </w:p>
    <w:p w14:paraId="0052FB04" w14:textId="77777777" w:rsidR="00B15D48" w:rsidRDefault="00B15D48" w:rsidP="00B15D48">
      <w:pPr>
        <w:pStyle w:val="NormalWeb"/>
      </w:pPr>
      <w:r>
        <w:t xml:space="preserve">Chen, L., Zhao, Y. &amp; Wang, T. (2023). Lithium iron phosphate technology developments in EV batteries. </w:t>
      </w:r>
      <w:r>
        <w:rPr>
          <w:rStyle w:val="Emphasis"/>
          <w:rFonts w:eastAsiaTheme="majorEastAsia"/>
        </w:rPr>
        <w:t>Energy Storage Materials</w:t>
      </w:r>
      <w:r>
        <w:t xml:space="preserve">, 56, 112–128. </w:t>
      </w:r>
      <w:r w:rsidRPr="00B15D48">
        <w:t>https://doi.org/10.1016/j.ensm.2022.12.010</w:t>
      </w:r>
    </w:p>
    <w:p w14:paraId="0A747557" w14:textId="77777777" w:rsidR="00B15D48" w:rsidRDefault="00B15D48" w:rsidP="00B15D48">
      <w:pPr>
        <w:pStyle w:val="NormalWeb"/>
      </w:pPr>
      <w:r>
        <w:t xml:space="preserve">European Commission (2023). </w:t>
      </w:r>
      <w:r>
        <w:rPr>
          <w:rStyle w:val="Emphasis"/>
          <w:rFonts w:eastAsiaTheme="majorEastAsia"/>
        </w:rPr>
        <w:t>CO₂ Emission Standards for Cars and Vans 2035</w:t>
      </w:r>
      <w:r>
        <w:t xml:space="preserve">. Available at: </w:t>
      </w:r>
      <w:r w:rsidRPr="00B15D48">
        <w:t>https://ec.europa.eu/</w:t>
      </w:r>
      <w:r>
        <w:t xml:space="preserve"> (Accessed: 19 November 2025).</w:t>
      </w:r>
    </w:p>
    <w:p w14:paraId="30C63684" w14:textId="77777777" w:rsidR="00B15D48" w:rsidRDefault="00B15D48" w:rsidP="00B15D48">
      <w:pPr>
        <w:pStyle w:val="NormalWeb"/>
      </w:pPr>
      <w:r>
        <w:t xml:space="preserve">European Commission (2023). </w:t>
      </w:r>
      <w:r>
        <w:rPr>
          <w:rStyle w:val="Emphasis"/>
          <w:rFonts w:eastAsiaTheme="majorEastAsia"/>
        </w:rPr>
        <w:t>Fit for 55: Delivering the EU’s 2030 Climate Target</w:t>
      </w:r>
      <w:r>
        <w:t xml:space="preserve">. Available at: </w:t>
      </w:r>
      <w:r w:rsidRPr="00B15D48">
        <w:t>https://ec.europa.eu/</w:t>
      </w:r>
      <w:r>
        <w:t xml:space="preserve"> (Accessed: 19 November 2025).</w:t>
      </w:r>
    </w:p>
    <w:p w14:paraId="3F2638BD" w14:textId="77777777" w:rsidR="00B15D48" w:rsidRDefault="00B15D48" w:rsidP="00B15D48">
      <w:pPr>
        <w:pStyle w:val="NormalWeb"/>
      </w:pPr>
      <w:r>
        <w:t xml:space="preserve">European Environment Agency (2023). </w:t>
      </w:r>
      <w:r>
        <w:rPr>
          <w:rStyle w:val="Emphasis"/>
          <w:rFonts w:eastAsiaTheme="majorEastAsia"/>
        </w:rPr>
        <w:t>Transport Emissions and Climate Change in Europe</w:t>
      </w:r>
      <w:r>
        <w:t xml:space="preserve">. Available at: </w:t>
      </w:r>
      <w:r w:rsidRPr="00B15D48">
        <w:t>https://www.eea.europa.eu/</w:t>
      </w:r>
      <w:r>
        <w:t xml:space="preserve"> (Accessed: 19 November 2025).</w:t>
      </w:r>
    </w:p>
    <w:p w14:paraId="385B909A" w14:textId="77777777" w:rsidR="00B15D48" w:rsidRDefault="00B15D48" w:rsidP="00B15D48">
      <w:pPr>
        <w:pStyle w:val="NormalWeb"/>
      </w:pPr>
      <w:r>
        <w:t xml:space="preserve">Grant, R. (2021). </w:t>
      </w:r>
      <w:r>
        <w:rPr>
          <w:rStyle w:val="Emphasis"/>
          <w:rFonts w:eastAsiaTheme="majorEastAsia"/>
        </w:rPr>
        <w:t>Contemporary Strategy Analysis</w:t>
      </w:r>
      <w:r>
        <w:t>. Wiley.</w:t>
      </w:r>
    </w:p>
    <w:p w14:paraId="2BC72F53" w14:textId="77777777" w:rsidR="00B15D48" w:rsidRDefault="00B15D48" w:rsidP="00B15D48">
      <w:pPr>
        <w:pStyle w:val="NormalWeb"/>
      </w:pPr>
      <w:r>
        <w:t xml:space="preserve">Harper, G., Sommerville, R., Kendrick, E. et al. (2019). Recycling lithium-ion batteries from electric vehicles. </w:t>
      </w:r>
      <w:r>
        <w:rPr>
          <w:rStyle w:val="Emphasis"/>
          <w:rFonts w:eastAsiaTheme="majorEastAsia"/>
        </w:rPr>
        <w:t>Nature</w:t>
      </w:r>
      <w:r>
        <w:t>, 575(7781), 75–86. https://doi.org/10.1038/s41586-019-1682-5</w:t>
      </w:r>
    </w:p>
    <w:p w14:paraId="136F52A8" w14:textId="77777777" w:rsidR="00B15D48" w:rsidRDefault="00B15D48" w:rsidP="00B15D48">
      <w:pPr>
        <w:pStyle w:val="NormalWeb"/>
      </w:pPr>
      <w:r>
        <w:t xml:space="preserve">Hoffman, A. &amp; Radojevic, T. (2022). Tesla’s strategic diversification into energy markets. </w:t>
      </w:r>
      <w:r>
        <w:rPr>
          <w:rStyle w:val="Emphasis"/>
          <w:rFonts w:eastAsiaTheme="majorEastAsia"/>
        </w:rPr>
        <w:t>Journal of Strategic Innovation</w:t>
      </w:r>
      <w:r>
        <w:t>, 14(3), 211–229.</w:t>
      </w:r>
    </w:p>
    <w:p w14:paraId="30C29FCB" w14:textId="77777777" w:rsidR="00B15D48" w:rsidRDefault="00B15D48" w:rsidP="00B15D48">
      <w:pPr>
        <w:pStyle w:val="NormalWeb"/>
      </w:pPr>
      <w:r>
        <w:t xml:space="preserve">International Energy Agency (IEA) (2022). </w:t>
      </w:r>
      <w:r>
        <w:rPr>
          <w:rStyle w:val="Emphasis"/>
          <w:rFonts w:eastAsiaTheme="majorEastAsia"/>
        </w:rPr>
        <w:t>Global Critical Minerals Review</w:t>
      </w:r>
      <w:r>
        <w:t xml:space="preserve">. Available at: </w:t>
      </w:r>
      <w:r w:rsidRPr="00B15D48">
        <w:t>https://www.iea.org/</w:t>
      </w:r>
      <w:r>
        <w:t xml:space="preserve"> (Accessed: 19 November 2025).</w:t>
      </w:r>
    </w:p>
    <w:p w14:paraId="35790165" w14:textId="77777777" w:rsidR="00B15D48" w:rsidRDefault="00B15D48" w:rsidP="00B15D48">
      <w:pPr>
        <w:pStyle w:val="NormalWeb"/>
      </w:pPr>
      <w:r>
        <w:t xml:space="preserve">International Energy Agency (IEA) (2023). </w:t>
      </w:r>
      <w:r>
        <w:rPr>
          <w:rStyle w:val="Emphasis"/>
          <w:rFonts w:eastAsiaTheme="majorEastAsia"/>
        </w:rPr>
        <w:t>Global EV Outlook 2023</w:t>
      </w:r>
      <w:r>
        <w:t xml:space="preserve">. Available at: </w:t>
      </w:r>
      <w:r w:rsidRPr="00B15D48">
        <w:t>https://www.iea.org/</w:t>
      </w:r>
      <w:r>
        <w:t xml:space="preserve"> (Accessed: 19 November 2025).</w:t>
      </w:r>
    </w:p>
    <w:p w14:paraId="7E374093" w14:textId="77777777" w:rsidR="00B15D48" w:rsidRDefault="00B15D48" w:rsidP="00B15D48">
      <w:pPr>
        <w:pStyle w:val="NormalWeb"/>
      </w:pPr>
      <w:r>
        <w:t xml:space="preserve">International Energy Agency (IEA) (2024). </w:t>
      </w:r>
      <w:r>
        <w:rPr>
          <w:rStyle w:val="Emphasis"/>
          <w:rFonts w:eastAsiaTheme="majorEastAsia"/>
        </w:rPr>
        <w:t>Global EV Outlook 2024</w:t>
      </w:r>
      <w:r>
        <w:t xml:space="preserve">. Available at: </w:t>
      </w:r>
      <w:r w:rsidRPr="00B15D48">
        <w:t>https://www.iea.org/</w:t>
      </w:r>
      <w:r>
        <w:t xml:space="preserve"> (Accessed: 19 November 2025).</w:t>
      </w:r>
    </w:p>
    <w:p w14:paraId="28B55325" w14:textId="77777777" w:rsidR="00B15D48" w:rsidRDefault="00B15D48" w:rsidP="00B15D48">
      <w:pPr>
        <w:pStyle w:val="NormalWeb"/>
      </w:pPr>
      <w:r>
        <w:lastRenderedPageBreak/>
        <w:t xml:space="preserve">Karsten, J. &amp; West, D. (2022). Autonomous driving and AI governance in the EV sector. </w:t>
      </w:r>
      <w:r>
        <w:rPr>
          <w:rStyle w:val="Emphasis"/>
          <w:rFonts w:eastAsiaTheme="majorEastAsia"/>
        </w:rPr>
        <w:t>Tech Policy Review</w:t>
      </w:r>
      <w:r>
        <w:t>, 8(1), 45–62.</w:t>
      </w:r>
    </w:p>
    <w:p w14:paraId="4F438323" w14:textId="77777777" w:rsidR="00B15D48" w:rsidRDefault="00B15D48" w:rsidP="00B15D48">
      <w:pPr>
        <w:pStyle w:val="NormalWeb"/>
      </w:pPr>
      <w:r>
        <w:t xml:space="preserve">Kotler, P., Keller, K. &amp; Chernev, A. (2022). </w:t>
      </w:r>
      <w:r>
        <w:rPr>
          <w:rStyle w:val="Emphasis"/>
          <w:rFonts w:eastAsiaTheme="majorEastAsia"/>
        </w:rPr>
        <w:t>Marketing Management</w:t>
      </w:r>
      <w:r>
        <w:t>. Pearson.</w:t>
      </w:r>
    </w:p>
    <w:p w14:paraId="6C0AC79A" w14:textId="77777777" w:rsidR="00B15D48" w:rsidRDefault="00B15D48" w:rsidP="00B15D48">
      <w:pPr>
        <w:pStyle w:val="NormalWeb"/>
      </w:pPr>
      <w:r>
        <w:t xml:space="preserve">Lieberman, M. &amp; Montgomery, D. (1988). First-mover advantages. </w:t>
      </w:r>
      <w:r>
        <w:rPr>
          <w:rStyle w:val="Emphasis"/>
          <w:rFonts w:eastAsiaTheme="majorEastAsia"/>
        </w:rPr>
        <w:t>Strategic Management Journal</w:t>
      </w:r>
      <w:r>
        <w:t>, 9(S1), 41–58.</w:t>
      </w:r>
    </w:p>
    <w:p w14:paraId="749862BE" w14:textId="77777777" w:rsidR="00B15D48" w:rsidRDefault="00B15D48" w:rsidP="00B15D48">
      <w:pPr>
        <w:pStyle w:val="NormalWeb"/>
      </w:pPr>
      <w:r>
        <w:t xml:space="preserve">Mangram, M. (2012). The globalization of Tesla Motors. </w:t>
      </w:r>
      <w:r>
        <w:rPr>
          <w:rStyle w:val="Emphasis"/>
          <w:rFonts w:eastAsiaTheme="majorEastAsia"/>
        </w:rPr>
        <w:t>Journal of Strategic Marketing</w:t>
      </w:r>
      <w:r>
        <w:t xml:space="preserve">, 20(4), 289–312. </w:t>
      </w:r>
      <w:r w:rsidRPr="00B15D48">
        <w:t>https://doi.org/10.1080/0965254X.2012.657224</w:t>
      </w:r>
    </w:p>
    <w:p w14:paraId="15110059" w14:textId="77777777" w:rsidR="00B15D48" w:rsidRDefault="00B15D48" w:rsidP="00B15D48">
      <w:pPr>
        <w:pStyle w:val="NormalWeb"/>
      </w:pPr>
      <w:r>
        <w:t xml:space="preserve">Nvidia (2023). </w:t>
      </w:r>
      <w:r>
        <w:rPr>
          <w:rStyle w:val="Emphasis"/>
          <w:rFonts w:eastAsiaTheme="majorEastAsia"/>
        </w:rPr>
        <w:t>BYD selects NVIDIA DRIVE for next-generation intelligent vehicles</w:t>
      </w:r>
      <w:r>
        <w:t xml:space="preserve">. Available at: </w:t>
      </w:r>
      <w:r w:rsidRPr="00B15D48">
        <w:t>https://www.nvidia.com/</w:t>
      </w:r>
      <w:r>
        <w:t xml:space="preserve"> (Accessed: 19 November 2025).</w:t>
      </w:r>
    </w:p>
    <w:p w14:paraId="48470A68" w14:textId="77777777" w:rsidR="00B15D48" w:rsidRDefault="00B15D48" w:rsidP="00B15D48">
      <w:pPr>
        <w:pStyle w:val="NormalWeb"/>
      </w:pPr>
      <w:r>
        <w:t xml:space="preserve">Porter, M. (1980). </w:t>
      </w:r>
      <w:r>
        <w:rPr>
          <w:rStyle w:val="Emphasis"/>
          <w:rFonts w:eastAsiaTheme="majorEastAsia"/>
        </w:rPr>
        <w:t>Competitive Strategy</w:t>
      </w:r>
      <w:r>
        <w:t>. Free Press.</w:t>
      </w:r>
    </w:p>
    <w:p w14:paraId="68671AD6" w14:textId="77777777" w:rsidR="00B15D48" w:rsidRDefault="00B15D48" w:rsidP="00B15D48">
      <w:pPr>
        <w:pStyle w:val="NormalWeb"/>
      </w:pPr>
      <w:r>
        <w:t xml:space="preserve">Statista (2023). </w:t>
      </w:r>
      <w:r>
        <w:rPr>
          <w:rStyle w:val="Emphasis"/>
          <w:rFonts w:eastAsiaTheme="majorEastAsia"/>
        </w:rPr>
        <w:t>EV Consumer Insights Report 2023</w:t>
      </w:r>
      <w:r>
        <w:t xml:space="preserve">. Available at: </w:t>
      </w:r>
      <w:r w:rsidRPr="00B15D48">
        <w:t>https://www.statista.com/</w:t>
      </w:r>
      <w:r>
        <w:t xml:space="preserve"> (Accessed: 19 November 2025).</w:t>
      </w:r>
    </w:p>
    <w:p w14:paraId="567D6287" w14:textId="77777777" w:rsidR="00B15D48" w:rsidRDefault="00B15D48" w:rsidP="00B15D48">
      <w:pPr>
        <w:pStyle w:val="NormalWeb"/>
      </w:pPr>
      <w:r>
        <w:t xml:space="preserve">Statista (2024). </w:t>
      </w:r>
      <w:r>
        <w:rPr>
          <w:rStyle w:val="Emphasis"/>
          <w:rFonts w:eastAsiaTheme="majorEastAsia"/>
        </w:rPr>
        <w:t>Tesla – R&amp;D expenditure 2024</w:t>
      </w:r>
      <w:r>
        <w:t xml:space="preserve">. Available at: </w:t>
      </w:r>
      <w:r w:rsidRPr="00B15D48">
        <w:t>https://www.statista.com/</w:t>
      </w:r>
      <w:r>
        <w:t xml:space="preserve"> (Accessed: 19 November 2025).</w:t>
      </w:r>
    </w:p>
    <w:p w14:paraId="2339A644" w14:textId="77777777" w:rsidR="00B15D48" w:rsidRDefault="00B15D48" w:rsidP="00B15D48">
      <w:pPr>
        <w:pStyle w:val="NormalWeb"/>
      </w:pPr>
      <w:r>
        <w:t xml:space="preserve">Tesla (2020). </w:t>
      </w:r>
      <w:r>
        <w:rPr>
          <w:rStyle w:val="Emphasis"/>
          <w:rFonts w:eastAsiaTheme="majorEastAsia"/>
        </w:rPr>
        <w:t>Battery Day Presentation</w:t>
      </w:r>
      <w:r>
        <w:t xml:space="preserve">. Available at: </w:t>
      </w:r>
      <w:r w:rsidRPr="00B15D48">
        <w:t>https://www.tesla.com/</w:t>
      </w:r>
      <w:r>
        <w:t xml:space="preserve"> (Accessed: 19 November 2025).</w:t>
      </w:r>
    </w:p>
    <w:p w14:paraId="75AC54A5" w14:textId="77777777" w:rsidR="00B15D48" w:rsidRDefault="00B15D48" w:rsidP="00B15D48">
      <w:pPr>
        <w:pStyle w:val="NormalWeb"/>
      </w:pPr>
      <w:r>
        <w:t xml:space="preserve">Tesla (2023). </w:t>
      </w:r>
      <w:r>
        <w:rPr>
          <w:rStyle w:val="Emphasis"/>
          <w:rFonts w:eastAsiaTheme="majorEastAsia"/>
        </w:rPr>
        <w:t>Impact Report 2023</w:t>
      </w:r>
      <w:r>
        <w:t xml:space="preserve">. Available at: </w:t>
      </w:r>
      <w:r w:rsidRPr="00B15D48">
        <w:t>https://www.tesla.com/impact</w:t>
      </w:r>
      <w:r>
        <w:t xml:space="preserve"> (Accessed: 19 November 2025).</w:t>
      </w:r>
    </w:p>
    <w:p w14:paraId="6F3824E4" w14:textId="77777777" w:rsidR="00B15D48" w:rsidRDefault="00B15D48" w:rsidP="00B15D48">
      <w:pPr>
        <w:pStyle w:val="NormalWeb"/>
      </w:pPr>
      <w:r>
        <w:t xml:space="preserve">UK Government (2021). </w:t>
      </w:r>
      <w:r>
        <w:rPr>
          <w:rStyle w:val="Emphasis"/>
          <w:rFonts w:eastAsiaTheme="majorEastAsia"/>
        </w:rPr>
        <w:t>Net Zero Strategy: Build Back Greener</w:t>
      </w:r>
      <w:r>
        <w:t xml:space="preserve">. Available at: </w:t>
      </w:r>
      <w:r w:rsidRPr="00B15D48">
        <w:t>https://www.gov.uk/</w:t>
      </w:r>
      <w:r>
        <w:t xml:space="preserve"> (Accessed: 19 November 2025).</w:t>
      </w:r>
    </w:p>
    <w:p w14:paraId="57EC2ED8" w14:textId="77777777" w:rsidR="00B15D48" w:rsidRDefault="00B15D48" w:rsidP="00B15D48">
      <w:pPr>
        <w:pStyle w:val="NormalWeb"/>
      </w:pPr>
      <w:r>
        <w:t xml:space="preserve">Varadarajan, R. (2020). Strategic marketing: A review. </w:t>
      </w:r>
      <w:r>
        <w:rPr>
          <w:rStyle w:val="Emphasis"/>
          <w:rFonts w:eastAsiaTheme="majorEastAsia"/>
        </w:rPr>
        <w:t>Journal of the Academy of Marketing Science</w:t>
      </w:r>
      <w:r>
        <w:t xml:space="preserve">, 48(2), 283–308. </w:t>
      </w:r>
      <w:r w:rsidRPr="00B15D48">
        <w:t>https://doi.org/10.1007/s11747-019-00719-4</w:t>
      </w:r>
    </w:p>
    <w:p w14:paraId="1ACE0397" w14:textId="77777777" w:rsidR="00B15D48" w:rsidRDefault="00B15D48" w:rsidP="00B15D48">
      <w:pPr>
        <w:pStyle w:val="NormalWeb"/>
      </w:pPr>
      <w:r>
        <w:t xml:space="preserve">World Economic Forum (2022). </w:t>
      </w:r>
      <w:r>
        <w:rPr>
          <w:rStyle w:val="Emphasis"/>
          <w:rFonts w:eastAsiaTheme="majorEastAsia"/>
        </w:rPr>
        <w:t>The Critical Minerals Challenge</w:t>
      </w:r>
      <w:r>
        <w:t xml:space="preserve">. Available at: </w:t>
      </w:r>
      <w:r w:rsidRPr="00B15D48">
        <w:t>https://www.weforum.org/</w:t>
      </w:r>
      <w:r>
        <w:t xml:space="preserve"> (Accessed: 19 November 2025).</w:t>
      </w:r>
    </w:p>
    <w:p w14:paraId="6C6C79A4" w14:textId="77777777" w:rsidR="00B15D48" w:rsidRDefault="00B15D48" w:rsidP="00B15D48">
      <w:pPr>
        <w:pStyle w:val="NormalWeb"/>
      </w:pPr>
      <w:r>
        <w:t xml:space="preserve">Yüksel, I. (2012). Developing a PESTEL-based decision model. </w:t>
      </w:r>
      <w:r>
        <w:rPr>
          <w:rStyle w:val="Emphasis"/>
          <w:rFonts w:eastAsiaTheme="majorEastAsia"/>
        </w:rPr>
        <w:t>International Journal of Business and Management</w:t>
      </w:r>
      <w:r>
        <w:t xml:space="preserve">, 7(24), 52–66. </w:t>
      </w:r>
      <w:r w:rsidRPr="00B15D48">
        <w:t>https://doi.org/10.5539/ijbm.v7n24p52</w:t>
      </w:r>
    </w:p>
    <w:p w14:paraId="188374DA" w14:textId="77777777" w:rsidR="00B15D48" w:rsidRDefault="00B15D48" w:rsidP="00B15D48">
      <w:pPr>
        <w:pStyle w:val="NormalWeb"/>
      </w:pPr>
      <w:r>
        <w:t xml:space="preserve">Zhou, Y. &amp; Li, Z. (2022). Vertical integration in China’s EV sector. </w:t>
      </w:r>
      <w:r>
        <w:rPr>
          <w:rStyle w:val="Emphasis"/>
          <w:rFonts w:eastAsiaTheme="majorEastAsia"/>
        </w:rPr>
        <w:t>Technological Forecasting and Social Change</w:t>
      </w:r>
      <w:r>
        <w:t xml:space="preserve">, 185, 121993. </w:t>
      </w:r>
      <w:r w:rsidRPr="00B15D48">
        <w:t>https://doi.org/10.1016/j.techfore.2022.121993</w:t>
      </w:r>
    </w:p>
    <w:p w14:paraId="062694CF" w14:textId="77777777" w:rsidR="00B45F9F" w:rsidRDefault="00B45F9F" w:rsidP="008A1BC3">
      <w:pPr>
        <w:rPr>
          <w:rStyle w:val="Strong"/>
          <w:rFonts w:eastAsiaTheme="majorEastAsia"/>
          <w:b w:val="0"/>
          <w:bCs w:val="0"/>
        </w:rPr>
      </w:pPr>
    </w:p>
    <w:p w14:paraId="634E6514" w14:textId="77777777" w:rsidR="00B45F9F" w:rsidRDefault="00B45F9F" w:rsidP="008A1BC3">
      <w:pPr>
        <w:rPr>
          <w:rStyle w:val="Strong"/>
          <w:rFonts w:eastAsiaTheme="majorEastAsia"/>
          <w:b w:val="0"/>
          <w:bCs w:val="0"/>
        </w:rPr>
      </w:pPr>
    </w:p>
    <w:p w14:paraId="5188A4C7" w14:textId="77777777" w:rsidR="00B45F9F" w:rsidRDefault="00B45F9F" w:rsidP="008A1BC3">
      <w:pPr>
        <w:rPr>
          <w:rStyle w:val="Strong"/>
          <w:rFonts w:eastAsiaTheme="majorEastAsia"/>
          <w:b w:val="0"/>
          <w:bCs w:val="0"/>
        </w:rPr>
      </w:pPr>
    </w:p>
    <w:p w14:paraId="02265172" w14:textId="77777777" w:rsidR="00B45F9F" w:rsidRDefault="00325EAB" w:rsidP="00325EAB">
      <w:pPr>
        <w:pStyle w:val="Heading1"/>
        <w:rPr>
          <w:rStyle w:val="Strong"/>
          <w:rFonts w:eastAsiaTheme="majorEastAsia"/>
          <w:b/>
          <w:bCs/>
        </w:rPr>
      </w:pPr>
      <w:bookmarkStart w:id="35" w:name="_Toc214460727"/>
      <w:r>
        <w:rPr>
          <w:rStyle w:val="Strong"/>
          <w:rFonts w:eastAsiaTheme="majorEastAsia"/>
          <w:b/>
          <w:bCs/>
        </w:rPr>
        <w:t>Appendix</w:t>
      </w:r>
      <w:bookmarkEnd w:id="35"/>
      <w:r>
        <w:rPr>
          <w:rStyle w:val="Strong"/>
          <w:rFonts w:eastAsiaTheme="majorEastAsia"/>
          <w:b/>
          <w:bCs/>
        </w:rPr>
        <w:t xml:space="preserve"> </w:t>
      </w:r>
    </w:p>
    <w:p w14:paraId="130F2C27" w14:textId="77777777" w:rsidR="00325EAB" w:rsidRPr="00802531" w:rsidRDefault="00325EAB" w:rsidP="00325EAB">
      <w:pPr>
        <w:rPr>
          <w:b/>
        </w:rPr>
      </w:pPr>
      <w:r w:rsidRPr="00802531">
        <w:rPr>
          <w:b/>
        </w:rPr>
        <w:t>Comparison Table: Tesla vs BYD Strategic Responses to Technological &amp; Environmental Forces</w:t>
      </w:r>
    </w:p>
    <w:p w14:paraId="481D8E51" w14:textId="77777777" w:rsidR="00325EAB" w:rsidRDefault="00325EAB" w:rsidP="00325EAB">
      <w:pPr>
        <w:rPr>
          <w:lang w:eastAsia="en-GB"/>
        </w:rPr>
      </w:pPr>
    </w:p>
    <w:tbl>
      <w:tblPr>
        <w:tblStyle w:val="LightList-Accent11"/>
        <w:tblW w:w="0" w:type="auto"/>
        <w:tblLook w:val="04A0" w:firstRow="1" w:lastRow="0" w:firstColumn="1" w:lastColumn="0" w:noHBand="0" w:noVBand="1"/>
      </w:tblPr>
      <w:tblGrid>
        <w:gridCol w:w="2153"/>
        <w:gridCol w:w="3859"/>
        <w:gridCol w:w="4032"/>
      </w:tblGrid>
      <w:tr w:rsidR="00325EAB" w:rsidRPr="00802531" w14:paraId="63927D7E" w14:textId="77777777" w:rsidTr="001A16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E9821C" w14:textId="77777777" w:rsidR="00325EAB" w:rsidRPr="00802531" w:rsidRDefault="00325EAB" w:rsidP="001A1606">
            <w:pPr>
              <w:spacing w:line="360" w:lineRule="auto"/>
              <w:jc w:val="center"/>
              <w:rPr>
                <w:rFonts w:ascii="Times New Roman" w:eastAsia="Times New Roman" w:hAnsi="Times New Roman"/>
                <w:lang w:val="en-GB" w:eastAsia="en-GB"/>
              </w:rPr>
            </w:pPr>
            <w:r w:rsidRPr="00802531">
              <w:rPr>
                <w:rFonts w:ascii="Times New Roman" w:eastAsia="Times New Roman" w:hAnsi="Times New Roman"/>
                <w:lang w:val="en-GB" w:eastAsia="en-GB"/>
              </w:rPr>
              <w:t>Strategic Dimension</w:t>
            </w:r>
          </w:p>
        </w:tc>
        <w:tc>
          <w:tcPr>
            <w:tcW w:w="0" w:type="auto"/>
            <w:hideMark/>
          </w:tcPr>
          <w:p w14:paraId="093126FF" w14:textId="77777777" w:rsidR="00325EAB" w:rsidRPr="00802531" w:rsidRDefault="00325EAB" w:rsidP="001A1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Tesla (Pioneer)</w:t>
            </w:r>
          </w:p>
        </w:tc>
        <w:tc>
          <w:tcPr>
            <w:tcW w:w="0" w:type="auto"/>
            <w:hideMark/>
          </w:tcPr>
          <w:p w14:paraId="3DB1A84E" w14:textId="77777777" w:rsidR="00325EAB" w:rsidRPr="00802531" w:rsidRDefault="00325EAB" w:rsidP="001A1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BYD (Follower)</w:t>
            </w:r>
          </w:p>
        </w:tc>
      </w:tr>
      <w:tr w:rsidR="00325EAB" w:rsidRPr="00802531" w14:paraId="52858E98"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E53DB8"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Overall Strategic Orientation</w:t>
            </w:r>
          </w:p>
        </w:tc>
        <w:tc>
          <w:tcPr>
            <w:tcW w:w="0" w:type="auto"/>
            <w:hideMark/>
          </w:tcPr>
          <w:p w14:paraId="467D6162"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Differentiation leadership driven by high-performance technology, premium branding and breakthrough innovation.</w:t>
            </w:r>
          </w:p>
        </w:tc>
        <w:tc>
          <w:tcPr>
            <w:tcW w:w="0" w:type="auto"/>
            <w:hideMark/>
          </w:tcPr>
          <w:p w14:paraId="530DC684"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Cost leadership emphasising affordability, vertical integration, and large-scale mass-market penetration.</w:t>
            </w:r>
          </w:p>
        </w:tc>
      </w:tr>
      <w:tr w:rsidR="00325EAB" w:rsidRPr="00802531" w14:paraId="390BEA86"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68BC327C"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Innovation Approach</w:t>
            </w:r>
          </w:p>
        </w:tc>
        <w:tc>
          <w:tcPr>
            <w:tcW w:w="0" w:type="auto"/>
            <w:hideMark/>
          </w:tcPr>
          <w:p w14:paraId="16E9B403"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Breakthrough, radical innovation (e.g., 4680 batteries, FSD, Dojo supercomputer, Supercharger network).</w:t>
            </w:r>
          </w:p>
        </w:tc>
        <w:tc>
          <w:tcPr>
            <w:tcW w:w="0" w:type="auto"/>
            <w:hideMark/>
          </w:tcPr>
          <w:p w14:paraId="1EAB9F53"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Incremental innovation (e.g., LFP Blade Battery) prioritising safety, durability and cost efficiency.</w:t>
            </w:r>
          </w:p>
        </w:tc>
      </w:tr>
      <w:tr w:rsidR="00325EAB" w:rsidRPr="00802531" w14:paraId="12221E55"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30F970"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Battery Technology Strategy</w:t>
            </w:r>
          </w:p>
        </w:tc>
        <w:tc>
          <w:tcPr>
            <w:tcW w:w="0" w:type="auto"/>
            <w:hideMark/>
          </w:tcPr>
          <w:p w14:paraId="06DE009A"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High-energy density, high-performance nickel-based cells and structural battery packs aimed at long-range premium EVs.</w:t>
            </w:r>
          </w:p>
        </w:tc>
        <w:tc>
          <w:tcPr>
            <w:tcW w:w="0" w:type="auto"/>
            <w:hideMark/>
          </w:tcPr>
          <w:p w14:paraId="0DC9CF4B"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Low-cost LFP Blade Battery eliminating cobalt and reducing supply chain risk; optimised for mass-market EV affordability.</w:t>
            </w:r>
          </w:p>
        </w:tc>
      </w:tr>
      <w:tr w:rsidR="00325EAB" w:rsidRPr="00802531" w14:paraId="78F6552A"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41F24B31"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Autonomous Driving &amp; Software</w:t>
            </w:r>
          </w:p>
        </w:tc>
        <w:tc>
          <w:tcPr>
            <w:tcW w:w="0" w:type="auto"/>
            <w:hideMark/>
          </w:tcPr>
          <w:p w14:paraId="073B6601"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Strong focus on AI-driven autonomy and proprietary software ecosystems; OTA updates central to value creation.</w:t>
            </w:r>
          </w:p>
        </w:tc>
        <w:tc>
          <w:tcPr>
            <w:tcW w:w="0" w:type="auto"/>
            <w:hideMark/>
          </w:tcPr>
          <w:p w14:paraId="0CC4E79E"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Moderate focus; relies on partnerships (e.g., Huawei, Nvidia) to accelerate ADAS functions; less </w:t>
            </w:r>
            <w:proofErr w:type="gramStart"/>
            <w:r w:rsidRPr="00802531">
              <w:rPr>
                <w:rFonts w:ascii="Times New Roman" w:eastAsia="Times New Roman" w:hAnsi="Times New Roman"/>
                <w:lang w:val="en-GB" w:eastAsia="en-GB"/>
              </w:rPr>
              <w:t>software-centric</w:t>
            </w:r>
            <w:proofErr w:type="gramEnd"/>
            <w:r w:rsidRPr="00802531">
              <w:rPr>
                <w:rFonts w:ascii="Times New Roman" w:eastAsia="Times New Roman" w:hAnsi="Times New Roman"/>
                <w:lang w:val="en-GB" w:eastAsia="en-GB"/>
              </w:rPr>
              <w:t>.</w:t>
            </w:r>
          </w:p>
        </w:tc>
      </w:tr>
      <w:tr w:rsidR="00325EAB" w:rsidRPr="00802531" w14:paraId="7864861B"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2E1203"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Market Positioning</w:t>
            </w:r>
          </w:p>
        </w:tc>
        <w:tc>
          <w:tcPr>
            <w:tcW w:w="0" w:type="auto"/>
            <w:hideMark/>
          </w:tcPr>
          <w:p w14:paraId="0B75CA5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Premium, technologically advanced brand aimed at early adopters and high-income consumers.</w:t>
            </w:r>
          </w:p>
        </w:tc>
        <w:tc>
          <w:tcPr>
            <w:tcW w:w="0" w:type="auto"/>
            <w:hideMark/>
          </w:tcPr>
          <w:p w14:paraId="40E04FDC"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Affordable, value-driven brand oriented toward middle-income markets and fleet/bus operators.</w:t>
            </w:r>
          </w:p>
        </w:tc>
      </w:tr>
      <w:tr w:rsidR="00325EAB" w:rsidRPr="00802531" w14:paraId="14FE4B8B"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4379BC2F"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Ansoff: Market Penetration</w:t>
            </w:r>
          </w:p>
        </w:tc>
        <w:tc>
          <w:tcPr>
            <w:tcW w:w="0" w:type="auto"/>
            <w:hideMark/>
          </w:tcPr>
          <w:p w14:paraId="30353303"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Enhances penetration via software updates, price adjustments, and ecosystem stickiness.</w:t>
            </w:r>
          </w:p>
        </w:tc>
        <w:tc>
          <w:tcPr>
            <w:tcW w:w="0" w:type="auto"/>
            <w:hideMark/>
          </w:tcPr>
          <w:p w14:paraId="03F2CF10"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Captures mass adoption through aggressive pricing, high production </w:t>
            </w:r>
            <w:r w:rsidRPr="00802531">
              <w:rPr>
                <w:rFonts w:ascii="Times New Roman" w:eastAsia="Times New Roman" w:hAnsi="Times New Roman"/>
                <w:lang w:val="en-GB" w:eastAsia="en-GB"/>
              </w:rPr>
              <w:lastRenderedPageBreak/>
              <w:t>scale and domestic dominance in China.</w:t>
            </w:r>
          </w:p>
        </w:tc>
      </w:tr>
      <w:tr w:rsidR="00325EAB" w:rsidRPr="00802531" w14:paraId="709CD34A"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A4C5D8"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lastRenderedPageBreak/>
              <w:t>Ansoff: Product Development</w:t>
            </w:r>
          </w:p>
        </w:tc>
        <w:tc>
          <w:tcPr>
            <w:tcW w:w="0" w:type="auto"/>
            <w:hideMark/>
          </w:tcPr>
          <w:p w14:paraId="1E46F212"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Strong product development with new models and continuous technological upgrades; high R&amp;D intensity.</w:t>
            </w:r>
          </w:p>
        </w:tc>
        <w:tc>
          <w:tcPr>
            <w:tcW w:w="0" w:type="auto"/>
            <w:hideMark/>
          </w:tcPr>
          <w:p w14:paraId="22C1671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Practical product development focusing on reliable, safe and cost-effective EV platforms.</w:t>
            </w:r>
          </w:p>
        </w:tc>
      </w:tr>
      <w:tr w:rsidR="00325EAB" w:rsidRPr="00802531" w14:paraId="711CE1C8"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4B62BA57"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Ansoff: Market Development</w:t>
            </w:r>
          </w:p>
        </w:tc>
        <w:tc>
          <w:tcPr>
            <w:tcW w:w="0" w:type="auto"/>
            <w:hideMark/>
          </w:tcPr>
          <w:p w14:paraId="25936A35"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Global expansion via Gigafactories in Europe, China, US and Mexico.</w:t>
            </w:r>
          </w:p>
        </w:tc>
        <w:tc>
          <w:tcPr>
            <w:tcW w:w="0" w:type="auto"/>
            <w:hideMark/>
          </w:tcPr>
          <w:p w14:paraId="235E3B7D"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Expands through partnerships, overseas assembly plants and strong presence in public transport electrification.</w:t>
            </w:r>
          </w:p>
        </w:tc>
      </w:tr>
      <w:tr w:rsidR="00325EAB" w:rsidRPr="00802531" w14:paraId="41473CDD"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E9869"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Ansoff: Diversification</w:t>
            </w:r>
          </w:p>
        </w:tc>
        <w:tc>
          <w:tcPr>
            <w:tcW w:w="0" w:type="auto"/>
            <w:hideMark/>
          </w:tcPr>
          <w:p w14:paraId="56F9DD91"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Energy storage, solar power, grid services, AI computing.</w:t>
            </w:r>
          </w:p>
        </w:tc>
        <w:tc>
          <w:tcPr>
            <w:tcW w:w="0" w:type="auto"/>
            <w:hideMark/>
          </w:tcPr>
          <w:p w14:paraId="4AB5F365"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Diversification into electric buses, trucks, monorails, batteries and semiconductors.</w:t>
            </w:r>
          </w:p>
        </w:tc>
      </w:tr>
      <w:tr w:rsidR="00325EAB" w:rsidRPr="00802531" w14:paraId="3EC348E4"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64F6B596"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Porter’s Generic Strategy</w:t>
            </w:r>
          </w:p>
        </w:tc>
        <w:tc>
          <w:tcPr>
            <w:tcW w:w="0" w:type="auto"/>
            <w:hideMark/>
          </w:tcPr>
          <w:p w14:paraId="67A12A62"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Differentiation strategy. Unique technology + strong brand equity.</w:t>
            </w:r>
          </w:p>
        </w:tc>
        <w:tc>
          <w:tcPr>
            <w:tcW w:w="0" w:type="auto"/>
            <w:hideMark/>
          </w:tcPr>
          <w:p w14:paraId="2CE3EB36"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Cost leadership strategy. Achieves lowest cost through vertical integration.</w:t>
            </w:r>
          </w:p>
        </w:tc>
      </w:tr>
      <w:tr w:rsidR="00325EAB" w:rsidRPr="00802531" w14:paraId="16D318F4"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D0173C"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Supply Chain Strategy</w:t>
            </w:r>
          </w:p>
        </w:tc>
        <w:tc>
          <w:tcPr>
            <w:tcW w:w="0" w:type="auto"/>
            <w:hideMark/>
          </w:tcPr>
          <w:p w14:paraId="1E1852C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Selective integration (e.g., vertical integration in software and batteries) but still reliant on global suppliers.</w:t>
            </w:r>
          </w:p>
        </w:tc>
        <w:tc>
          <w:tcPr>
            <w:tcW w:w="0" w:type="auto"/>
            <w:hideMark/>
          </w:tcPr>
          <w:p w14:paraId="262C916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Deep vertical integration across batteries, chips, motors and manufacturing—reducing cost volatility.</w:t>
            </w:r>
          </w:p>
        </w:tc>
      </w:tr>
      <w:tr w:rsidR="00325EAB" w:rsidRPr="00802531" w14:paraId="39C96C80"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3B70F7C5"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Environmental Response</w:t>
            </w:r>
          </w:p>
        </w:tc>
        <w:tc>
          <w:tcPr>
            <w:tcW w:w="0" w:type="auto"/>
            <w:hideMark/>
          </w:tcPr>
          <w:p w14:paraId="77DE2411"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Strong ESG positioning; renewable-powered factories; recycling partnerships (e.g., Redwood Materials).</w:t>
            </w:r>
          </w:p>
        </w:tc>
        <w:tc>
          <w:tcPr>
            <w:tcW w:w="0" w:type="auto"/>
            <w:hideMark/>
          </w:tcPr>
          <w:p w14:paraId="201AA8C6"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Focus on cobalt-free LFP tech; strong alignment with China’s sustainability policies; growing recycling capabilities.</w:t>
            </w:r>
          </w:p>
        </w:tc>
      </w:tr>
      <w:tr w:rsidR="00325EAB" w:rsidRPr="00802531" w14:paraId="7A18A790"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5449A8"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Competitive Strengths</w:t>
            </w:r>
          </w:p>
        </w:tc>
        <w:tc>
          <w:tcPr>
            <w:tcW w:w="0" w:type="auto"/>
            <w:hideMark/>
          </w:tcPr>
          <w:p w14:paraId="5F9AA61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Strong global brand, superior autonomy, strong software ecosystem, innovation leadership.</w:t>
            </w:r>
          </w:p>
        </w:tc>
        <w:tc>
          <w:tcPr>
            <w:tcW w:w="0" w:type="auto"/>
            <w:hideMark/>
          </w:tcPr>
          <w:p w14:paraId="4AE2CE7E"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Scalability, cost efficiency, manufacturing dominance, affordability for mass markets.</w:t>
            </w:r>
          </w:p>
        </w:tc>
      </w:tr>
      <w:tr w:rsidR="00325EAB" w:rsidRPr="00802531" w14:paraId="6F7643E1"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1EE13FD1"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Competitive Weaknesses</w:t>
            </w:r>
          </w:p>
        </w:tc>
        <w:tc>
          <w:tcPr>
            <w:tcW w:w="0" w:type="auto"/>
            <w:hideMark/>
          </w:tcPr>
          <w:p w14:paraId="4259FC2F"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High production costs, supply chain vulnerabilities, premium pricing limits accessibility.</w:t>
            </w:r>
          </w:p>
        </w:tc>
        <w:tc>
          <w:tcPr>
            <w:tcW w:w="0" w:type="auto"/>
            <w:hideMark/>
          </w:tcPr>
          <w:p w14:paraId="112C66F3"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Weaker brand recognition globally, slower technological leadership, reliance on domestic policy support.</w:t>
            </w:r>
          </w:p>
        </w:tc>
      </w:tr>
    </w:tbl>
    <w:p w14:paraId="0A4E7B00" w14:textId="5F57A140" w:rsidR="00B45F9F" w:rsidRDefault="00B45F9F" w:rsidP="008A1BC3">
      <w:pPr>
        <w:rPr>
          <w:rStyle w:val="Strong"/>
          <w:rFonts w:eastAsiaTheme="majorEastAsia"/>
          <w:b w:val="0"/>
          <w:bCs w:val="0"/>
        </w:rPr>
      </w:pPr>
    </w:p>
    <w:sectPr w:rsidR="00B45F9F" w:rsidSect="00E13804">
      <w:headerReference w:type="default" r:id="rId18"/>
      <w:footerReference w:type="default" r:id="rId19"/>
      <w:pgSz w:w="12240" w:h="15840"/>
      <w:pgMar w:top="1440" w:right="900" w:bottom="993" w:left="127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6BEEA" w14:textId="77777777" w:rsidR="00760C68" w:rsidRDefault="00760C68" w:rsidP="006B6657">
      <w:r>
        <w:separator/>
      </w:r>
    </w:p>
  </w:endnote>
  <w:endnote w:type="continuationSeparator" w:id="0">
    <w:p w14:paraId="73E4FECC" w14:textId="77777777" w:rsidR="00760C68" w:rsidRDefault="00760C68"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1595787"/>
      <w:docPartObj>
        <w:docPartGallery w:val="Page Numbers (Bottom of Page)"/>
        <w:docPartUnique/>
      </w:docPartObj>
    </w:sdtPr>
    <w:sdtEndPr>
      <w:rPr>
        <w:noProof/>
      </w:rPr>
    </w:sdtEndPr>
    <w:sdtContent>
      <w:p w14:paraId="61C6CD28" w14:textId="77777777" w:rsidR="001A1606" w:rsidRDefault="001A1606">
        <w:pPr>
          <w:pStyle w:val="Footer"/>
          <w:jc w:val="center"/>
        </w:pPr>
        <w:r>
          <w:fldChar w:fldCharType="begin"/>
        </w:r>
        <w:r>
          <w:instrText xml:space="preserve"> PAGE   \* MERGEFORMAT </w:instrText>
        </w:r>
        <w:r>
          <w:fldChar w:fldCharType="separate"/>
        </w:r>
        <w:r w:rsidR="00B7406F">
          <w:rPr>
            <w:noProof/>
          </w:rPr>
          <w:t>20</w:t>
        </w:r>
        <w:r>
          <w:rPr>
            <w:noProof/>
          </w:rPr>
          <w:fldChar w:fldCharType="end"/>
        </w:r>
      </w:p>
    </w:sdtContent>
  </w:sdt>
  <w:p w14:paraId="22B95558" w14:textId="77777777" w:rsidR="001A1606" w:rsidRDefault="001A1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7118C" w14:textId="77777777" w:rsidR="00760C68" w:rsidRDefault="00760C68" w:rsidP="006B6657">
      <w:r>
        <w:separator/>
      </w:r>
    </w:p>
  </w:footnote>
  <w:footnote w:type="continuationSeparator" w:id="0">
    <w:p w14:paraId="78182A1A" w14:textId="77777777" w:rsidR="00760C68" w:rsidRDefault="00760C68"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5B219" w14:textId="77777777" w:rsidR="001A1606" w:rsidRDefault="001A1606" w:rsidP="00761BA9">
    <w:pPr>
      <w:pStyle w:val="Header"/>
      <w:ind w:left="6480"/>
    </w:pP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62423"/>
    <w:multiLevelType w:val="multilevel"/>
    <w:tmpl w:val="0D3C2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C4EAD"/>
    <w:multiLevelType w:val="multilevel"/>
    <w:tmpl w:val="063ED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13DA1"/>
    <w:multiLevelType w:val="multilevel"/>
    <w:tmpl w:val="8A4AA8F0"/>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86002D3"/>
    <w:multiLevelType w:val="multilevel"/>
    <w:tmpl w:val="29586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8C7A1B"/>
    <w:multiLevelType w:val="multilevel"/>
    <w:tmpl w:val="646C1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D03AD4"/>
    <w:multiLevelType w:val="multilevel"/>
    <w:tmpl w:val="3F0E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9A41AC"/>
    <w:multiLevelType w:val="multilevel"/>
    <w:tmpl w:val="57EEC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092643"/>
    <w:multiLevelType w:val="hybridMultilevel"/>
    <w:tmpl w:val="2CFE76BC"/>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8" w15:restartNumberingAfterBreak="0">
    <w:nsid w:val="1A530DCC"/>
    <w:multiLevelType w:val="hybridMultilevel"/>
    <w:tmpl w:val="E2300EE8"/>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9" w15:restartNumberingAfterBreak="0">
    <w:nsid w:val="208A760D"/>
    <w:multiLevelType w:val="multilevel"/>
    <w:tmpl w:val="44420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496425"/>
    <w:multiLevelType w:val="hybridMultilevel"/>
    <w:tmpl w:val="49A0E988"/>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11" w15:restartNumberingAfterBreak="0">
    <w:nsid w:val="2BC60A60"/>
    <w:multiLevelType w:val="multilevel"/>
    <w:tmpl w:val="727EB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3F2FB5"/>
    <w:multiLevelType w:val="multilevel"/>
    <w:tmpl w:val="F7701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992BA0"/>
    <w:multiLevelType w:val="multilevel"/>
    <w:tmpl w:val="A4549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A124F5"/>
    <w:multiLevelType w:val="multilevel"/>
    <w:tmpl w:val="10747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7D56CF"/>
    <w:multiLevelType w:val="multilevel"/>
    <w:tmpl w:val="05200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412D82"/>
    <w:multiLevelType w:val="multilevel"/>
    <w:tmpl w:val="06FEA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F71235"/>
    <w:multiLevelType w:val="multilevel"/>
    <w:tmpl w:val="7C1E0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521CA7"/>
    <w:multiLevelType w:val="multilevel"/>
    <w:tmpl w:val="E438C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6C13E4"/>
    <w:multiLevelType w:val="hybridMultilevel"/>
    <w:tmpl w:val="A1EC4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E9E7D68"/>
    <w:multiLevelType w:val="multilevel"/>
    <w:tmpl w:val="BA5A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4E2ABB"/>
    <w:multiLevelType w:val="multilevel"/>
    <w:tmpl w:val="FADEA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3F18CA"/>
    <w:multiLevelType w:val="multilevel"/>
    <w:tmpl w:val="8898C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780DDD"/>
    <w:multiLevelType w:val="multilevel"/>
    <w:tmpl w:val="F0A8E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972262"/>
    <w:multiLevelType w:val="multilevel"/>
    <w:tmpl w:val="9CCCA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DA43D9"/>
    <w:multiLevelType w:val="multilevel"/>
    <w:tmpl w:val="5112A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F80AED"/>
    <w:multiLevelType w:val="multilevel"/>
    <w:tmpl w:val="8924C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6D09F4"/>
    <w:multiLevelType w:val="hybridMultilevel"/>
    <w:tmpl w:val="EA5C691C"/>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num w:numId="1" w16cid:durableId="1575357683">
    <w:abstractNumId w:val="26"/>
  </w:num>
  <w:num w:numId="2" w16cid:durableId="1736590525">
    <w:abstractNumId w:val="21"/>
  </w:num>
  <w:num w:numId="3" w16cid:durableId="579215900">
    <w:abstractNumId w:val="3"/>
  </w:num>
  <w:num w:numId="4" w16cid:durableId="978613421">
    <w:abstractNumId w:val="18"/>
  </w:num>
  <w:num w:numId="5" w16cid:durableId="744182930">
    <w:abstractNumId w:val="0"/>
  </w:num>
  <w:num w:numId="6" w16cid:durableId="2134517029">
    <w:abstractNumId w:val="12"/>
  </w:num>
  <w:num w:numId="7" w16cid:durableId="598101928">
    <w:abstractNumId w:val="2"/>
  </w:num>
  <w:num w:numId="8" w16cid:durableId="1441144619">
    <w:abstractNumId w:val="19"/>
  </w:num>
  <w:num w:numId="9" w16cid:durableId="1593662784">
    <w:abstractNumId w:val="8"/>
  </w:num>
  <w:num w:numId="10" w16cid:durableId="1225411069">
    <w:abstractNumId w:val="27"/>
  </w:num>
  <w:num w:numId="11" w16cid:durableId="1375499497">
    <w:abstractNumId w:val="7"/>
  </w:num>
  <w:num w:numId="12" w16cid:durableId="2124109783">
    <w:abstractNumId w:val="10"/>
  </w:num>
  <w:num w:numId="13" w16cid:durableId="926422181">
    <w:abstractNumId w:val="11"/>
  </w:num>
  <w:num w:numId="14" w16cid:durableId="2087216034">
    <w:abstractNumId w:val="5"/>
  </w:num>
  <w:num w:numId="15" w16cid:durableId="489101017">
    <w:abstractNumId w:val="14"/>
  </w:num>
  <w:num w:numId="16" w16cid:durableId="17661908">
    <w:abstractNumId w:val="15"/>
  </w:num>
  <w:num w:numId="17" w16cid:durableId="1134063113">
    <w:abstractNumId w:val="16"/>
  </w:num>
  <w:num w:numId="18" w16cid:durableId="188110275">
    <w:abstractNumId w:val="23"/>
  </w:num>
  <w:num w:numId="19" w16cid:durableId="1103724134">
    <w:abstractNumId w:val="25"/>
  </w:num>
  <w:num w:numId="20" w16cid:durableId="860437595">
    <w:abstractNumId w:val="24"/>
  </w:num>
  <w:num w:numId="21" w16cid:durableId="403643288">
    <w:abstractNumId w:val="17"/>
  </w:num>
  <w:num w:numId="22" w16cid:durableId="1986931163">
    <w:abstractNumId w:val="20"/>
  </w:num>
  <w:num w:numId="23" w16cid:durableId="1395396784">
    <w:abstractNumId w:val="22"/>
  </w:num>
  <w:num w:numId="24" w16cid:durableId="499781976">
    <w:abstractNumId w:val="1"/>
  </w:num>
  <w:num w:numId="25" w16cid:durableId="1553080566">
    <w:abstractNumId w:val="13"/>
  </w:num>
  <w:num w:numId="26" w16cid:durableId="650258837">
    <w:abstractNumId w:val="6"/>
  </w:num>
  <w:num w:numId="27" w16cid:durableId="658729060">
    <w:abstractNumId w:val="4"/>
  </w:num>
  <w:num w:numId="28" w16cid:durableId="864172697">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StBQDslQy1LgAAAA=="/>
  </w:docVars>
  <w:rsids>
    <w:rsidRoot w:val="001E061F"/>
    <w:rsid w:val="00001573"/>
    <w:rsid w:val="00002A18"/>
    <w:rsid w:val="00002EBC"/>
    <w:rsid w:val="0000406B"/>
    <w:rsid w:val="000047F9"/>
    <w:rsid w:val="000048F4"/>
    <w:rsid w:val="000061AE"/>
    <w:rsid w:val="0000735A"/>
    <w:rsid w:val="000103F0"/>
    <w:rsid w:val="000125C6"/>
    <w:rsid w:val="00012CD2"/>
    <w:rsid w:val="00012E37"/>
    <w:rsid w:val="00012FE7"/>
    <w:rsid w:val="00013D2E"/>
    <w:rsid w:val="000141B4"/>
    <w:rsid w:val="00017152"/>
    <w:rsid w:val="000202FC"/>
    <w:rsid w:val="00020B8B"/>
    <w:rsid w:val="00021747"/>
    <w:rsid w:val="00022B7F"/>
    <w:rsid w:val="00023CB3"/>
    <w:rsid w:val="00023EDD"/>
    <w:rsid w:val="00024B83"/>
    <w:rsid w:val="00024E34"/>
    <w:rsid w:val="00024FBF"/>
    <w:rsid w:val="0002571E"/>
    <w:rsid w:val="00025CF2"/>
    <w:rsid w:val="00026234"/>
    <w:rsid w:val="00027E16"/>
    <w:rsid w:val="000334FD"/>
    <w:rsid w:val="000339A8"/>
    <w:rsid w:val="000345D5"/>
    <w:rsid w:val="00034CB8"/>
    <w:rsid w:val="0003611A"/>
    <w:rsid w:val="00036711"/>
    <w:rsid w:val="000369C6"/>
    <w:rsid w:val="00037B1F"/>
    <w:rsid w:val="00040183"/>
    <w:rsid w:val="0004058B"/>
    <w:rsid w:val="0004235C"/>
    <w:rsid w:val="00042E02"/>
    <w:rsid w:val="00044B72"/>
    <w:rsid w:val="00044BEA"/>
    <w:rsid w:val="00046ED3"/>
    <w:rsid w:val="00047CE2"/>
    <w:rsid w:val="000521C5"/>
    <w:rsid w:val="000535BD"/>
    <w:rsid w:val="00055317"/>
    <w:rsid w:val="0005601A"/>
    <w:rsid w:val="0005718E"/>
    <w:rsid w:val="00062FF1"/>
    <w:rsid w:val="000636A1"/>
    <w:rsid w:val="0006381A"/>
    <w:rsid w:val="000655A2"/>
    <w:rsid w:val="0006680D"/>
    <w:rsid w:val="00070133"/>
    <w:rsid w:val="00070B5B"/>
    <w:rsid w:val="00070CCB"/>
    <w:rsid w:val="0007159C"/>
    <w:rsid w:val="0007341E"/>
    <w:rsid w:val="0007483B"/>
    <w:rsid w:val="00076A7A"/>
    <w:rsid w:val="00076F6E"/>
    <w:rsid w:val="00077C8A"/>
    <w:rsid w:val="00081614"/>
    <w:rsid w:val="00081E62"/>
    <w:rsid w:val="00085217"/>
    <w:rsid w:val="00085930"/>
    <w:rsid w:val="000862D5"/>
    <w:rsid w:val="00086597"/>
    <w:rsid w:val="00087592"/>
    <w:rsid w:val="00087F42"/>
    <w:rsid w:val="00090076"/>
    <w:rsid w:val="0009074B"/>
    <w:rsid w:val="0009082F"/>
    <w:rsid w:val="00092E42"/>
    <w:rsid w:val="00093383"/>
    <w:rsid w:val="00094050"/>
    <w:rsid w:val="000940A2"/>
    <w:rsid w:val="00097C95"/>
    <w:rsid w:val="000A1697"/>
    <w:rsid w:val="000A3BED"/>
    <w:rsid w:val="000A3D6B"/>
    <w:rsid w:val="000A5BFA"/>
    <w:rsid w:val="000B167D"/>
    <w:rsid w:val="000B2186"/>
    <w:rsid w:val="000B247B"/>
    <w:rsid w:val="000B2DC6"/>
    <w:rsid w:val="000B3494"/>
    <w:rsid w:val="000B373F"/>
    <w:rsid w:val="000B3A45"/>
    <w:rsid w:val="000B44FB"/>
    <w:rsid w:val="000B4F33"/>
    <w:rsid w:val="000B5F81"/>
    <w:rsid w:val="000B6CC7"/>
    <w:rsid w:val="000B70FA"/>
    <w:rsid w:val="000C0767"/>
    <w:rsid w:val="000C0A78"/>
    <w:rsid w:val="000C14FE"/>
    <w:rsid w:val="000C1590"/>
    <w:rsid w:val="000C2B21"/>
    <w:rsid w:val="000C3FEC"/>
    <w:rsid w:val="000C4E2D"/>
    <w:rsid w:val="000C50B8"/>
    <w:rsid w:val="000C5FB1"/>
    <w:rsid w:val="000C65F3"/>
    <w:rsid w:val="000C6C82"/>
    <w:rsid w:val="000D138D"/>
    <w:rsid w:val="000D1B62"/>
    <w:rsid w:val="000D4F43"/>
    <w:rsid w:val="000D7CF5"/>
    <w:rsid w:val="000E01F0"/>
    <w:rsid w:val="000E203C"/>
    <w:rsid w:val="000E2397"/>
    <w:rsid w:val="000E3574"/>
    <w:rsid w:val="000E35B5"/>
    <w:rsid w:val="000E4F9C"/>
    <w:rsid w:val="000E50A6"/>
    <w:rsid w:val="000E684C"/>
    <w:rsid w:val="000E6FBF"/>
    <w:rsid w:val="000E6FD1"/>
    <w:rsid w:val="000E7159"/>
    <w:rsid w:val="000F0587"/>
    <w:rsid w:val="000F1907"/>
    <w:rsid w:val="000F1AB6"/>
    <w:rsid w:val="000F36BA"/>
    <w:rsid w:val="000F4A13"/>
    <w:rsid w:val="000F4DCC"/>
    <w:rsid w:val="000F6631"/>
    <w:rsid w:val="000F7136"/>
    <w:rsid w:val="00101084"/>
    <w:rsid w:val="001036E4"/>
    <w:rsid w:val="00104775"/>
    <w:rsid w:val="00107BFD"/>
    <w:rsid w:val="0011052E"/>
    <w:rsid w:val="00110F84"/>
    <w:rsid w:val="001135ED"/>
    <w:rsid w:val="0011361B"/>
    <w:rsid w:val="00113AC5"/>
    <w:rsid w:val="00115063"/>
    <w:rsid w:val="00115B71"/>
    <w:rsid w:val="00117BAB"/>
    <w:rsid w:val="00117E07"/>
    <w:rsid w:val="00120D19"/>
    <w:rsid w:val="00121224"/>
    <w:rsid w:val="001222C0"/>
    <w:rsid w:val="00122E16"/>
    <w:rsid w:val="001230B9"/>
    <w:rsid w:val="00123229"/>
    <w:rsid w:val="00126D1E"/>
    <w:rsid w:val="001279E9"/>
    <w:rsid w:val="00127CAA"/>
    <w:rsid w:val="00132088"/>
    <w:rsid w:val="001339B3"/>
    <w:rsid w:val="001377C7"/>
    <w:rsid w:val="00140B67"/>
    <w:rsid w:val="00140BE2"/>
    <w:rsid w:val="00141044"/>
    <w:rsid w:val="00141C7E"/>
    <w:rsid w:val="00143432"/>
    <w:rsid w:val="001438CB"/>
    <w:rsid w:val="0014541F"/>
    <w:rsid w:val="001454E7"/>
    <w:rsid w:val="00145ECF"/>
    <w:rsid w:val="00146847"/>
    <w:rsid w:val="001473BA"/>
    <w:rsid w:val="001475A7"/>
    <w:rsid w:val="00152013"/>
    <w:rsid w:val="001523EF"/>
    <w:rsid w:val="001530C0"/>
    <w:rsid w:val="00154CFE"/>
    <w:rsid w:val="00154E0E"/>
    <w:rsid w:val="001603BE"/>
    <w:rsid w:val="00161656"/>
    <w:rsid w:val="00162BFE"/>
    <w:rsid w:val="00164B03"/>
    <w:rsid w:val="00165177"/>
    <w:rsid w:val="00170142"/>
    <w:rsid w:val="001701DA"/>
    <w:rsid w:val="00172ADD"/>
    <w:rsid w:val="00172CC3"/>
    <w:rsid w:val="00175406"/>
    <w:rsid w:val="00176B3C"/>
    <w:rsid w:val="00177EAD"/>
    <w:rsid w:val="001809E2"/>
    <w:rsid w:val="0018495B"/>
    <w:rsid w:val="001853D4"/>
    <w:rsid w:val="00185683"/>
    <w:rsid w:val="00186088"/>
    <w:rsid w:val="00186694"/>
    <w:rsid w:val="001873A9"/>
    <w:rsid w:val="001875EE"/>
    <w:rsid w:val="00187DD4"/>
    <w:rsid w:val="001904DA"/>
    <w:rsid w:val="00190B8C"/>
    <w:rsid w:val="00194106"/>
    <w:rsid w:val="001944EA"/>
    <w:rsid w:val="0019611A"/>
    <w:rsid w:val="00196A72"/>
    <w:rsid w:val="001A1606"/>
    <w:rsid w:val="001A2602"/>
    <w:rsid w:val="001A2D0F"/>
    <w:rsid w:val="001A3F89"/>
    <w:rsid w:val="001A72AC"/>
    <w:rsid w:val="001A7E54"/>
    <w:rsid w:val="001B1048"/>
    <w:rsid w:val="001B148B"/>
    <w:rsid w:val="001B1F56"/>
    <w:rsid w:val="001B2C06"/>
    <w:rsid w:val="001B3415"/>
    <w:rsid w:val="001B3874"/>
    <w:rsid w:val="001B3877"/>
    <w:rsid w:val="001B3CF0"/>
    <w:rsid w:val="001B3D16"/>
    <w:rsid w:val="001B43C3"/>
    <w:rsid w:val="001B614C"/>
    <w:rsid w:val="001B702C"/>
    <w:rsid w:val="001C26D3"/>
    <w:rsid w:val="001C39F5"/>
    <w:rsid w:val="001C3E0A"/>
    <w:rsid w:val="001C3F2D"/>
    <w:rsid w:val="001C5C01"/>
    <w:rsid w:val="001C707B"/>
    <w:rsid w:val="001C7A06"/>
    <w:rsid w:val="001D1B32"/>
    <w:rsid w:val="001D3967"/>
    <w:rsid w:val="001D45A3"/>
    <w:rsid w:val="001E04B0"/>
    <w:rsid w:val="001E061F"/>
    <w:rsid w:val="001E28FF"/>
    <w:rsid w:val="001E3DB9"/>
    <w:rsid w:val="001E441B"/>
    <w:rsid w:val="001E6236"/>
    <w:rsid w:val="001E65A3"/>
    <w:rsid w:val="001F0DD1"/>
    <w:rsid w:val="001F6445"/>
    <w:rsid w:val="001F644A"/>
    <w:rsid w:val="001F6F14"/>
    <w:rsid w:val="001F7F88"/>
    <w:rsid w:val="0020087B"/>
    <w:rsid w:val="00201A13"/>
    <w:rsid w:val="00206F5D"/>
    <w:rsid w:val="002073CF"/>
    <w:rsid w:val="00207911"/>
    <w:rsid w:val="00207A96"/>
    <w:rsid w:val="0021141D"/>
    <w:rsid w:val="002123BF"/>
    <w:rsid w:val="0021304D"/>
    <w:rsid w:val="00213749"/>
    <w:rsid w:val="00213AC3"/>
    <w:rsid w:val="00213EE7"/>
    <w:rsid w:val="00214858"/>
    <w:rsid w:val="00214B0E"/>
    <w:rsid w:val="0021632C"/>
    <w:rsid w:val="00216A00"/>
    <w:rsid w:val="00220063"/>
    <w:rsid w:val="002222E4"/>
    <w:rsid w:val="00224548"/>
    <w:rsid w:val="0022468A"/>
    <w:rsid w:val="0022476B"/>
    <w:rsid w:val="00224A7A"/>
    <w:rsid w:val="00225064"/>
    <w:rsid w:val="00225744"/>
    <w:rsid w:val="002257B5"/>
    <w:rsid w:val="002260A3"/>
    <w:rsid w:val="00226DB7"/>
    <w:rsid w:val="00227D08"/>
    <w:rsid w:val="00227F2C"/>
    <w:rsid w:val="00233264"/>
    <w:rsid w:val="0023606B"/>
    <w:rsid w:val="002366DD"/>
    <w:rsid w:val="00237100"/>
    <w:rsid w:val="00237198"/>
    <w:rsid w:val="002400E3"/>
    <w:rsid w:val="00241F7A"/>
    <w:rsid w:val="00242B78"/>
    <w:rsid w:val="00245581"/>
    <w:rsid w:val="00251375"/>
    <w:rsid w:val="00252A27"/>
    <w:rsid w:val="00252E51"/>
    <w:rsid w:val="0025431F"/>
    <w:rsid w:val="00254666"/>
    <w:rsid w:val="00255593"/>
    <w:rsid w:val="00256917"/>
    <w:rsid w:val="0026016B"/>
    <w:rsid w:val="00260C2D"/>
    <w:rsid w:val="0026379C"/>
    <w:rsid w:val="002652F5"/>
    <w:rsid w:val="00265646"/>
    <w:rsid w:val="00266CDD"/>
    <w:rsid w:val="0026710F"/>
    <w:rsid w:val="00270208"/>
    <w:rsid w:val="00271F80"/>
    <w:rsid w:val="00272A28"/>
    <w:rsid w:val="00272A9A"/>
    <w:rsid w:val="002738F7"/>
    <w:rsid w:val="002751FA"/>
    <w:rsid w:val="002767A6"/>
    <w:rsid w:val="00276AFE"/>
    <w:rsid w:val="00277510"/>
    <w:rsid w:val="002807B7"/>
    <w:rsid w:val="00280D44"/>
    <w:rsid w:val="00281664"/>
    <w:rsid w:val="002819B3"/>
    <w:rsid w:val="00283E5D"/>
    <w:rsid w:val="00285156"/>
    <w:rsid w:val="002857AB"/>
    <w:rsid w:val="002906A4"/>
    <w:rsid w:val="00290DA4"/>
    <w:rsid w:val="002945B4"/>
    <w:rsid w:val="002945D7"/>
    <w:rsid w:val="00294940"/>
    <w:rsid w:val="0029543F"/>
    <w:rsid w:val="00295E5F"/>
    <w:rsid w:val="0029798A"/>
    <w:rsid w:val="002A0058"/>
    <w:rsid w:val="002A0134"/>
    <w:rsid w:val="002A0425"/>
    <w:rsid w:val="002A0E63"/>
    <w:rsid w:val="002A0F0F"/>
    <w:rsid w:val="002A2B2C"/>
    <w:rsid w:val="002A5B01"/>
    <w:rsid w:val="002A5DE2"/>
    <w:rsid w:val="002A6440"/>
    <w:rsid w:val="002A7158"/>
    <w:rsid w:val="002A7E53"/>
    <w:rsid w:val="002B1E44"/>
    <w:rsid w:val="002B23F5"/>
    <w:rsid w:val="002B255E"/>
    <w:rsid w:val="002B2DCD"/>
    <w:rsid w:val="002B323E"/>
    <w:rsid w:val="002B4434"/>
    <w:rsid w:val="002B7239"/>
    <w:rsid w:val="002B7CB0"/>
    <w:rsid w:val="002C15F4"/>
    <w:rsid w:val="002C2D18"/>
    <w:rsid w:val="002C358B"/>
    <w:rsid w:val="002C410B"/>
    <w:rsid w:val="002C478F"/>
    <w:rsid w:val="002C621D"/>
    <w:rsid w:val="002C621E"/>
    <w:rsid w:val="002C7C61"/>
    <w:rsid w:val="002D00FD"/>
    <w:rsid w:val="002D452E"/>
    <w:rsid w:val="002D4982"/>
    <w:rsid w:val="002D5A8F"/>
    <w:rsid w:val="002D7855"/>
    <w:rsid w:val="002E0244"/>
    <w:rsid w:val="002E039E"/>
    <w:rsid w:val="002E07FC"/>
    <w:rsid w:val="002E1124"/>
    <w:rsid w:val="002E2C20"/>
    <w:rsid w:val="002E316E"/>
    <w:rsid w:val="002E3F57"/>
    <w:rsid w:val="002E4375"/>
    <w:rsid w:val="002E4C95"/>
    <w:rsid w:val="002E5114"/>
    <w:rsid w:val="002E5FBC"/>
    <w:rsid w:val="002F13B5"/>
    <w:rsid w:val="002F1AD9"/>
    <w:rsid w:val="002F21E9"/>
    <w:rsid w:val="002F22ED"/>
    <w:rsid w:val="002F2914"/>
    <w:rsid w:val="002F4575"/>
    <w:rsid w:val="002F4627"/>
    <w:rsid w:val="002F693B"/>
    <w:rsid w:val="002F7288"/>
    <w:rsid w:val="002F7ECF"/>
    <w:rsid w:val="003009FC"/>
    <w:rsid w:val="00302C24"/>
    <w:rsid w:val="003031FE"/>
    <w:rsid w:val="00303D4E"/>
    <w:rsid w:val="00306BE3"/>
    <w:rsid w:val="003071B9"/>
    <w:rsid w:val="00307D0D"/>
    <w:rsid w:val="00310E93"/>
    <w:rsid w:val="00311960"/>
    <w:rsid w:val="00311FD0"/>
    <w:rsid w:val="003125F5"/>
    <w:rsid w:val="003129EF"/>
    <w:rsid w:val="003149AA"/>
    <w:rsid w:val="00314CA2"/>
    <w:rsid w:val="00315411"/>
    <w:rsid w:val="0031581E"/>
    <w:rsid w:val="003205DE"/>
    <w:rsid w:val="00320C9A"/>
    <w:rsid w:val="00321098"/>
    <w:rsid w:val="00323556"/>
    <w:rsid w:val="00325148"/>
    <w:rsid w:val="003258BE"/>
    <w:rsid w:val="00325EAB"/>
    <w:rsid w:val="00327726"/>
    <w:rsid w:val="00330619"/>
    <w:rsid w:val="003322DB"/>
    <w:rsid w:val="003323DC"/>
    <w:rsid w:val="00333620"/>
    <w:rsid w:val="00334759"/>
    <w:rsid w:val="003365FB"/>
    <w:rsid w:val="00336692"/>
    <w:rsid w:val="003418BA"/>
    <w:rsid w:val="003441C0"/>
    <w:rsid w:val="003442F8"/>
    <w:rsid w:val="0034449C"/>
    <w:rsid w:val="0034485A"/>
    <w:rsid w:val="0035077C"/>
    <w:rsid w:val="00350A7E"/>
    <w:rsid w:val="00350E3E"/>
    <w:rsid w:val="0035207F"/>
    <w:rsid w:val="00352EE2"/>
    <w:rsid w:val="003534EF"/>
    <w:rsid w:val="00355C00"/>
    <w:rsid w:val="00355F2B"/>
    <w:rsid w:val="00356B4C"/>
    <w:rsid w:val="00356CB0"/>
    <w:rsid w:val="003573E2"/>
    <w:rsid w:val="00361FE9"/>
    <w:rsid w:val="00364D33"/>
    <w:rsid w:val="003658A2"/>
    <w:rsid w:val="00370C06"/>
    <w:rsid w:val="00370E14"/>
    <w:rsid w:val="003733EF"/>
    <w:rsid w:val="003736C7"/>
    <w:rsid w:val="00375EE3"/>
    <w:rsid w:val="00377091"/>
    <w:rsid w:val="00377341"/>
    <w:rsid w:val="00381526"/>
    <w:rsid w:val="00381740"/>
    <w:rsid w:val="0038205C"/>
    <w:rsid w:val="003830C2"/>
    <w:rsid w:val="003838B5"/>
    <w:rsid w:val="0038521F"/>
    <w:rsid w:val="003865F8"/>
    <w:rsid w:val="00386F5D"/>
    <w:rsid w:val="003878A3"/>
    <w:rsid w:val="00387BD4"/>
    <w:rsid w:val="00392A24"/>
    <w:rsid w:val="00393469"/>
    <w:rsid w:val="00394503"/>
    <w:rsid w:val="00395127"/>
    <w:rsid w:val="00396ECD"/>
    <w:rsid w:val="003A08E0"/>
    <w:rsid w:val="003A182D"/>
    <w:rsid w:val="003A271D"/>
    <w:rsid w:val="003A2B56"/>
    <w:rsid w:val="003A3737"/>
    <w:rsid w:val="003A7E48"/>
    <w:rsid w:val="003B0C23"/>
    <w:rsid w:val="003B107B"/>
    <w:rsid w:val="003B1490"/>
    <w:rsid w:val="003B3D06"/>
    <w:rsid w:val="003B43B4"/>
    <w:rsid w:val="003B4920"/>
    <w:rsid w:val="003B4D2B"/>
    <w:rsid w:val="003B4FF9"/>
    <w:rsid w:val="003B6632"/>
    <w:rsid w:val="003B69A6"/>
    <w:rsid w:val="003B7B62"/>
    <w:rsid w:val="003C07FC"/>
    <w:rsid w:val="003C1843"/>
    <w:rsid w:val="003C26B5"/>
    <w:rsid w:val="003C27A7"/>
    <w:rsid w:val="003C3870"/>
    <w:rsid w:val="003C4181"/>
    <w:rsid w:val="003C7274"/>
    <w:rsid w:val="003C750B"/>
    <w:rsid w:val="003C7EA2"/>
    <w:rsid w:val="003D2C32"/>
    <w:rsid w:val="003D4587"/>
    <w:rsid w:val="003D64D0"/>
    <w:rsid w:val="003D7466"/>
    <w:rsid w:val="003D760C"/>
    <w:rsid w:val="003E0264"/>
    <w:rsid w:val="003E22F9"/>
    <w:rsid w:val="003E27D0"/>
    <w:rsid w:val="003E3BA0"/>
    <w:rsid w:val="003E416F"/>
    <w:rsid w:val="003E4862"/>
    <w:rsid w:val="003E4B56"/>
    <w:rsid w:val="003E4F1D"/>
    <w:rsid w:val="003E5C26"/>
    <w:rsid w:val="003E7572"/>
    <w:rsid w:val="003E7EE4"/>
    <w:rsid w:val="003F10CB"/>
    <w:rsid w:val="003F2252"/>
    <w:rsid w:val="003F23CE"/>
    <w:rsid w:val="003F2971"/>
    <w:rsid w:val="003F3901"/>
    <w:rsid w:val="003F3BA5"/>
    <w:rsid w:val="003F416C"/>
    <w:rsid w:val="003F7657"/>
    <w:rsid w:val="003F7BE2"/>
    <w:rsid w:val="00401E43"/>
    <w:rsid w:val="0040382F"/>
    <w:rsid w:val="00405B65"/>
    <w:rsid w:val="004061B8"/>
    <w:rsid w:val="00407B65"/>
    <w:rsid w:val="00410E8D"/>
    <w:rsid w:val="00412B3F"/>
    <w:rsid w:val="00414708"/>
    <w:rsid w:val="004147E6"/>
    <w:rsid w:val="00416057"/>
    <w:rsid w:val="00417EBE"/>
    <w:rsid w:val="004202FA"/>
    <w:rsid w:val="00421761"/>
    <w:rsid w:val="00422771"/>
    <w:rsid w:val="00422B85"/>
    <w:rsid w:val="004232E5"/>
    <w:rsid w:val="004233AA"/>
    <w:rsid w:val="0042384B"/>
    <w:rsid w:val="00430092"/>
    <w:rsid w:val="00430422"/>
    <w:rsid w:val="00430831"/>
    <w:rsid w:val="0043217F"/>
    <w:rsid w:val="00432480"/>
    <w:rsid w:val="00433B4F"/>
    <w:rsid w:val="00434341"/>
    <w:rsid w:val="004343E1"/>
    <w:rsid w:val="0043481B"/>
    <w:rsid w:val="0043511E"/>
    <w:rsid w:val="004363D3"/>
    <w:rsid w:val="00441921"/>
    <w:rsid w:val="00442A83"/>
    <w:rsid w:val="00444A6B"/>
    <w:rsid w:val="0044582E"/>
    <w:rsid w:val="0044717A"/>
    <w:rsid w:val="004476CF"/>
    <w:rsid w:val="004476F2"/>
    <w:rsid w:val="00450767"/>
    <w:rsid w:val="00452487"/>
    <w:rsid w:val="0045384C"/>
    <w:rsid w:val="00454373"/>
    <w:rsid w:val="00454E53"/>
    <w:rsid w:val="004560CC"/>
    <w:rsid w:val="004564CE"/>
    <w:rsid w:val="00456724"/>
    <w:rsid w:val="0045685D"/>
    <w:rsid w:val="00457024"/>
    <w:rsid w:val="0046098E"/>
    <w:rsid w:val="00461256"/>
    <w:rsid w:val="0046187A"/>
    <w:rsid w:val="00461BCC"/>
    <w:rsid w:val="00462168"/>
    <w:rsid w:val="0046248A"/>
    <w:rsid w:val="00462941"/>
    <w:rsid w:val="00463ADD"/>
    <w:rsid w:val="00463CB8"/>
    <w:rsid w:val="00464153"/>
    <w:rsid w:val="00465EB5"/>
    <w:rsid w:val="004669E2"/>
    <w:rsid w:val="00466E6A"/>
    <w:rsid w:val="0046703F"/>
    <w:rsid w:val="004670F6"/>
    <w:rsid w:val="00467281"/>
    <w:rsid w:val="0047126A"/>
    <w:rsid w:val="00472E54"/>
    <w:rsid w:val="004749BD"/>
    <w:rsid w:val="004776A6"/>
    <w:rsid w:val="0047770A"/>
    <w:rsid w:val="00477A8A"/>
    <w:rsid w:val="00477DD5"/>
    <w:rsid w:val="0048004A"/>
    <w:rsid w:val="00480138"/>
    <w:rsid w:val="00480C62"/>
    <w:rsid w:val="00480D36"/>
    <w:rsid w:val="0048205C"/>
    <w:rsid w:val="00483ED5"/>
    <w:rsid w:val="00484252"/>
    <w:rsid w:val="004846AB"/>
    <w:rsid w:val="00484805"/>
    <w:rsid w:val="004858F6"/>
    <w:rsid w:val="004859D2"/>
    <w:rsid w:val="00487377"/>
    <w:rsid w:val="00487757"/>
    <w:rsid w:val="0049131C"/>
    <w:rsid w:val="00492841"/>
    <w:rsid w:val="00492A86"/>
    <w:rsid w:val="00492E6C"/>
    <w:rsid w:val="00494FAA"/>
    <w:rsid w:val="00496C05"/>
    <w:rsid w:val="00496FAA"/>
    <w:rsid w:val="00497B37"/>
    <w:rsid w:val="004A106A"/>
    <w:rsid w:val="004A2467"/>
    <w:rsid w:val="004A2FB3"/>
    <w:rsid w:val="004A31F2"/>
    <w:rsid w:val="004A3D8F"/>
    <w:rsid w:val="004A7B25"/>
    <w:rsid w:val="004A7B28"/>
    <w:rsid w:val="004B20CD"/>
    <w:rsid w:val="004B2B0C"/>
    <w:rsid w:val="004B2BE6"/>
    <w:rsid w:val="004B3A41"/>
    <w:rsid w:val="004B3BB6"/>
    <w:rsid w:val="004B5452"/>
    <w:rsid w:val="004B6FF1"/>
    <w:rsid w:val="004B7626"/>
    <w:rsid w:val="004C00FE"/>
    <w:rsid w:val="004C171E"/>
    <w:rsid w:val="004C1DE7"/>
    <w:rsid w:val="004C3CEB"/>
    <w:rsid w:val="004C465A"/>
    <w:rsid w:val="004C4CD1"/>
    <w:rsid w:val="004C5CE1"/>
    <w:rsid w:val="004D05F9"/>
    <w:rsid w:val="004D070F"/>
    <w:rsid w:val="004D13CC"/>
    <w:rsid w:val="004D20E8"/>
    <w:rsid w:val="004D2AD1"/>
    <w:rsid w:val="004D2FC6"/>
    <w:rsid w:val="004D41BC"/>
    <w:rsid w:val="004D455F"/>
    <w:rsid w:val="004D5023"/>
    <w:rsid w:val="004D5BBF"/>
    <w:rsid w:val="004D5CC6"/>
    <w:rsid w:val="004D642C"/>
    <w:rsid w:val="004E0C62"/>
    <w:rsid w:val="004E1372"/>
    <w:rsid w:val="004E366B"/>
    <w:rsid w:val="004E4317"/>
    <w:rsid w:val="004E45DA"/>
    <w:rsid w:val="004E57E0"/>
    <w:rsid w:val="004F0D2D"/>
    <w:rsid w:val="004F121E"/>
    <w:rsid w:val="004F250B"/>
    <w:rsid w:val="004F2645"/>
    <w:rsid w:val="004F3FAA"/>
    <w:rsid w:val="004F4544"/>
    <w:rsid w:val="004F4AAC"/>
    <w:rsid w:val="004F4B3E"/>
    <w:rsid w:val="004F5223"/>
    <w:rsid w:val="004F6A49"/>
    <w:rsid w:val="004F744B"/>
    <w:rsid w:val="004F78EC"/>
    <w:rsid w:val="0050007C"/>
    <w:rsid w:val="00500E95"/>
    <w:rsid w:val="005017DF"/>
    <w:rsid w:val="00502F29"/>
    <w:rsid w:val="00503D21"/>
    <w:rsid w:val="0050549C"/>
    <w:rsid w:val="0050783A"/>
    <w:rsid w:val="00510E53"/>
    <w:rsid w:val="005111BF"/>
    <w:rsid w:val="0051121A"/>
    <w:rsid w:val="00514C42"/>
    <w:rsid w:val="005170D2"/>
    <w:rsid w:val="00520700"/>
    <w:rsid w:val="0052218E"/>
    <w:rsid w:val="00523C1B"/>
    <w:rsid w:val="005249DF"/>
    <w:rsid w:val="00524A46"/>
    <w:rsid w:val="00524E5E"/>
    <w:rsid w:val="00530820"/>
    <w:rsid w:val="00531606"/>
    <w:rsid w:val="00533C48"/>
    <w:rsid w:val="00536D80"/>
    <w:rsid w:val="00537AB3"/>
    <w:rsid w:val="00540DE5"/>
    <w:rsid w:val="00542B03"/>
    <w:rsid w:val="00543000"/>
    <w:rsid w:val="00543B06"/>
    <w:rsid w:val="005443A8"/>
    <w:rsid w:val="00544866"/>
    <w:rsid w:val="00545345"/>
    <w:rsid w:val="00545B62"/>
    <w:rsid w:val="005505BF"/>
    <w:rsid w:val="00550627"/>
    <w:rsid w:val="005527B0"/>
    <w:rsid w:val="00552A9F"/>
    <w:rsid w:val="00552BA0"/>
    <w:rsid w:val="00555B32"/>
    <w:rsid w:val="00556664"/>
    <w:rsid w:val="0055694C"/>
    <w:rsid w:val="0056072E"/>
    <w:rsid w:val="00561714"/>
    <w:rsid w:val="0056176B"/>
    <w:rsid w:val="00562B1A"/>
    <w:rsid w:val="005642DB"/>
    <w:rsid w:val="005647EC"/>
    <w:rsid w:val="00564854"/>
    <w:rsid w:val="0056678C"/>
    <w:rsid w:val="00567254"/>
    <w:rsid w:val="00567865"/>
    <w:rsid w:val="005703CC"/>
    <w:rsid w:val="005712F3"/>
    <w:rsid w:val="005718DF"/>
    <w:rsid w:val="0057236A"/>
    <w:rsid w:val="00573FCB"/>
    <w:rsid w:val="00577009"/>
    <w:rsid w:val="00583696"/>
    <w:rsid w:val="005840CD"/>
    <w:rsid w:val="00584B52"/>
    <w:rsid w:val="005851C4"/>
    <w:rsid w:val="00585B27"/>
    <w:rsid w:val="00586092"/>
    <w:rsid w:val="005868E3"/>
    <w:rsid w:val="00586D7C"/>
    <w:rsid w:val="00587311"/>
    <w:rsid w:val="0059029C"/>
    <w:rsid w:val="00591735"/>
    <w:rsid w:val="00594C82"/>
    <w:rsid w:val="005952E9"/>
    <w:rsid w:val="005953B4"/>
    <w:rsid w:val="00595C60"/>
    <w:rsid w:val="00595F31"/>
    <w:rsid w:val="005975AE"/>
    <w:rsid w:val="005A1576"/>
    <w:rsid w:val="005A1E43"/>
    <w:rsid w:val="005A2C41"/>
    <w:rsid w:val="005A3DA2"/>
    <w:rsid w:val="005A619D"/>
    <w:rsid w:val="005B038C"/>
    <w:rsid w:val="005B0914"/>
    <w:rsid w:val="005B2AA6"/>
    <w:rsid w:val="005B4212"/>
    <w:rsid w:val="005B4937"/>
    <w:rsid w:val="005B4D18"/>
    <w:rsid w:val="005B53AF"/>
    <w:rsid w:val="005B5466"/>
    <w:rsid w:val="005B6602"/>
    <w:rsid w:val="005B7C25"/>
    <w:rsid w:val="005C0608"/>
    <w:rsid w:val="005C121D"/>
    <w:rsid w:val="005C4779"/>
    <w:rsid w:val="005C5A19"/>
    <w:rsid w:val="005C5E8F"/>
    <w:rsid w:val="005C5F1B"/>
    <w:rsid w:val="005C6305"/>
    <w:rsid w:val="005C646D"/>
    <w:rsid w:val="005C70D3"/>
    <w:rsid w:val="005C74F2"/>
    <w:rsid w:val="005D0355"/>
    <w:rsid w:val="005D11C0"/>
    <w:rsid w:val="005D1735"/>
    <w:rsid w:val="005D28F8"/>
    <w:rsid w:val="005D2F81"/>
    <w:rsid w:val="005D32A0"/>
    <w:rsid w:val="005D352F"/>
    <w:rsid w:val="005D429E"/>
    <w:rsid w:val="005D44EB"/>
    <w:rsid w:val="005D5D7B"/>
    <w:rsid w:val="005D658F"/>
    <w:rsid w:val="005E2696"/>
    <w:rsid w:val="005E282F"/>
    <w:rsid w:val="005E2EC6"/>
    <w:rsid w:val="005E32F6"/>
    <w:rsid w:val="005E5CA6"/>
    <w:rsid w:val="005F0B97"/>
    <w:rsid w:val="005F52EA"/>
    <w:rsid w:val="005F5857"/>
    <w:rsid w:val="005F5F08"/>
    <w:rsid w:val="00601500"/>
    <w:rsid w:val="00601EB3"/>
    <w:rsid w:val="00602F0E"/>
    <w:rsid w:val="006053E8"/>
    <w:rsid w:val="006062EA"/>
    <w:rsid w:val="006111D8"/>
    <w:rsid w:val="0061141E"/>
    <w:rsid w:val="00611FE5"/>
    <w:rsid w:val="00615958"/>
    <w:rsid w:val="00622315"/>
    <w:rsid w:val="006225C0"/>
    <w:rsid w:val="00623C74"/>
    <w:rsid w:val="00623D53"/>
    <w:rsid w:val="00624396"/>
    <w:rsid w:val="006247A2"/>
    <w:rsid w:val="0062559F"/>
    <w:rsid w:val="00626C9B"/>
    <w:rsid w:val="006304C5"/>
    <w:rsid w:val="00631454"/>
    <w:rsid w:val="006340FF"/>
    <w:rsid w:val="006345A6"/>
    <w:rsid w:val="00634A02"/>
    <w:rsid w:val="00635CA4"/>
    <w:rsid w:val="00641A74"/>
    <w:rsid w:val="006446AA"/>
    <w:rsid w:val="00644D7A"/>
    <w:rsid w:val="00645CF4"/>
    <w:rsid w:val="006461DB"/>
    <w:rsid w:val="00651879"/>
    <w:rsid w:val="00651CC5"/>
    <w:rsid w:val="00651D01"/>
    <w:rsid w:val="0065209A"/>
    <w:rsid w:val="0065266E"/>
    <w:rsid w:val="00652B93"/>
    <w:rsid w:val="00652F93"/>
    <w:rsid w:val="00653168"/>
    <w:rsid w:val="00654703"/>
    <w:rsid w:val="00655E58"/>
    <w:rsid w:val="00655F05"/>
    <w:rsid w:val="00656291"/>
    <w:rsid w:val="0065758B"/>
    <w:rsid w:val="0066121E"/>
    <w:rsid w:val="006616BD"/>
    <w:rsid w:val="006636A8"/>
    <w:rsid w:val="006650D8"/>
    <w:rsid w:val="006662C3"/>
    <w:rsid w:val="006662DF"/>
    <w:rsid w:val="00666AE3"/>
    <w:rsid w:val="00667C72"/>
    <w:rsid w:val="006707D1"/>
    <w:rsid w:val="0067476E"/>
    <w:rsid w:val="0067501B"/>
    <w:rsid w:val="00675616"/>
    <w:rsid w:val="00680484"/>
    <w:rsid w:val="00681972"/>
    <w:rsid w:val="00683319"/>
    <w:rsid w:val="00684F9B"/>
    <w:rsid w:val="006851D7"/>
    <w:rsid w:val="0068551E"/>
    <w:rsid w:val="00686368"/>
    <w:rsid w:val="00690529"/>
    <w:rsid w:val="00690A6D"/>
    <w:rsid w:val="00694341"/>
    <w:rsid w:val="00697D91"/>
    <w:rsid w:val="006A0265"/>
    <w:rsid w:val="006A148B"/>
    <w:rsid w:val="006A2DDB"/>
    <w:rsid w:val="006A4D04"/>
    <w:rsid w:val="006A51B3"/>
    <w:rsid w:val="006A5DD4"/>
    <w:rsid w:val="006A5DE3"/>
    <w:rsid w:val="006B15AD"/>
    <w:rsid w:val="006B16A2"/>
    <w:rsid w:val="006B16CE"/>
    <w:rsid w:val="006B16D6"/>
    <w:rsid w:val="006B1AA7"/>
    <w:rsid w:val="006B20B4"/>
    <w:rsid w:val="006B2AF5"/>
    <w:rsid w:val="006B33A0"/>
    <w:rsid w:val="006B3B8D"/>
    <w:rsid w:val="006B5CD5"/>
    <w:rsid w:val="006B6657"/>
    <w:rsid w:val="006B70A5"/>
    <w:rsid w:val="006B719B"/>
    <w:rsid w:val="006C028E"/>
    <w:rsid w:val="006C16DB"/>
    <w:rsid w:val="006C4801"/>
    <w:rsid w:val="006C5A08"/>
    <w:rsid w:val="006D0BFF"/>
    <w:rsid w:val="006D0F51"/>
    <w:rsid w:val="006D1ADA"/>
    <w:rsid w:val="006D2A20"/>
    <w:rsid w:val="006D364C"/>
    <w:rsid w:val="006D3CB4"/>
    <w:rsid w:val="006D3F46"/>
    <w:rsid w:val="006D42F3"/>
    <w:rsid w:val="006D60E8"/>
    <w:rsid w:val="006D628F"/>
    <w:rsid w:val="006D6C1F"/>
    <w:rsid w:val="006D6E62"/>
    <w:rsid w:val="006D7489"/>
    <w:rsid w:val="006D7890"/>
    <w:rsid w:val="006E014C"/>
    <w:rsid w:val="006E0BDB"/>
    <w:rsid w:val="006E2A90"/>
    <w:rsid w:val="006E3C86"/>
    <w:rsid w:val="006E3FDF"/>
    <w:rsid w:val="006E5F9F"/>
    <w:rsid w:val="006E6213"/>
    <w:rsid w:val="006E7D09"/>
    <w:rsid w:val="006E7F0B"/>
    <w:rsid w:val="006F12EB"/>
    <w:rsid w:val="006F224D"/>
    <w:rsid w:val="006F27EF"/>
    <w:rsid w:val="006F294A"/>
    <w:rsid w:val="006F3A80"/>
    <w:rsid w:val="006F4222"/>
    <w:rsid w:val="006F543D"/>
    <w:rsid w:val="006F7E45"/>
    <w:rsid w:val="007003BE"/>
    <w:rsid w:val="00700446"/>
    <w:rsid w:val="00700563"/>
    <w:rsid w:val="007006F1"/>
    <w:rsid w:val="007010DD"/>
    <w:rsid w:val="00701CC9"/>
    <w:rsid w:val="00703114"/>
    <w:rsid w:val="00703EC7"/>
    <w:rsid w:val="00704313"/>
    <w:rsid w:val="00705521"/>
    <w:rsid w:val="00705A1B"/>
    <w:rsid w:val="00706301"/>
    <w:rsid w:val="0071179D"/>
    <w:rsid w:val="007118B6"/>
    <w:rsid w:val="00712018"/>
    <w:rsid w:val="00712CA1"/>
    <w:rsid w:val="007142B8"/>
    <w:rsid w:val="007146DF"/>
    <w:rsid w:val="0071522A"/>
    <w:rsid w:val="007158CC"/>
    <w:rsid w:val="007168BF"/>
    <w:rsid w:val="00717927"/>
    <w:rsid w:val="00720462"/>
    <w:rsid w:val="007214C0"/>
    <w:rsid w:val="0072212C"/>
    <w:rsid w:val="007222BA"/>
    <w:rsid w:val="00722933"/>
    <w:rsid w:val="00722B84"/>
    <w:rsid w:val="00723A5B"/>
    <w:rsid w:val="007251C4"/>
    <w:rsid w:val="007270CD"/>
    <w:rsid w:val="00730C4A"/>
    <w:rsid w:val="007310D3"/>
    <w:rsid w:val="00734BD9"/>
    <w:rsid w:val="00735564"/>
    <w:rsid w:val="00735698"/>
    <w:rsid w:val="00735E51"/>
    <w:rsid w:val="007368A8"/>
    <w:rsid w:val="00737306"/>
    <w:rsid w:val="00737460"/>
    <w:rsid w:val="00740FF5"/>
    <w:rsid w:val="007423FF"/>
    <w:rsid w:val="00745979"/>
    <w:rsid w:val="00746C1C"/>
    <w:rsid w:val="00747225"/>
    <w:rsid w:val="00747B93"/>
    <w:rsid w:val="007512D6"/>
    <w:rsid w:val="00756550"/>
    <w:rsid w:val="00760C68"/>
    <w:rsid w:val="00760EAA"/>
    <w:rsid w:val="00761BA9"/>
    <w:rsid w:val="00762343"/>
    <w:rsid w:val="00762976"/>
    <w:rsid w:val="00763B25"/>
    <w:rsid w:val="00763E4B"/>
    <w:rsid w:val="007640DA"/>
    <w:rsid w:val="007649DC"/>
    <w:rsid w:val="00764E9F"/>
    <w:rsid w:val="00765271"/>
    <w:rsid w:val="00765791"/>
    <w:rsid w:val="0076697E"/>
    <w:rsid w:val="007707F2"/>
    <w:rsid w:val="0077431D"/>
    <w:rsid w:val="007743FE"/>
    <w:rsid w:val="00774ABE"/>
    <w:rsid w:val="0077567D"/>
    <w:rsid w:val="00780417"/>
    <w:rsid w:val="007806CC"/>
    <w:rsid w:val="0078078D"/>
    <w:rsid w:val="00781997"/>
    <w:rsid w:val="00784554"/>
    <w:rsid w:val="007866CD"/>
    <w:rsid w:val="007866FD"/>
    <w:rsid w:val="00787A7A"/>
    <w:rsid w:val="00787CB3"/>
    <w:rsid w:val="007910C0"/>
    <w:rsid w:val="00792324"/>
    <w:rsid w:val="007928F4"/>
    <w:rsid w:val="00793391"/>
    <w:rsid w:val="00797B82"/>
    <w:rsid w:val="007A0089"/>
    <w:rsid w:val="007A08F0"/>
    <w:rsid w:val="007A1429"/>
    <w:rsid w:val="007A374C"/>
    <w:rsid w:val="007A3BE5"/>
    <w:rsid w:val="007A44E7"/>
    <w:rsid w:val="007A69A7"/>
    <w:rsid w:val="007A6A73"/>
    <w:rsid w:val="007A7335"/>
    <w:rsid w:val="007B07EA"/>
    <w:rsid w:val="007B413D"/>
    <w:rsid w:val="007B4A99"/>
    <w:rsid w:val="007B59FC"/>
    <w:rsid w:val="007B7E2A"/>
    <w:rsid w:val="007C2413"/>
    <w:rsid w:val="007C2D85"/>
    <w:rsid w:val="007C3536"/>
    <w:rsid w:val="007C52C6"/>
    <w:rsid w:val="007C55AF"/>
    <w:rsid w:val="007C6B0F"/>
    <w:rsid w:val="007D0E7B"/>
    <w:rsid w:val="007D305D"/>
    <w:rsid w:val="007D3430"/>
    <w:rsid w:val="007D383F"/>
    <w:rsid w:val="007D6F5D"/>
    <w:rsid w:val="007E04FD"/>
    <w:rsid w:val="007E202C"/>
    <w:rsid w:val="007E3575"/>
    <w:rsid w:val="007E3838"/>
    <w:rsid w:val="007E3973"/>
    <w:rsid w:val="007E5FE7"/>
    <w:rsid w:val="007E63D3"/>
    <w:rsid w:val="007E6403"/>
    <w:rsid w:val="007F1D3D"/>
    <w:rsid w:val="007F461F"/>
    <w:rsid w:val="007F4624"/>
    <w:rsid w:val="007F4B89"/>
    <w:rsid w:val="007F6CA0"/>
    <w:rsid w:val="007F7B59"/>
    <w:rsid w:val="007F7DA5"/>
    <w:rsid w:val="007F7F0C"/>
    <w:rsid w:val="008004A4"/>
    <w:rsid w:val="0080089B"/>
    <w:rsid w:val="00800B74"/>
    <w:rsid w:val="00802531"/>
    <w:rsid w:val="008032CF"/>
    <w:rsid w:val="00803A99"/>
    <w:rsid w:val="00804E09"/>
    <w:rsid w:val="0080506E"/>
    <w:rsid w:val="00805C82"/>
    <w:rsid w:val="0080678E"/>
    <w:rsid w:val="00810134"/>
    <w:rsid w:val="008117EC"/>
    <w:rsid w:val="008123DE"/>
    <w:rsid w:val="00812E41"/>
    <w:rsid w:val="00814570"/>
    <w:rsid w:val="00815DFE"/>
    <w:rsid w:val="0081604D"/>
    <w:rsid w:val="008167F5"/>
    <w:rsid w:val="00817F10"/>
    <w:rsid w:val="00820E6D"/>
    <w:rsid w:val="008219EF"/>
    <w:rsid w:val="008226AA"/>
    <w:rsid w:val="00822CE5"/>
    <w:rsid w:val="00822E10"/>
    <w:rsid w:val="008233E5"/>
    <w:rsid w:val="00824114"/>
    <w:rsid w:val="0082646B"/>
    <w:rsid w:val="00827F6F"/>
    <w:rsid w:val="008304B7"/>
    <w:rsid w:val="00832695"/>
    <w:rsid w:val="00832DF8"/>
    <w:rsid w:val="0083320F"/>
    <w:rsid w:val="00833422"/>
    <w:rsid w:val="008338DD"/>
    <w:rsid w:val="008340D3"/>
    <w:rsid w:val="00834811"/>
    <w:rsid w:val="00834910"/>
    <w:rsid w:val="0083493F"/>
    <w:rsid w:val="00835373"/>
    <w:rsid w:val="00835A40"/>
    <w:rsid w:val="008363A6"/>
    <w:rsid w:val="008367CE"/>
    <w:rsid w:val="00837E5E"/>
    <w:rsid w:val="00841023"/>
    <w:rsid w:val="00841CDA"/>
    <w:rsid w:val="00842003"/>
    <w:rsid w:val="00842F8D"/>
    <w:rsid w:val="00843077"/>
    <w:rsid w:val="00844817"/>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FDD"/>
    <w:rsid w:val="00854963"/>
    <w:rsid w:val="0085535F"/>
    <w:rsid w:val="00856319"/>
    <w:rsid w:val="00856E48"/>
    <w:rsid w:val="0085739A"/>
    <w:rsid w:val="0085742B"/>
    <w:rsid w:val="008579A5"/>
    <w:rsid w:val="00862CA0"/>
    <w:rsid w:val="00864144"/>
    <w:rsid w:val="00864871"/>
    <w:rsid w:val="00864E3A"/>
    <w:rsid w:val="00865C9A"/>
    <w:rsid w:val="008665E0"/>
    <w:rsid w:val="00866F2A"/>
    <w:rsid w:val="00867368"/>
    <w:rsid w:val="008674A9"/>
    <w:rsid w:val="008717BD"/>
    <w:rsid w:val="00871920"/>
    <w:rsid w:val="00871B31"/>
    <w:rsid w:val="00872A32"/>
    <w:rsid w:val="008807FF"/>
    <w:rsid w:val="0088081F"/>
    <w:rsid w:val="00880D45"/>
    <w:rsid w:val="00882F28"/>
    <w:rsid w:val="00882FBC"/>
    <w:rsid w:val="00884529"/>
    <w:rsid w:val="00885A2C"/>
    <w:rsid w:val="00885BB7"/>
    <w:rsid w:val="00885D51"/>
    <w:rsid w:val="00890A29"/>
    <w:rsid w:val="008913C6"/>
    <w:rsid w:val="00892E52"/>
    <w:rsid w:val="00895982"/>
    <w:rsid w:val="008964AF"/>
    <w:rsid w:val="008A15E3"/>
    <w:rsid w:val="008A1BC3"/>
    <w:rsid w:val="008A62B9"/>
    <w:rsid w:val="008B0731"/>
    <w:rsid w:val="008B0D03"/>
    <w:rsid w:val="008B108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3341"/>
    <w:rsid w:val="008C350C"/>
    <w:rsid w:val="008C54FB"/>
    <w:rsid w:val="008C62B4"/>
    <w:rsid w:val="008C66F0"/>
    <w:rsid w:val="008C6F17"/>
    <w:rsid w:val="008C7C01"/>
    <w:rsid w:val="008D04C0"/>
    <w:rsid w:val="008D05E7"/>
    <w:rsid w:val="008D0B7F"/>
    <w:rsid w:val="008D184D"/>
    <w:rsid w:val="008D2201"/>
    <w:rsid w:val="008D2DFE"/>
    <w:rsid w:val="008D427C"/>
    <w:rsid w:val="008D476A"/>
    <w:rsid w:val="008D713B"/>
    <w:rsid w:val="008D72E7"/>
    <w:rsid w:val="008E370C"/>
    <w:rsid w:val="008E5753"/>
    <w:rsid w:val="008E6C22"/>
    <w:rsid w:val="008E6D57"/>
    <w:rsid w:val="008F09D5"/>
    <w:rsid w:val="008F0FCD"/>
    <w:rsid w:val="008F2024"/>
    <w:rsid w:val="008F2FF9"/>
    <w:rsid w:val="008F3A80"/>
    <w:rsid w:val="008F4B07"/>
    <w:rsid w:val="008F50AA"/>
    <w:rsid w:val="008F5AE0"/>
    <w:rsid w:val="008F7EF2"/>
    <w:rsid w:val="00900208"/>
    <w:rsid w:val="009005C4"/>
    <w:rsid w:val="00901A51"/>
    <w:rsid w:val="00901CC7"/>
    <w:rsid w:val="00901CED"/>
    <w:rsid w:val="00902EA9"/>
    <w:rsid w:val="00902EC9"/>
    <w:rsid w:val="009037C3"/>
    <w:rsid w:val="00905276"/>
    <w:rsid w:val="009056A9"/>
    <w:rsid w:val="00906433"/>
    <w:rsid w:val="0091100B"/>
    <w:rsid w:val="0091171C"/>
    <w:rsid w:val="009118A0"/>
    <w:rsid w:val="00912690"/>
    <w:rsid w:val="00912DEE"/>
    <w:rsid w:val="00913CB9"/>
    <w:rsid w:val="00914854"/>
    <w:rsid w:val="00914D3A"/>
    <w:rsid w:val="00915634"/>
    <w:rsid w:val="00916988"/>
    <w:rsid w:val="00917201"/>
    <w:rsid w:val="00917AF0"/>
    <w:rsid w:val="0092063C"/>
    <w:rsid w:val="0092134C"/>
    <w:rsid w:val="00921E29"/>
    <w:rsid w:val="009249A0"/>
    <w:rsid w:val="00924EEC"/>
    <w:rsid w:val="00925220"/>
    <w:rsid w:val="0092709B"/>
    <w:rsid w:val="00930A83"/>
    <w:rsid w:val="00933005"/>
    <w:rsid w:val="0093403A"/>
    <w:rsid w:val="00934626"/>
    <w:rsid w:val="00935F86"/>
    <w:rsid w:val="009365B4"/>
    <w:rsid w:val="009379C1"/>
    <w:rsid w:val="00937EE6"/>
    <w:rsid w:val="009420ED"/>
    <w:rsid w:val="009421A8"/>
    <w:rsid w:val="00943DAB"/>
    <w:rsid w:val="00944EAB"/>
    <w:rsid w:val="00945B15"/>
    <w:rsid w:val="0095048A"/>
    <w:rsid w:val="00952504"/>
    <w:rsid w:val="0095382A"/>
    <w:rsid w:val="009539DF"/>
    <w:rsid w:val="009544B2"/>
    <w:rsid w:val="00956C7D"/>
    <w:rsid w:val="00960954"/>
    <w:rsid w:val="00963687"/>
    <w:rsid w:val="00963D29"/>
    <w:rsid w:val="00964066"/>
    <w:rsid w:val="00964CAA"/>
    <w:rsid w:val="00964D56"/>
    <w:rsid w:val="00964DEC"/>
    <w:rsid w:val="009650E2"/>
    <w:rsid w:val="00965D14"/>
    <w:rsid w:val="00966FB8"/>
    <w:rsid w:val="0096742C"/>
    <w:rsid w:val="0097071A"/>
    <w:rsid w:val="0097096F"/>
    <w:rsid w:val="009736D2"/>
    <w:rsid w:val="00975CD2"/>
    <w:rsid w:val="009762A9"/>
    <w:rsid w:val="00980661"/>
    <w:rsid w:val="00980F2B"/>
    <w:rsid w:val="00985CB3"/>
    <w:rsid w:val="00986CD4"/>
    <w:rsid w:val="0098766A"/>
    <w:rsid w:val="00987E6F"/>
    <w:rsid w:val="00991F06"/>
    <w:rsid w:val="009921F8"/>
    <w:rsid w:val="00993CBA"/>
    <w:rsid w:val="00995262"/>
    <w:rsid w:val="00996203"/>
    <w:rsid w:val="009967F9"/>
    <w:rsid w:val="009A0439"/>
    <w:rsid w:val="009A0F66"/>
    <w:rsid w:val="009A5F88"/>
    <w:rsid w:val="009A6582"/>
    <w:rsid w:val="009B1769"/>
    <w:rsid w:val="009B2001"/>
    <w:rsid w:val="009B5761"/>
    <w:rsid w:val="009B6237"/>
    <w:rsid w:val="009B6438"/>
    <w:rsid w:val="009B6BED"/>
    <w:rsid w:val="009B736A"/>
    <w:rsid w:val="009B7551"/>
    <w:rsid w:val="009C1BDB"/>
    <w:rsid w:val="009C228B"/>
    <w:rsid w:val="009C2FC1"/>
    <w:rsid w:val="009C3115"/>
    <w:rsid w:val="009C341A"/>
    <w:rsid w:val="009C3A97"/>
    <w:rsid w:val="009C407B"/>
    <w:rsid w:val="009C4F07"/>
    <w:rsid w:val="009C5169"/>
    <w:rsid w:val="009C580E"/>
    <w:rsid w:val="009C74AA"/>
    <w:rsid w:val="009C7E40"/>
    <w:rsid w:val="009D0199"/>
    <w:rsid w:val="009D09AA"/>
    <w:rsid w:val="009D1B1B"/>
    <w:rsid w:val="009D32F9"/>
    <w:rsid w:val="009D35E2"/>
    <w:rsid w:val="009D399F"/>
    <w:rsid w:val="009D3B2D"/>
    <w:rsid w:val="009D54FB"/>
    <w:rsid w:val="009D60A9"/>
    <w:rsid w:val="009E192C"/>
    <w:rsid w:val="009E3EA9"/>
    <w:rsid w:val="009E50BC"/>
    <w:rsid w:val="009E5BF1"/>
    <w:rsid w:val="009E6E0C"/>
    <w:rsid w:val="009E7B41"/>
    <w:rsid w:val="009F153A"/>
    <w:rsid w:val="009F43FC"/>
    <w:rsid w:val="009F449E"/>
    <w:rsid w:val="009F4EDA"/>
    <w:rsid w:val="009F51C3"/>
    <w:rsid w:val="00A00387"/>
    <w:rsid w:val="00A02B0C"/>
    <w:rsid w:val="00A0352D"/>
    <w:rsid w:val="00A046C8"/>
    <w:rsid w:val="00A04949"/>
    <w:rsid w:val="00A061DD"/>
    <w:rsid w:val="00A0715A"/>
    <w:rsid w:val="00A07E94"/>
    <w:rsid w:val="00A11DA7"/>
    <w:rsid w:val="00A12DC4"/>
    <w:rsid w:val="00A162FE"/>
    <w:rsid w:val="00A1630C"/>
    <w:rsid w:val="00A16DB6"/>
    <w:rsid w:val="00A204C2"/>
    <w:rsid w:val="00A21477"/>
    <w:rsid w:val="00A21AE1"/>
    <w:rsid w:val="00A22969"/>
    <w:rsid w:val="00A25BC4"/>
    <w:rsid w:val="00A26291"/>
    <w:rsid w:val="00A26589"/>
    <w:rsid w:val="00A27281"/>
    <w:rsid w:val="00A30EAC"/>
    <w:rsid w:val="00A3268A"/>
    <w:rsid w:val="00A33637"/>
    <w:rsid w:val="00A34638"/>
    <w:rsid w:val="00A34B46"/>
    <w:rsid w:val="00A35180"/>
    <w:rsid w:val="00A35534"/>
    <w:rsid w:val="00A35B7C"/>
    <w:rsid w:val="00A36AF7"/>
    <w:rsid w:val="00A4080E"/>
    <w:rsid w:val="00A41A66"/>
    <w:rsid w:val="00A41D04"/>
    <w:rsid w:val="00A424BC"/>
    <w:rsid w:val="00A42793"/>
    <w:rsid w:val="00A42CC6"/>
    <w:rsid w:val="00A43A85"/>
    <w:rsid w:val="00A4427C"/>
    <w:rsid w:val="00A45FE2"/>
    <w:rsid w:val="00A465BE"/>
    <w:rsid w:val="00A46D98"/>
    <w:rsid w:val="00A46DBE"/>
    <w:rsid w:val="00A46E26"/>
    <w:rsid w:val="00A5041F"/>
    <w:rsid w:val="00A54369"/>
    <w:rsid w:val="00A55E36"/>
    <w:rsid w:val="00A568BB"/>
    <w:rsid w:val="00A56A78"/>
    <w:rsid w:val="00A60681"/>
    <w:rsid w:val="00A608A8"/>
    <w:rsid w:val="00A60F82"/>
    <w:rsid w:val="00A61455"/>
    <w:rsid w:val="00A61E1C"/>
    <w:rsid w:val="00A62689"/>
    <w:rsid w:val="00A62EC5"/>
    <w:rsid w:val="00A63069"/>
    <w:rsid w:val="00A63FA6"/>
    <w:rsid w:val="00A67BE1"/>
    <w:rsid w:val="00A701F5"/>
    <w:rsid w:val="00A72C35"/>
    <w:rsid w:val="00A72C5A"/>
    <w:rsid w:val="00A75306"/>
    <w:rsid w:val="00A75494"/>
    <w:rsid w:val="00A76424"/>
    <w:rsid w:val="00A77AF9"/>
    <w:rsid w:val="00A804A9"/>
    <w:rsid w:val="00A81086"/>
    <w:rsid w:val="00A83566"/>
    <w:rsid w:val="00A866F9"/>
    <w:rsid w:val="00A9133C"/>
    <w:rsid w:val="00A91DA7"/>
    <w:rsid w:val="00A92454"/>
    <w:rsid w:val="00A927D9"/>
    <w:rsid w:val="00A93E2C"/>
    <w:rsid w:val="00A955BA"/>
    <w:rsid w:val="00A965F0"/>
    <w:rsid w:val="00AA04D5"/>
    <w:rsid w:val="00AA149B"/>
    <w:rsid w:val="00AA2CEB"/>
    <w:rsid w:val="00AA3605"/>
    <w:rsid w:val="00AA45DB"/>
    <w:rsid w:val="00AA51DE"/>
    <w:rsid w:val="00AA5CEA"/>
    <w:rsid w:val="00AA66DD"/>
    <w:rsid w:val="00AA790C"/>
    <w:rsid w:val="00AB0809"/>
    <w:rsid w:val="00AB12B5"/>
    <w:rsid w:val="00AB17FE"/>
    <w:rsid w:val="00AB180C"/>
    <w:rsid w:val="00AB2106"/>
    <w:rsid w:val="00AB22FC"/>
    <w:rsid w:val="00AB5147"/>
    <w:rsid w:val="00AB61FF"/>
    <w:rsid w:val="00AB7D63"/>
    <w:rsid w:val="00AC08FB"/>
    <w:rsid w:val="00AC171B"/>
    <w:rsid w:val="00AC219A"/>
    <w:rsid w:val="00AC24E4"/>
    <w:rsid w:val="00AC4C30"/>
    <w:rsid w:val="00AC4D66"/>
    <w:rsid w:val="00AC5128"/>
    <w:rsid w:val="00AC79F7"/>
    <w:rsid w:val="00AC7B15"/>
    <w:rsid w:val="00AD0790"/>
    <w:rsid w:val="00AD08A1"/>
    <w:rsid w:val="00AD16F6"/>
    <w:rsid w:val="00AD4483"/>
    <w:rsid w:val="00AD6C1A"/>
    <w:rsid w:val="00AD6EF9"/>
    <w:rsid w:val="00AD6F49"/>
    <w:rsid w:val="00AD728E"/>
    <w:rsid w:val="00AE0840"/>
    <w:rsid w:val="00AE2FAF"/>
    <w:rsid w:val="00AE3A23"/>
    <w:rsid w:val="00AE3C4D"/>
    <w:rsid w:val="00AE5813"/>
    <w:rsid w:val="00AE5BCA"/>
    <w:rsid w:val="00AE5F4B"/>
    <w:rsid w:val="00AE6CAB"/>
    <w:rsid w:val="00AE746A"/>
    <w:rsid w:val="00AF08A0"/>
    <w:rsid w:val="00AF2332"/>
    <w:rsid w:val="00AF269A"/>
    <w:rsid w:val="00AF48E9"/>
    <w:rsid w:val="00AF616F"/>
    <w:rsid w:val="00AF6C0C"/>
    <w:rsid w:val="00AF6DE1"/>
    <w:rsid w:val="00B00C03"/>
    <w:rsid w:val="00B00E55"/>
    <w:rsid w:val="00B025A5"/>
    <w:rsid w:val="00B02D75"/>
    <w:rsid w:val="00B039B8"/>
    <w:rsid w:val="00B0426D"/>
    <w:rsid w:val="00B05197"/>
    <w:rsid w:val="00B05F53"/>
    <w:rsid w:val="00B05FD5"/>
    <w:rsid w:val="00B061C8"/>
    <w:rsid w:val="00B06549"/>
    <w:rsid w:val="00B069B4"/>
    <w:rsid w:val="00B0794C"/>
    <w:rsid w:val="00B10823"/>
    <w:rsid w:val="00B12265"/>
    <w:rsid w:val="00B13EEF"/>
    <w:rsid w:val="00B15046"/>
    <w:rsid w:val="00B15B99"/>
    <w:rsid w:val="00B15D48"/>
    <w:rsid w:val="00B17954"/>
    <w:rsid w:val="00B17EAC"/>
    <w:rsid w:val="00B2002E"/>
    <w:rsid w:val="00B2152A"/>
    <w:rsid w:val="00B21A63"/>
    <w:rsid w:val="00B2242A"/>
    <w:rsid w:val="00B22874"/>
    <w:rsid w:val="00B31116"/>
    <w:rsid w:val="00B31333"/>
    <w:rsid w:val="00B335DE"/>
    <w:rsid w:val="00B33AC5"/>
    <w:rsid w:val="00B34627"/>
    <w:rsid w:val="00B347D5"/>
    <w:rsid w:val="00B3598A"/>
    <w:rsid w:val="00B36115"/>
    <w:rsid w:val="00B3631E"/>
    <w:rsid w:val="00B3639B"/>
    <w:rsid w:val="00B369A8"/>
    <w:rsid w:val="00B36C75"/>
    <w:rsid w:val="00B36DA5"/>
    <w:rsid w:val="00B37735"/>
    <w:rsid w:val="00B37D21"/>
    <w:rsid w:val="00B41A63"/>
    <w:rsid w:val="00B426BF"/>
    <w:rsid w:val="00B44B4C"/>
    <w:rsid w:val="00B452C4"/>
    <w:rsid w:val="00B45F9F"/>
    <w:rsid w:val="00B5001C"/>
    <w:rsid w:val="00B507C5"/>
    <w:rsid w:val="00B52C26"/>
    <w:rsid w:val="00B52EB0"/>
    <w:rsid w:val="00B555E6"/>
    <w:rsid w:val="00B55B5E"/>
    <w:rsid w:val="00B57768"/>
    <w:rsid w:val="00B609EC"/>
    <w:rsid w:val="00B611E9"/>
    <w:rsid w:val="00B61392"/>
    <w:rsid w:val="00B62534"/>
    <w:rsid w:val="00B62E87"/>
    <w:rsid w:val="00B62EF8"/>
    <w:rsid w:val="00B632D6"/>
    <w:rsid w:val="00B638BF"/>
    <w:rsid w:val="00B63FFA"/>
    <w:rsid w:val="00B6417E"/>
    <w:rsid w:val="00B64B04"/>
    <w:rsid w:val="00B64BC3"/>
    <w:rsid w:val="00B64E52"/>
    <w:rsid w:val="00B665C6"/>
    <w:rsid w:val="00B667A0"/>
    <w:rsid w:val="00B70DBF"/>
    <w:rsid w:val="00B73B38"/>
    <w:rsid w:val="00B73B74"/>
    <w:rsid w:val="00B7406F"/>
    <w:rsid w:val="00B745CB"/>
    <w:rsid w:val="00B74669"/>
    <w:rsid w:val="00B74677"/>
    <w:rsid w:val="00B74725"/>
    <w:rsid w:val="00B74F39"/>
    <w:rsid w:val="00B74F81"/>
    <w:rsid w:val="00B76B4D"/>
    <w:rsid w:val="00B77F7E"/>
    <w:rsid w:val="00B807AF"/>
    <w:rsid w:val="00B80A4D"/>
    <w:rsid w:val="00B81C14"/>
    <w:rsid w:val="00B831D7"/>
    <w:rsid w:val="00B835B0"/>
    <w:rsid w:val="00B83616"/>
    <w:rsid w:val="00B85B2B"/>
    <w:rsid w:val="00B87A17"/>
    <w:rsid w:val="00B90C50"/>
    <w:rsid w:val="00B910E1"/>
    <w:rsid w:val="00B94568"/>
    <w:rsid w:val="00B9497F"/>
    <w:rsid w:val="00B960D9"/>
    <w:rsid w:val="00B96EE5"/>
    <w:rsid w:val="00BA0187"/>
    <w:rsid w:val="00BA0E89"/>
    <w:rsid w:val="00BA176D"/>
    <w:rsid w:val="00BA28E4"/>
    <w:rsid w:val="00BA2F5D"/>
    <w:rsid w:val="00BA6695"/>
    <w:rsid w:val="00BA6EA2"/>
    <w:rsid w:val="00BA7C53"/>
    <w:rsid w:val="00BB087E"/>
    <w:rsid w:val="00BB178D"/>
    <w:rsid w:val="00BB2B33"/>
    <w:rsid w:val="00BB3F60"/>
    <w:rsid w:val="00BB4073"/>
    <w:rsid w:val="00BB5086"/>
    <w:rsid w:val="00BB52A8"/>
    <w:rsid w:val="00BB62DE"/>
    <w:rsid w:val="00BC143B"/>
    <w:rsid w:val="00BC63C5"/>
    <w:rsid w:val="00BC71CA"/>
    <w:rsid w:val="00BC72DF"/>
    <w:rsid w:val="00BD0C03"/>
    <w:rsid w:val="00BD0E88"/>
    <w:rsid w:val="00BD0F0B"/>
    <w:rsid w:val="00BD342E"/>
    <w:rsid w:val="00BD3608"/>
    <w:rsid w:val="00BD4852"/>
    <w:rsid w:val="00BD5022"/>
    <w:rsid w:val="00BD647C"/>
    <w:rsid w:val="00BE041F"/>
    <w:rsid w:val="00BE101C"/>
    <w:rsid w:val="00BE127A"/>
    <w:rsid w:val="00BE1DBE"/>
    <w:rsid w:val="00BE3165"/>
    <w:rsid w:val="00BE5302"/>
    <w:rsid w:val="00BE594A"/>
    <w:rsid w:val="00BE74AF"/>
    <w:rsid w:val="00BE78F1"/>
    <w:rsid w:val="00BF1222"/>
    <w:rsid w:val="00BF1248"/>
    <w:rsid w:val="00BF2496"/>
    <w:rsid w:val="00BF2DBB"/>
    <w:rsid w:val="00BF54C8"/>
    <w:rsid w:val="00BF6832"/>
    <w:rsid w:val="00BF72B2"/>
    <w:rsid w:val="00BF7B6C"/>
    <w:rsid w:val="00C00388"/>
    <w:rsid w:val="00C01E83"/>
    <w:rsid w:val="00C03038"/>
    <w:rsid w:val="00C0303E"/>
    <w:rsid w:val="00C03295"/>
    <w:rsid w:val="00C033C3"/>
    <w:rsid w:val="00C03EE7"/>
    <w:rsid w:val="00C04F56"/>
    <w:rsid w:val="00C0509A"/>
    <w:rsid w:val="00C05C11"/>
    <w:rsid w:val="00C1017E"/>
    <w:rsid w:val="00C11CC8"/>
    <w:rsid w:val="00C11D39"/>
    <w:rsid w:val="00C11D6E"/>
    <w:rsid w:val="00C13224"/>
    <w:rsid w:val="00C13D8F"/>
    <w:rsid w:val="00C14D49"/>
    <w:rsid w:val="00C15146"/>
    <w:rsid w:val="00C170B7"/>
    <w:rsid w:val="00C170BD"/>
    <w:rsid w:val="00C172C8"/>
    <w:rsid w:val="00C202E0"/>
    <w:rsid w:val="00C207B7"/>
    <w:rsid w:val="00C23720"/>
    <w:rsid w:val="00C243FB"/>
    <w:rsid w:val="00C24714"/>
    <w:rsid w:val="00C26290"/>
    <w:rsid w:val="00C26850"/>
    <w:rsid w:val="00C272F1"/>
    <w:rsid w:val="00C279BE"/>
    <w:rsid w:val="00C279D9"/>
    <w:rsid w:val="00C27B39"/>
    <w:rsid w:val="00C27D43"/>
    <w:rsid w:val="00C3009B"/>
    <w:rsid w:val="00C3131B"/>
    <w:rsid w:val="00C317E9"/>
    <w:rsid w:val="00C33C2F"/>
    <w:rsid w:val="00C34F31"/>
    <w:rsid w:val="00C413A1"/>
    <w:rsid w:val="00C4153F"/>
    <w:rsid w:val="00C416CA"/>
    <w:rsid w:val="00C41D12"/>
    <w:rsid w:val="00C42753"/>
    <w:rsid w:val="00C42BBB"/>
    <w:rsid w:val="00C42E65"/>
    <w:rsid w:val="00C438C6"/>
    <w:rsid w:val="00C43967"/>
    <w:rsid w:val="00C43C89"/>
    <w:rsid w:val="00C45CE8"/>
    <w:rsid w:val="00C46EB0"/>
    <w:rsid w:val="00C50766"/>
    <w:rsid w:val="00C52766"/>
    <w:rsid w:val="00C56331"/>
    <w:rsid w:val="00C6003F"/>
    <w:rsid w:val="00C614C6"/>
    <w:rsid w:val="00C632C5"/>
    <w:rsid w:val="00C63F48"/>
    <w:rsid w:val="00C65BD0"/>
    <w:rsid w:val="00C65DC1"/>
    <w:rsid w:val="00C66A89"/>
    <w:rsid w:val="00C67856"/>
    <w:rsid w:val="00C716CB"/>
    <w:rsid w:val="00C71988"/>
    <w:rsid w:val="00C739C7"/>
    <w:rsid w:val="00C75C6D"/>
    <w:rsid w:val="00C7624A"/>
    <w:rsid w:val="00C771B2"/>
    <w:rsid w:val="00C80106"/>
    <w:rsid w:val="00C82107"/>
    <w:rsid w:val="00C8274E"/>
    <w:rsid w:val="00C8435D"/>
    <w:rsid w:val="00C8455E"/>
    <w:rsid w:val="00C84974"/>
    <w:rsid w:val="00C8657D"/>
    <w:rsid w:val="00C87208"/>
    <w:rsid w:val="00C87C34"/>
    <w:rsid w:val="00C9032D"/>
    <w:rsid w:val="00C90957"/>
    <w:rsid w:val="00C91031"/>
    <w:rsid w:val="00C91DE6"/>
    <w:rsid w:val="00C9200E"/>
    <w:rsid w:val="00C92A42"/>
    <w:rsid w:val="00C9309D"/>
    <w:rsid w:val="00C93222"/>
    <w:rsid w:val="00C9329D"/>
    <w:rsid w:val="00C937AD"/>
    <w:rsid w:val="00C9403B"/>
    <w:rsid w:val="00C944BF"/>
    <w:rsid w:val="00C95305"/>
    <w:rsid w:val="00C95652"/>
    <w:rsid w:val="00C97283"/>
    <w:rsid w:val="00C9746E"/>
    <w:rsid w:val="00CA0C3D"/>
    <w:rsid w:val="00CA18D5"/>
    <w:rsid w:val="00CA1C70"/>
    <w:rsid w:val="00CA2C1A"/>
    <w:rsid w:val="00CA3442"/>
    <w:rsid w:val="00CA38A3"/>
    <w:rsid w:val="00CA6163"/>
    <w:rsid w:val="00CA6324"/>
    <w:rsid w:val="00CA651C"/>
    <w:rsid w:val="00CA74C6"/>
    <w:rsid w:val="00CB0A04"/>
    <w:rsid w:val="00CB0E61"/>
    <w:rsid w:val="00CB1E6D"/>
    <w:rsid w:val="00CB41A1"/>
    <w:rsid w:val="00CB5AA0"/>
    <w:rsid w:val="00CB76B5"/>
    <w:rsid w:val="00CB7E05"/>
    <w:rsid w:val="00CC03E1"/>
    <w:rsid w:val="00CC0666"/>
    <w:rsid w:val="00CC0E02"/>
    <w:rsid w:val="00CC13B2"/>
    <w:rsid w:val="00CC194A"/>
    <w:rsid w:val="00CC2D22"/>
    <w:rsid w:val="00CC3163"/>
    <w:rsid w:val="00CC4259"/>
    <w:rsid w:val="00CC52EB"/>
    <w:rsid w:val="00CC5FD2"/>
    <w:rsid w:val="00CC63CB"/>
    <w:rsid w:val="00CC63F1"/>
    <w:rsid w:val="00CC7F1B"/>
    <w:rsid w:val="00CD08A1"/>
    <w:rsid w:val="00CD1585"/>
    <w:rsid w:val="00CD1A36"/>
    <w:rsid w:val="00CD1A83"/>
    <w:rsid w:val="00CD2A6B"/>
    <w:rsid w:val="00CD34C9"/>
    <w:rsid w:val="00CD3D93"/>
    <w:rsid w:val="00CE0348"/>
    <w:rsid w:val="00CE14A6"/>
    <w:rsid w:val="00CE1891"/>
    <w:rsid w:val="00CE301A"/>
    <w:rsid w:val="00CE3467"/>
    <w:rsid w:val="00CE3BC6"/>
    <w:rsid w:val="00CE3C64"/>
    <w:rsid w:val="00CE4FC4"/>
    <w:rsid w:val="00CE54E5"/>
    <w:rsid w:val="00CE6710"/>
    <w:rsid w:val="00CE6DAD"/>
    <w:rsid w:val="00CE6E0A"/>
    <w:rsid w:val="00CE7B29"/>
    <w:rsid w:val="00CF1033"/>
    <w:rsid w:val="00CF1DAC"/>
    <w:rsid w:val="00CF2E2E"/>
    <w:rsid w:val="00CF52AD"/>
    <w:rsid w:val="00CF6709"/>
    <w:rsid w:val="00CF6745"/>
    <w:rsid w:val="00CF758A"/>
    <w:rsid w:val="00CF7839"/>
    <w:rsid w:val="00CF7B1C"/>
    <w:rsid w:val="00CF7FEF"/>
    <w:rsid w:val="00D03D1F"/>
    <w:rsid w:val="00D0400C"/>
    <w:rsid w:val="00D0422F"/>
    <w:rsid w:val="00D069E8"/>
    <w:rsid w:val="00D06D7A"/>
    <w:rsid w:val="00D071A0"/>
    <w:rsid w:val="00D1082E"/>
    <w:rsid w:val="00D10BFA"/>
    <w:rsid w:val="00D12520"/>
    <w:rsid w:val="00D13005"/>
    <w:rsid w:val="00D15CAB"/>
    <w:rsid w:val="00D16599"/>
    <w:rsid w:val="00D214F3"/>
    <w:rsid w:val="00D219EC"/>
    <w:rsid w:val="00D21C1A"/>
    <w:rsid w:val="00D21EFE"/>
    <w:rsid w:val="00D2235F"/>
    <w:rsid w:val="00D22E63"/>
    <w:rsid w:val="00D23177"/>
    <w:rsid w:val="00D23468"/>
    <w:rsid w:val="00D23984"/>
    <w:rsid w:val="00D3148B"/>
    <w:rsid w:val="00D37275"/>
    <w:rsid w:val="00D37C68"/>
    <w:rsid w:val="00D4040B"/>
    <w:rsid w:val="00D425F9"/>
    <w:rsid w:val="00D4568C"/>
    <w:rsid w:val="00D4586F"/>
    <w:rsid w:val="00D46C84"/>
    <w:rsid w:val="00D46D9F"/>
    <w:rsid w:val="00D522D8"/>
    <w:rsid w:val="00D53FFF"/>
    <w:rsid w:val="00D55A6B"/>
    <w:rsid w:val="00D56046"/>
    <w:rsid w:val="00D567A4"/>
    <w:rsid w:val="00D57552"/>
    <w:rsid w:val="00D60D53"/>
    <w:rsid w:val="00D6306D"/>
    <w:rsid w:val="00D63082"/>
    <w:rsid w:val="00D635A8"/>
    <w:rsid w:val="00D6601D"/>
    <w:rsid w:val="00D6721D"/>
    <w:rsid w:val="00D711F6"/>
    <w:rsid w:val="00D71DC4"/>
    <w:rsid w:val="00D755BA"/>
    <w:rsid w:val="00D75F7D"/>
    <w:rsid w:val="00D76C1D"/>
    <w:rsid w:val="00D77370"/>
    <w:rsid w:val="00D77E26"/>
    <w:rsid w:val="00D8013A"/>
    <w:rsid w:val="00D80D74"/>
    <w:rsid w:val="00D826CB"/>
    <w:rsid w:val="00D82C7A"/>
    <w:rsid w:val="00D85932"/>
    <w:rsid w:val="00D86879"/>
    <w:rsid w:val="00D86CB8"/>
    <w:rsid w:val="00D919FE"/>
    <w:rsid w:val="00D92E14"/>
    <w:rsid w:val="00D93402"/>
    <w:rsid w:val="00D939C7"/>
    <w:rsid w:val="00D93CD4"/>
    <w:rsid w:val="00D952D0"/>
    <w:rsid w:val="00D95481"/>
    <w:rsid w:val="00D95958"/>
    <w:rsid w:val="00D95A5C"/>
    <w:rsid w:val="00D962B5"/>
    <w:rsid w:val="00D966F2"/>
    <w:rsid w:val="00D97506"/>
    <w:rsid w:val="00DA1B40"/>
    <w:rsid w:val="00DA46E7"/>
    <w:rsid w:val="00DA4AE4"/>
    <w:rsid w:val="00DA54FD"/>
    <w:rsid w:val="00DA5B33"/>
    <w:rsid w:val="00DA6DE9"/>
    <w:rsid w:val="00DB0020"/>
    <w:rsid w:val="00DB0047"/>
    <w:rsid w:val="00DB286D"/>
    <w:rsid w:val="00DB4240"/>
    <w:rsid w:val="00DB49A3"/>
    <w:rsid w:val="00DB6797"/>
    <w:rsid w:val="00DC01C8"/>
    <w:rsid w:val="00DC216D"/>
    <w:rsid w:val="00DC34FB"/>
    <w:rsid w:val="00DC3D5F"/>
    <w:rsid w:val="00DC3E74"/>
    <w:rsid w:val="00DC4627"/>
    <w:rsid w:val="00DC49CB"/>
    <w:rsid w:val="00DC574B"/>
    <w:rsid w:val="00DC6A77"/>
    <w:rsid w:val="00DC77A0"/>
    <w:rsid w:val="00DD405A"/>
    <w:rsid w:val="00DD435C"/>
    <w:rsid w:val="00DD4933"/>
    <w:rsid w:val="00DD4BA5"/>
    <w:rsid w:val="00DD59A0"/>
    <w:rsid w:val="00DD6F3C"/>
    <w:rsid w:val="00DE0F80"/>
    <w:rsid w:val="00DE1E02"/>
    <w:rsid w:val="00DE26FD"/>
    <w:rsid w:val="00DE4EB1"/>
    <w:rsid w:val="00DE78D8"/>
    <w:rsid w:val="00DE7B90"/>
    <w:rsid w:val="00DF01C6"/>
    <w:rsid w:val="00DF1B28"/>
    <w:rsid w:val="00DF1FB7"/>
    <w:rsid w:val="00DF1FB8"/>
    <w:rsid w:val="00DF1FCE"/>
    <w:rsid w:val="00DF26C6"/>
    <w:rsid w:val="00DF435C"/>
    <w:rsid w:val="00DF44F7"/>
    <w:rsid w:val="00DF690A"/>
    <w:rsid w:val="00DF79A5"/>
    <w:rsid w:val="00E00259"/>
    <w:rsid w:val="00E005F9"/>
    <w:rsid w:val="00E028D5"/>
    <w:rsid w:val="00E0465C"/>
    <w:rsid w:val="00E074D1"/>
    <w:rsid w:val="00E117AC"/>
    <w:rsid w:val="00E11CA0"/>
    <w:rsid w:val="00E12704"/>
    <w:rsid w:val="00E12D86"/>
    <w:rsid w:val="00E13804"/>
    <w:rsid w:val="00E143E9"/>
    <w:rsid w:val="00E14964"/>
    <w:rsid w:val="00E14A01"/>
    <w:rsid w:val="00E20CA6"/>
    <w:rsid w:val="00E22139"/>
    <w:rsid w:val="00E22477"/>
    <w:rsid w:val="00E225C4"/>
    <w:rsid w:val="00E22801"/>
    <w:rsid w:val="00E24201"/>
    <w:rsid w:val="00E24CC7"/>
    <w:rsid w:val="00E24EB3"/>
    <w:rsid w:val="00E25F79"/>
    <w:rsid w:val="00E26CBB"/>
    <w:rsid w:val="00E306B4"/>
    <w:rsid w:val="00E30A3F"/>
    <w:rsid w:val="00E318BB"/>
    <w:rsid w:val="00E31AE0"/>
    <w:rsid w:val="00E31CF6"/>
    <w:rsid w:val="00E32A5B"/>
    <w:rsid w:val="00E32A95"/>
    <w:rsid w:val="00E3334E"/>
    <w:rsid w:val="00E339B1"/>
    <w:rsid w:val="00E355E0"/>
    <w:rsid w:val="00E358CB"/>
    <w:rsid w:val="00E412D6"/>
    <w:rsid w:val="00E41681"/>
    <w:rsid w:val="00E419BD"/>
    <w:rsid w:val="00E4206C"/>
    <w:rsid w:val="00E42958"/>
    <w:rsid w:val="00E43FE4"/>
    <w:rsid w:val="00E453C0"/>
    <w:rsid w:val="00E4677B"/>
    <w:rsid w:val="00E50DD3"/>
    <w:rsid w:val="00E52938"/>
    <w:rsid w:val="00E52E41"/>
    <w:rsid w:val="00E52F90"/>
    <w:rsid w:val="00E536BF"/>
    <w:rsid w:val="00E54BF9"/>
    <w:rsid w:val="00E56554"/>
    <w:rsid w:val="00E56931"/>
    <w:rsid w:val="00E605AB"/>
    <w:rsid w:val="00E63B1C"/>
    <w:rsid w:val="00E660A0"/>
    <w:rsid w:val="00E664FD"/>
    <w:rsid w:val="00E66B5C"/>
    <w:rsid w:val="00E66F3E"/>
    <w:rsid w:val="00E679E9"/>
    <w:rsid w:val="00E67D40"/>
    <w:rsid w:val="00E7065C"/>
    <w:rsid w:val="00E726B2"/>
    <w:rsid w:val="00E730EA"/>
    <w:rsid w:val="00E77FA9"/>
    <w:rsid w:val="00E80D90"/>
    <w:rsid w:val="00E81CB5"/>
    <w:rsid w:val="00E8251F"/>
    <w:rsid w:val="00E82E31"/>
    <w:rsid w:val="00E83AE8"/>
    <w:rsid w:val="00E83BBA"/>
    <w:rsid w:val="00E84E48"/>
    <w:rsid w:val="00E85FE2"/>
    <w:rsid w:val="00E8719B"/>
    <w:rsid w:val="00E91304"/>
    <w:rsid w:val="00E92B00"/>
    <w:rsid w:val="00E94914"/>
    <w:rsid w:val="00E94AD5"/>
    <w:rsid w:val="00E9526D"/>
    <w:rsid w:val="00E96147"/>
    <w:rsid w:val="00E96447"/>
    <w:rsid w:val="00E96570"/>
    <w:rsid w:val="00E96FE7"/>
    <w:rsid w:val="00E977DD"/>
    <w:rsid w:val="00E97C44"/>
    <w:rsid w:val="00EA1D4C"/>
    <w:rsid w:val="00EA2366"/>
    <w:rsid w:val="00EA23F6"/>
    <w:rsid w:val="00EA3D8D"/>
    <w:rsid w:val="00EA58F5"/>
    <w:rsid w:val="00EA7C27"/>
    <w:rsid w:val="00EB047C"/>
    <w:rsid w:val="00EB10E8"/>
    <w:rsid w:val="00EB24A6"/>
    <w:rsid w:val="00EB2DC9"/>
    <w:rsid w:val="00EB5929"/>
    <w:rsid w:val="00EB5C10"/>
    <w:rsid w:val="00EB65F1"/>
    <w:rsid w:val="00EB6E95"/>
    <w:rsid w:val="00EB6EB6"/>
    <w:rsid w:val="00EB7161"/>
    <w:rsid w:val="00EB79D7"/>
    <w:rsid w:val="00EC083E"/>
    <w:rsid w:val="00EC0844"/>
    <w:rsid w:val="00EC0E9F"/>
    <w:rsid w:val="00EC0FEB"/>
    <w:rsid w:val="00EC15F1"/>
    <w:rsid w:val="00EC471C"/>
    <w:rsid w:val="00EC6E87"/>
    <w:rsid w:val="00ED12F6"/>
    <w:rsid w:val="00ED13B6"/>
    <w:rsid w:val="00ED1668"/>
    <w:rsid w:val="00ED1A68"/>
    <w:rsid w:val="00ED20CA"/>
    <w:rsid w:val="00ED29C4"/>
    <w:rsid w:val="00ED2EBF"/>
    <w:rsid w:val="00ED42D2"/>
    <w:rsid w:val="00ED4665"/>
    <w:rsid w:val="00ED4FB4"/>
    <w:rsid w:val="00ED5BC3"/>
    <w:rsid w:val="00ED6240"/>
    <w:rsid w:val="00EE1D01"/>
    <w:rsid w:val="00EE2D76"/>
    <w:rsid w:val="00EE3651"/>
    <w:rsid w:val="00EE3EA3"/>
    <w:rsid w:val="00EE4E24"/>
    <w:rsid w:val="00EE5E16"/>
    <w:rsid w:val="00EE74CE"/>
    <w:rsid w:val="00EE7DDF"/>
    <w:rsid w:val="00EF01B4"/>
    <w:rsid w:val="00EF14A4"/>
    <w:rsid w:val="00EF2C39"/>
    <w:rsid w:val="00EF302A"/>
    <w:rsid w:val="00EF4561"/>
    <w:rsid w:val="00EF45AB"/>
    <w:rsid w:val="00EF5D37"/>
    <w:rsid w:val="00EF5E7A"/>
    <w:rsid w:val="00EF72EE"/>
    <w:rsid w:val="00EF7BEC"/>
    <w:rsid w:val="00F0065B"/>
    <w:rsid w:val="00F01308"/>
    <w:rsid w:val="00F02C52"/>
    <w:rsid w:val="00F02CE3"/>
    <w:rsid w:val="00F03C67"/>
    <w:rsid w:val="00F04FA1"/>
    <w:rsid w:val="00F05778"/>
    <w:rsid w:val="00F10496"/>
    <w:rsid w:val="00F104F4"/>
    <w:rsid w:val="00F1182B"/>
    <w:rsid w:val="00F11A2F"/>
    <w:rsid w:val="00F11B5F"/>
    <w:rsid w:val="00F14BEA"/>
    <w:rsid w:val="00F21803"/>
    <w:rsid w:val="00F21F28"/>
    <w:rsid w:val="00F243AB"/>
    <w:rsid w:val="00F26328"/>
    <w:rsid w:val="00F26AF4"/>
    <w:rsid w:val="00F274BB"/>
    <w:rsid w:val="00F277A8"/>
    <w:rsid w:val="00F33BB6"/>
    <w:rsid w:val="00F344E6"/>
    <w:rsid w:val="00F34791"/>
    <w:rsid w:val="00F34E69"/>
    <w:rsid w:val="00F352B5"/>
    <w:rsid w:val="00F3557B"/>
    <w:rsid w:val="00F36D4F"/>
    <w:rsid w:val="00F3769C"/>
    <w:rsid w:val="00F417EE"/>
    <w:rsid w:val="00F41F75"/>
    <w:rsid w:val="00F422CF"/>
    <w:rsid w:val="00F427A9"/>
    <w:rsid w:val="00F42E90"/>
    <w:rsid w:val="00F450DA"/>
    <w:rsid w:val="00F4640F"/>
    <w:rsid w:val="00F504EB"/>
    <w:rsid w:val="00F51FFF"/>
    <w:rsid w:val="00F534D4"/>
    <w:rsid w:val="00F55693"/>
    <w:rsid w:val="00F5747C"/>
    <w:rsid w:val="00F649FF"/>
    <w:rsid w:val="00F664BC"/>
    <w:rsid w:val="00F70C7F"/>
    <w:rsid w:val="00F71884"/>
    <w:rsid w:val="00F71EE8"/>
    <w:rsid w:val="00F7298E"/>
    <w:rsid w:val="00F751E6"/>
    <w:rsid w:val="00F77BE1"/>
    <w:rsid w:val="00F77FE3"/>
    <w:rsid w:val="00F83223"/>
    <w:rsid w:val="00F8421A"/>
    <w:rsid w:val="00F91075"/>
    <w:rsid w:val="00F92B5F"/>
    <w:rsid w:val="00F92C48"/>
    <w:rsid w:val="00F94311"/>
    <w:rsid w:val="00F971B5"/>
    <w:rsid w:val="00F97661"/>
    <w:rsid w:val="00FA0754"/>
    <w:rsid w:val="00FA1626"/>
    <w:rsid w:val="00FA20ED"/>
    <w:rsid w:val="00FA3B3A"/>
    <w:rsid w:val="00FA5B01"/>
    <w:rsid w:val="00FA7901"/>
    <w:rsid w:val="00FB006B"/>
    <w:rsid w:val="00FB2817"/>
    <w:rsid w:val="00FB33C3"/>
    <w:rsid w:val="00FB3923"/>
    <w:rsid w:val="00FB519B"/>
    <w:rsid w:val="00FB53B8"/>
    <w:rsid w:val="00FB74E9"/>
    <w:rsid w:val="00FB7EE5"/>
    <w:rsid w:val="00FC283A"/>
    <w:rsid w:val="00FC3823"/>
    <w:rsid w:val="00FC3A35"/>
    <w:rsid w:val="00FC41C3"/>
    <w:rsid w:val="00FC43F7"/>
    <w:rsid w:val="00FC5C82"/>
    <w:rsid w:val="00FC6176"/>
    <w:rsid w:val="00FC665E"/>
    <w:rsid w:val="00FC749E"/>
    <w:rsid w:val="00FC750C"/>
    <w:rsid w:val="00FD1960"/>
    <w:rsid w:val="00FD2B34"/>
    <w:rsid w:val="00FD2F83"/>
    <w:rsid w:val="00FD3141"/>
    <w:rsid w:val="00FD481D"/>
    <w:rsid w:val="00FE0C0F"/>
    <w:rsid w:val="00FE2715"/>
    <w:rsid w:val="00FE2ED0"/>
    <w:rsid w:val="00FE3A0C"/>
    <w:rsid w:val="00FE3D24"/>
    <w:rsid w:val="00FE5A52"/>
    <w:rsid w:val="00FE79FA"/>
    <w:rsid w:val="00FF04FF"/>
    <w:rsid w:val="00FF0EA5"/>
    <w:rsid w:val="00FF140D"/>
    <w:rsid w:val="00FF2283"/>
    <w:rsid w:val="00FF2A13"/>
    <w:rsid w:val="00FF4EE4"/>
    <w:rsid w:val="00FF689D"/>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098CD1"/>
  <w15:docId w15:val="{0C276206-64A8-4C73-B829-0D231F73B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uiPriority w:val="9"/>
    <w:qFormat/>
    <w:rsid w:val="002B4434"/>
    <w:pPr>
      <w:keepNext/>
      <w:spacing w:before="240" w:after="60"/>
      <w:outlineLvl w:val="0"/>
    </w:pPr>
    <w:rPr>
      <w:rFonts w:ascii="Cambria" w:eastAsia="Times New Roman" w:hAnsi="Cambria"/>
      <w:b/>
      <w:bCs/>
      <w:spacing w:val="-3"/>
      <w:kern w:val="32"/>
      <w:sz w:val="32"/>
      <w:szCs w:val="32"/>
      <w:lang w:eastAsia="en-GB"/>
    </w:rPr>
  </w:style>
  <w:style w:type="paragraph" w:styleId="Heading2">
    <w:name w:val="heading 2"/>
    <w:basedOn w:val="Normal"/>
    <w:next w:val="Normal"/>
    <w:link w:val="Heading2Char"/>
    <w:autoRedefine/>
    <w:uiPriority w:val="9"/>
    <w:unhideWhenUsed/>
    <w:qFormat/>
    <w:rsid w:val="00C8435D"/>
    <w:pPr>
      <w:keepNext/>
      <w:keepLine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B4434"/>
    <w:rPr>
      <w:rFonts w:ascii="Cambria" w:eastAsia="Times New Roman" w:hAnsi="Cambria"/>
      <w:b/>
      <w:bCs/>
      <w:spacing w:val="-3"/>
      <w:kern w:val="32"/>
      <w:sz w:val="32"/>
      <w:szCs w:val="32"/>
      <w:lang w:val="en-GB"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ascii="Times New Roman" w:eastAsia="Times New Roman" w:hAnsi="Times New Roman"/>
      <w:lang w:val="en-GB" w:eastAsia="en-GB"/>
    </w:rPr>
  </w:style>
  <w:style w:type="table" w:styleId="GridTable1Light-Accent2">
    <w:name w:val="Grid Table 1 Light Accent 2"/>
    <w:basedOn w:val="TableNormal"/>
    <w:uiPriority w:val="46"/>
    <w:rsid w:val="00492E6C"/>
    <w:pPr>
      <w:spacing w:line="240" w:lineRule="auto"/>
    </w:pPr>
    <w:rPr>
      <w:rFonts w:ascii="Times New Roman" w:hAnsi="Times New Roman"/>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C8435D"/>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semiHidden/>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relative">
    <w:name w:val="relative"/>
    <w:basedOn w:val="DefaultParagraphFont"/>
    <w:rsid w:val="008A1BC3"/>
  </w:style>
  <w:style w:type="paragraph" w:customStyle="1" w:styleId="not-prose">
    <w:name w:val="not-prose"/>
    <w:basedOn w:val="Normal"/>
    <w:rsid w:val="008A1BC3"/>
    <w:pPr>
      <w:spacing w:before="100" w:beforeAutospacing="1" w:after="100" w:afterAutospacing="1" w:line="240" w:lineRule="auto"/>
      <w:jc w:val="left"/>
    </w:pPr>
    <w:rPr>
      <w:rFonts w:ascii="Times New Roman" w:eastAsia="Times New Roman" w:hAnsi="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26301616">
      <w:bodyDiv w:val="1"/>
      <w:marLeft w:val="0"/>
      <w:marRight w:val="0"/>
      <w:marTop w:val="0"/>
      <w:marBottom w:val="0"/>
      <w:divBdr>
        <w:top w:val="none" w:sz="0" w:space="0" w:color="auto"/>
        <w:left w:val="none" w:sz="0" w:space="0" w:color="auto"/>
        <w:bottom w:val="none" w:sz="0" w:space="0" w:color="auto"/>
        <w:right w:val="none" w:sz="0" w:space="0" w:color="auto"/>
      </w:divBdr>
      <w:divsChild>
        <w:div w:id="1010794094">
          <w:marLeft w:val="0"/>
          <w:marRight w:val="0"/>
          <w:marTop w:val="0"/>
          <w:marBottom w:val="0"/>
          <w:divBdr>
            <w:top w:val="none" w:sz="0" w:space="0" w:color="auto"/>
            <w:left w:val="none" w:sz="0" w:space="0" w:color="auto"/>
            <w:bottom w:val="none" w:sz="0" w:space="0" w:color="auto"/>
            <w:right w:val="none" w:sz="0" w:space="0" w:color="auto"/>
          </w:divBdr>
          <w:divsChild>
            <w:div w:id="157091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305201798">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4795808">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71120912">
      <w:bodyDiv w:val="1"/>
      <w:marLeft w:val="0"/>
      <w:marRight w:val="0"/>
      <w:marTop w:val="0"/>
      <w:marBottom w:val="0"/>
      <w:divBdr>
        <w:top w:val="none" w:sz="0" w:space="0" w:color="auto"/>
        <w:left w:val="none" w:sz="0" w:space="0" w:color="auto"/>
        <w:bottom w:val="none" w:sz="0" w:space="0" w:color="auto"/>
        <w:right w:val="none" w:sz="0" w:space="0" w:color="auto"/>
      </w:divBdr>
    </w:div>
    <w:div w:id="100880644">
      <w:bodyDiv w:val="1"/>
      <w:marLeft w:val="0"/>
      <w:marRight w:val="0"/>
      <w:marTop w:val="0"/>
      <w:marBottom w:val="0"/>
      <w:divBdr>
        <w:top w:val="none" w:sz="0" w:space="0" w:color="auto"/>
        <w:left w:val="none" w:sz="0" w:space="0" w:color="auto"/>
        <w:bottom w:val="none" w:sz="0" w:space="0" w:color="auto"/>
        <w:right w:val="none" w:sz="0" w:space="0" w:color="auto"/>
      </w:divBdr>
    </w:div>
    <w:div w:id="113866716">
      <w:bodyDiv w:val="1"/>
      <w:marLeft w:val="0"/>
      <w:marRight w:val="0"/>
      <w:marTop w:val="0"/>
      <w:marBottom w:val="0"/>
      <w:divBdr>
        <w:top w:val="none" w:sz="0" w:space="0" w:color="auto"/>
        <w:left w:val="none" w:sz="0" w:space="0" w:color="auto"/>
        <w:bottom w:val="none" w:sz="0" w:space="0" w:color="auto"/>
        <w:right w:val="none" w:sz="0" w:space="0" w:color="auto"/>
      </w:divBdr>
      <w:divsChild>
        <w:div w:id="1506482351">
          <w:marLeft w:val="0"/>
          <w:marRight w:val="0"/>
          <w:marTop w:val="0"/>
          <w:marBottom w:val="0"/>
          <w:divBdr>
            <w:top w:val="none" w:sz="0" w:space="0" w:color="auto"/>
            <w:left w:val="none" w:sz="0" w:space="0" w:color="auto"/>
            <w:bottom w:val="none" w:sz="0" w:space="0" w:color="auto"/>
            <w:right w:val="none" w:sz="0" w:space="0" w:color="auto"/>
          </w:divBdr>
          <w:divsChild>
            <w:div w:id="147255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1958021643">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4328555">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41083">
      <w:bodyDiv w:val="1"/>
      <w:marLeft w:val="0"/>
      <w:marRight w:val="0"/>
      <w:marTop w:val="0"/>
      <w:marBottom w:val="0"/>
      <w:divBdr>
        <w:top w:val="none" w:sz="0" w:space="0" w:color="auto"/>
        <w:left w:val="none" w:sz="0" w:space="0" w:color="auto"/>
        <w:bottom w:val="none" w:sz="0" w:space="0" w:color="auto"/>
        <w:right w:val="none" w:sz="0" w:space="0" w:color="auto"/>
      </w:divBdr>
      <w:divsChild>
        <w:div w:id="1700007140">
          <w:marLeft w:val="0"/>
          <w:marRight w:val="0"/>
          <w:marTop w:val="0"/>
          <w:marBottom w:val="0"/>
          <w:divBdr>
            <w:top w:val="none" w:sz="0" w:space="0" w:color="auto"/>
            <w:left w:val="none" w:sz="0" w:space="0" w:color="auto"/>
            <w:bottom w:val="none" w:sz="0" w:space="0" w:color="auto"/>
            <w:right w:val="none" w:sz="0" w:space="0" w:color="auto"/>
          </w:divBdr>
          <w:divsChild>
            <w:div w:id="76002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20758">
      <w:bodyDiv w:val="1"/>
      <w:marLeft w:val="0"/>
      <w:marRight w:val="0"/>
      <w:marTop w:val="0"/>
      <w:marBottom w:val="0"/>
      <w:divBdr>
        <w:top w:val="none" w:sz="0" w:space="0" w:color="auto"/>
        <w:left w:val="none" w:sz="0" w:space="0" w:color="auto"/>
        <w:bottom w:val="none" w:sz="0" w:space="0" w:color="auto"/>
        <w:right w:val="none" w:sz="0" w:space="0" w:color="auto"/>
      </w:divBdr>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2137601885">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89998968">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89971">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1961838009">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3369914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621500921">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138806879">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596255788">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33315447">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912803">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318298">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94234147">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3121689">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781419">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20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60500382">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26607732">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78335133">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2063626555">
              <w:marLeft w:val="0"/>
              <w:marRight w:val="0"/>
              <w:marTop w:val="0"/>
              <w:marBottom w:val="0"/>
              <w:divBdr>
                <w:top w:val="none" w:sz="0" w:space="0" w:color="auto"/>
                <w:left w:val="none" w:sz="0" w:space="0" w:color="auto"/>
                <w:bottom w:val="none" w:sz="0" w:space="0" w:color="auto"/>
                <w:right w:val="none" w:sz="0" w:space="0" w:color="auto"/>
              </w:divBdr>
            </w:div>
            <w:div w:id="44842138">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475608">
      <w:bodyDiv w:val="1"/>
      <w:marLeft w:val="0"/>
      <w:marRight w:val="0"/>
      <w:marTop w:val="0"/>
      <w:marBottom w:val="0"/>
      <w:divBdr>
        <w:top w:val="none" w:sz="0" w:space="0" w:color="auto"/>
        <w:left w:val="none" w:sz="0" w:space="0" w:color="auto"/>
        <w:bottom w:val="none" w:sz="0" w:space="0" w:color="auto"/>
        <w:right w:val="none" w:sz="0" w:space="0" w:color="auto"/>
      </w:divBdr>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79438290">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329866429">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165634419">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608875">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234849253">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185709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64849916">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195541">
      <w:bodyDiv w:val="1"/>
      <w:marLeft w:val="0"/>
      <w:marRight w:val="0"/>
      <w:marTop w:val="0"/>
      <w:marBottom w:val="0"/>
      <w:divBdr>
        <w:top w:val="none" w:sz="0" w:space="0" w:color="auto"/>
        <w:left w:val="none" w:sz="0" w:space="0" w:color="auto"/>
        <w:bottom w:val="none" w:sz="0" w:space="0" w:color="auto"/>
        <w:right w:val="none" w:sz="0" w:space="0" w:color="auto"/>
      </w:divBdr>
    </w:div>
    <w:div w:id="1051537373">
      <w:bodyDiv w:val="1"/>
      <w:marLeft w:val="0"/>
      <w:marRight w:val="0"/>
      <w:marTop w:val="0"/>
      <w:marBottom w:val="0"/>
      <w:divBdr>
        <w:top w:val="none" w:sz="0" w:space="0" w:color="auto"/>
        <w:left w:val="none" w:sz="0" w:space="0" w:color="auto"/>
        <w:bottom w:val="none" w:sz="0" w:space="0" w:color="auto"/>
        <w:right w:val="none" w:sz="0" w:space="0" w:color="auto"/>
      </w:divBdr>
      <w:divsChild>
        <w:div w:id="953561335">
          <w:marLeft w:val="0"/>
          <w:marRight w:val="0"/>
          <w:marTop w:val="0"/>
          <w:marBottom w:val="0"/>
          <w:divBdr>
            <w:top w:val="none" w:sz="0" w:space="0" w:color="auto"/>
            <w:left w:val="none" w:sz="0" w:space="0" w:color="auto"/>
            <w:bottom w:val="none" w:sz="0" w:space="0" w:color="auto"/>
            <w:right w:val="none" w:sz="0" w:space="0" w:color="auto"/>
          </w:divBdr>
          <w:divsChild>
            <w:div w:id="1079206450">
              <w:marLeft w:val="0"/>
              <w:marRight w:val="0"/>
              <w:marTop w:val="0"/>
              <w:marBottom w:val="0"/>
              <w:divBdr>
                <w:top w:val="none" w:sz="0" w:space="0" w:color="auto"/>
                <w:left w:val="none" w:sz="0" w:space="0" w:color="auto"/>
                <w:bottom w:val="none" w:sz="0" w:space="0" w:color="auto"/>
                <w:right w:val="none" w:sz="0" w:space="0" w:color="auto"/>
              </w:divBdr>
            </w:div>
          </w:divsChild>
        </w:div>
        <w:div w:id="870000995">
          <w:marLeft w:val="0"/>
          <w:marRight w:val="0"/>
          <w:marTop w:val="0"/>
          <w:marBottom w:val="0"/>
          <w:divBdr>
            <w:top w:val="none" w:sz="0" w:space="0" w:color="auto"/>
            <w:left w:val="none" w:sz="0" w:space="0" w:color="auto"/>
            <w:bottom w:val="none" w:sz="0" w:space="0" w:color="auto"/>
            <w:right w:val="none" w:sz="0" w:space="0" w:color="auto"/>
          </w:divBdr>
          <w:divsChild>
            <w:div w:id="163200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76127746">
      <w:bodyDiv w:val="1"/>
      <w:marLeft w:val="0"/>
      <w:marRight w:val="0"/>
      <w:marTop w:val="0"/>
      <w:marBottom w:val="0"/>
      <w:divBdr>
        <w:top w:val="none" w:sz="0" w:space="0" w:color="auto"/>
        <w:left w:val="none" w:sz="0" w:space="0" w:color="auto"/>
        <w:bottom w:val="none" w:sz="0" w:space="0" w:color="auto"/>
        <w:right w:val="none" w:sz="0" w:space="0" w:color="auto"/>
      </w:divBdr>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602105211">
              <w:marLeft w:val="0"/>
              <w:marRight w:val="0"/>
              <w:marTop w:val="0"/>
              <w:marBottom w:val="0"/>
              <w:divBdr>
                <w:top w:val="none" w:sz="0" w:space="0" w:color="auto"/>
                <w:left w:val="none" w:sz="0" w:space="0" w:color="auto"/>
                <w:bottom w:val="none" w:sz="0" w:space="0" w:color="auto"/>
                <w:right w:val="none" w:sz="0" w:space="0" w:color="auto"/>
              </w:divBdr>
            </w:div>
            <w:div w:id="171335758">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90886809">
      <w:bodyDiv w:val="1"/>
      <w:marLeft w:val="0"/>
      <w:marRight w:val="0"/>
      <w:marTop w:val="0"/>
      <w:marBottom w:val="0"/>
      <w:divBdr>
        <w:top w:val="none" w:sz="0" w:space="0" w:color="auto"/>
        <w:left w:val="none" w:sz="0" w:space="0" w:color="auto"/>
        <w:bottom w:val="none" w:sz="0" w:space="0" w:color="auto"/>
        <w:right w:val="none" w:sz="0" w:space="0" w:color="auto"/>
      </w:divBdr>
    </w:div>
    <w:div w:id="1433352651">
      <w:bodyDiv w:val="1"/>
      <w:marLeft w:val="0"/>
      <w:marRight w:val="0"/>
      <w:marTop w:val="0"/>
      <w:marBottom w:val="0"/>
      <w:divBdr>
        <w:top w:val="none" w:sz="0" w:space="0" w:color="auto"/>
        <w:left w:val="none" w:sz="0" w:space="0" w:color="auto"/>
        <w:bottom w:val="none" w:sz="0" w:space="0" w:color="auto"/>
        <w:right w:val="none" w:sz="0" w:space="0" w:color="auto"/>
      </w:divBdr>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232089820">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38088577">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149194558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37121495">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7995193">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851845811">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14692568">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6068649">
      <w:bodyDiv w:val="1"/>
      <w:marLeft w:val="0"/>
      <w:marRight w:val="0"/>
      <w:marTop w:val="0"/>
      <w:marBottom w:val="0"/>
      <w:divBdr>
        <w:top w:val="none" w:sz="0" w:space="0" w:color="auto"/>
        <w:left w:val="none" w:sz="0" w:space="0" w:color="auto"/>
        <w:bottom w:val="none" w:sz="0" w:space="0" w:color="auto"/>
        <w:right w:val="none" w:sz="0" w:space="0" w:color="auto"/>
      </w:divBdr>
      <w:divsChild>
        <w:div w:id="222260201">
          <w:marLeft w:val="0"/>
          <w:marRight w:val="0"/>
          <w:marTop w:val="0"/>
          <w:marBottom w:val="0"/>
          <w:divBdr>
            <w:top w:val="none" w:sz="0" w:space="0" w:color="auto"/>
            <w:left w:val="none" w:sz="0" w:space="0" w:color="auto"/>
            <w:bottom w:val="none" w:sz="0" w:space="0" w:color="auto"/>
            <w:right w:val="none" w:sz="0" w:space="0" w:color="auto"/>
          </w:divBdr>
          <w:divsChild>
            <w:div w:id="61737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1555117914">
              <w:marLeft w:val="0"/>
              <w:marRight w:val="0"/>
              <w:marTop w:val="0"/>
              <w:marBottom w:val="0"/>
              <w:divBdr>
                <w:top w:val="none" w:sz="0" w:space="0" w:color="auto"/>
                <w:left w:val="none" w:sz="0" w:space="0" w:color="auto"/>
                <w:bottom w:val="none" w:sz="0" w:space="0" w:color="auto"/>
                <w:right w:val="none" w:sz="0" w:space="0" w:color="auto"/>
              </w:divBdr>
            </w:div>
            <w:div w:id="9818174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1320419857">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41717398">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204758420">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559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64DAA3D-747A-414E-BD41-18F3EF069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5276</Words>
  <Characters>30075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Tushara Balendran</dc:creator>
  <cp:lastModifiedBy>chandru subbaiah</cp:lastModifiedBy>
  <cp:revision>2</cp:revision>
  <dcterms:created xsi:type="dcterms:W3CDTF">2025-11-21T09:57:00Z</dcterms:created>
  <dcterms:modified xsi:type="dcterms:W3CDTF">2025-11-21T09:57:00Z</dcterms:modified>
</cp:coreProperties>
</file>