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bidi w:val="0"/>
        <w:jc w:val="left"/>
        <w:rPr>
          <w:rFonts w:ascii="Times New Roman" w:hAnsi="Times New Roman"/>
          <w:b/>
          <w:b/>
          <w:bCs/>
          <w:u w:val="single"/>
        </w:rPr>
      </w:pPr>
      <w:r>
        <w:rPr>
          <w:rFonts w:ascii="Times New Roman" w:hAnsi="Times New Roman"/>
          <w:b/>
          <w:bCs/>
          <w:u w:val="single"/>
        </w:rPr>
        <w:t>Name: Damien Thomas</w:t>
      </w:r>
    </w:p>
    <w:p>
      <w:pPr>
        <w:pStyle w:val="Normal"/>
        <w:bidi w:val="0"/>
        <w:jc w:val="left"/>
        <w:rPr>
          <w:rFonts w:ascii="Times New Roman" w:hAnsi="Times New Roman"/>
          <w:b/>
          <w:b/>
          <w:bCs/>
          <w:u w:val="single"/>
        </w:rPr>
      </w:pPr>
      <w:r>
        <w:rPr>
          <w:rFonts w:ascii="Times New Roman" w:hAnsi="Times New Roman"/>
          <w:b/>
          <w:bCs/>
          <w:u w:val="single"/>
        </w:rPr>
        <w:t>Student Number 2031275</w:t>
      </w:r>
    </w:p>
    <w:p>
      <w:pPr>
        <w:pStyle w:val="Normal"/>
        <w:bidi w:val="0"/>
        <w:jc w:val="left"/>
        <w:rPr>
          <w:rFonts w:ascii="Times New Roman" w:hAnsi="Times New Roman"/>
          <w:b/>
          <w:b/>
          <w:bCs/>
          <w:u w:val="single"/>
        </w:rPr>
      </w:pPr>
      <w:r>
        <w:rPr>
          <w:rFonts w:ascii="Times New Roman" w:hAnsi="Times New Roman"/>
          <w:b/>
          <w:bCs/>
          <w:u w:val="single"/>
        </w:rPr>
      </w:r>
    </w:p>
    <w:p>
      <w:pPr>
        <w:pStyle w:val="ListParagraph"/>
        <w:numPr>
          <w:ilvl w:val="0"/>
          <w:numId w:val="0"/>
        </w:numPr>
        <w:bidi w:val="0"/>
        <w:spacing w:lineRule="auto" w:line="276"/>
        <w:ind w:left="786" w:right="531" w:hanging="0"/>
        <w:jc w:val="left"/>
        <w:rPr>
          <w:rFonts w:ascii="Times New Roman" w:hAnsi="Times New Roman"/>
          <w:b/>
          <w:b/>
          <w:bCs/>
          <w:u w:val="single"/>
        </w:rPr>
      </w:pPr>
      <w:r>
        <w:rPr>
          <w:rFonts w:eastAsia="Times New Roman" w:cs="Arial" w:ascii="Arial" w:hAnsi="Arial"/>
          <w:b/>
          <w:bCs/>
          <w:u w:val="single"/>
          <w:lang w:eastAsia="en-GB"/>
        </w:rPr>
        <w:t>Examine the potential impact of bias on police investigations, and outline how this can affect the willingness of communities to engage with police. Your answer must be based on academic research rather than personal experience, but you may make reference to relevant case studies.</w:t>
      </w:r>
    </w:p>
    <w:p>
      <w:pPr>
        <w:pStyle w:val="ListParagraph"/>
        <w:bidi w:val="0"/>
        <w:spacing w:lineRule="auto" w:line="276"/>
        <w:ind w:left="567" w:right="531" w:hanging="360"/>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pPr>
      <w:r>
        <w:rPr>
          <w:rFonts w:eastAsia="Times New Roman" w:cs="Arial" w:ascii="Arial" w:hAnsi="Arial"/>
          <w:lang w:eastAsia="en-GB"/>
        </w:rPr>
        <w:t xml:space="preserve">Police are required to maintain objectivity in all interactions with co-workers, partners, and the general public. This is accomplished by being impartial, fair, and objective, taking into account all relevant factors, and making sure that all sides are given due consideration, Recognising that discrimination heightens sentiments of injustice and refraining from favouring one individual or group over another (College of Policing, n.d). In this essay I will be examining the impact of bias on police investigations and considering the impact that this can have on communities and their willingness to engage with police. </w:t>
      </w:r>
    </w:p>
    <w:p>
      <w:pPr>
        <w:pStyle w:val="ListParagraph"/>
        <w:bidi w:val="0"/>
        <w:spacing w:lineRule="auto" w:line="276" w:before="0" w:after="160"/>
        <w:ind w:left="0" w:right="0" w:hanging="0"/>
        <w:contextualSpacing/>
        <w:jc w:val="left"/>
        <w:rPr>
          <w:rFonts w:ascii="Arial" w:hAnsi="Arial" w:eastAsia="Times New Roman" w:cs="Arial"/>
          <w:lang w:eastAsia="en-GB"/>
        </w:rPr>
      </w:pPr>
      <w:r>
        <w:rPr>
          <w:rFonts w:eastAsia="Times New Roman" w:cs="Arial" w:ascii="Arial" w:hAnsi="Arial"/>
          <w:lang w:eastAsia="en-GB"/>
        </w:rPr>
      </w:r>
    </w:p>
    <w:p>
      <w:pPr>
        <w:pStyle w:val="ListParagraph"/>
        <w:bidi w:val="0"/>
        <w:spacing w:lineRule="auto" w:line="276" w:before="0" w:after="160"/>
        <w:ind w:left="0" w:right="0" w:hanging="0"/>
        <w:contextualSpacing/>
        <w:jc w:val="left"/>
        <w:rPr/>
      </w:pPr>
      <w:r>
        <w:rPr>
          <w:rFonts w:eastAsia="Times New Roman" w:cs="Arial" w:ascii="Arial" w:hAnsi="Arial"/>
          <w:lang w:eastAsia="en-GB"/>
        </w:rPr>
        <w:t xml:space="preserve">When considering the potential impact of bias it is important to understand why bias may occur. A person makes many decisions throughout the course of a day without even realising it. Unconscious biases have the potential to affect how different problems are solved. It alludes to an occurrence that is out of our control and about which we are clueless. It can happen unintentionally and is brought on by our instinct. Our upbringing, social context, and individual experiences all have an impact on these instincts (Oberai, H. and Ila, M.A., 2018). In the context of policing decision making, unconscious bias has the potential to impact a decision simply based upon the individual officers social upbringing or personal experience without the officer even being aware of it. In a 2003 study conducted on 92 undergraduate students where people were shown images in varying degree’s of darkness. It showed that persistent fears of danger can encourage the activation of functionally relevant stereotypes such as black people being dangerous, although this impact appears to be limited to situations that heuristically imply vulnerability to injury such as darkness (Schaller, Park, J. H., &amp; Mueller, A, 2003). </w:t>
      </w:r>
    </w:p>
    <w:p>
      <w:pPr>
        <w:pStyle w:val="ListParagraph"/>
        <w:bidi w:val="0"/>
        <w:spacing w:lineRule="auto" w:line="276" w:before="0" w:after="160"/>
        <w:ind w:left="0" w:right="0" w:hanging="0"/>
        <w:contextualSpacing/>
        <w:jc w:val="left"/>
        <w:rPr>
          <w:rFonts w:ascii="Arial" w:hAnsi="Arial" w:eastAsia="Times New Roman" w:cs="Arial"/>
          <w:lang w:eastAsia="en-GB"/>
        </w:rPr>
      </w:pPr>
      <w:r>
        <w:rPr>
          <w:rFonts w:eastAsia="Times New Roman" w:cs="Arial" w:ascii="Arial" w:hAnsi="Arial"/>
          <w:lang w:eastAsia="en-GB"/>
        </w:rPr>
      </w:r>
    </w:p>
    <w:p>
      <w:pPr>
        <w:pStyle w:val="ListParagraph"/>
        <w:bidi w:val="0"/>
        <w:spacing w:lineRule="auto" w:line="276" w:before="0" w:after="160"/>
        <w:ind w:left="0" w:right="0" w:hanging="0"/>
        <w:contextualSpacing/>
        <w:jc w:val="left"/>
        <w:rPr/>
      </w:pPr>
      <w:r>
        <w:rPr>
          <w:rFonts w:eastAsia="Times New Roman" w:cs="Arial" w:ascii="Arial" w:hAnsi="Arial"/>
          <w:lang w:eastAsia="en-GB"/>
        </w:rPr>
        <w:t xml:space="preserve">Conscious bias refers to prejudiced attitudes that you are aware of and involves favourable and unfavourable beliefs or attitudes about a group that determines how we perceive and behave with that group (School of the Art Institute of Chicago, 2020). In the United Kingdom during the 2020 to 2021 year there was over 155,841 hate crimes committed by members of the public which is a 29% increase on the year previous (Home office, 2022). Although this does not point directly towards any conscious bias it does show that victims perceive that they are targetted due to these bias’s. The police, like any institution in the UK is not immune to having officers with predetermined bias towards groups or individual people. This can be seen in a recent incident involving the Metropolitan Police, where PC Ben Hannam, a serving police officer was discovered to have been part of a banned white suprematist named National Action. PC Hannam wilfully and consciously continued to be a part of the banned organisation, made false statements, retained documents relating to terrorism and kept a prohibited image of a child under the age of 18 all during his two year service (The Guardian, 2021). Jenny Hopkins, Head of the CPS Special Crime and Counter Terrorism Division found that PC Hannam had lied on his application form in order to hide these bias beliefs allowing him to pass the vetting process (CPS, 2021). With this discovery it shows the potential for individuals such as Hannam to be active within the police force, influencing investigations and making decisions that impact members of the public. Although this is just one example it points towards there being the potential for other officers to hold beliefs that would not be in line with the Code of Ethics and the opportunity for them to make bias decisions whilst in the role. </w:t>
      </w:r>
    </w:p>
    <w:p>
      <w:pPr>
        <w:pStyle w:val="ListParagraph"/>
        <w:bidi w:val="0"/>
        <w:spacing w:lineRule="auto" w:line="276" w:before="0" w:after="160"/>
        <w:ind w:left="0" w:right="0" w:hanging="0"/>
        <w:contextualSpacing/>
        <w:jc w:val="left"/>
        <w:rPr>
          <w:rFonts w:ascii="Arial" w:hAnsi="Arial" w:eastAsia="Times New Roman" w:cs="Arial"/>
          <w:lang w:eastAsia="en-GB"/>
        </w:rPr>
      </w:pPr>
      <w:r>
        <w:rPr>
          <w:rFonts w:eastAsia="Times New Roman" w:cs="Arial" w:ascii="Arial" w:hAnsi="Arial"/>
          <w:lang w:eastAsia="en-GB"/>
        </w:rPr>
      </w:r>
    </w:p>
    <w:p>
      <w:pPr>
        <w:pStyle w:val="ListParagraph"/>
        <w:bidi w:val="0"/>
        <w:spacing w:lineRule="auto" w:line="276" w:before="0" w:after="160"/>
        <w:ind w:left="0" w:right="0" w:hanging="0"/>
        <w:contextualSpacing/>
        <w:jc w:val="left"/>
        <w:rPr/>
      </w:pPr>
      <w:r>
        <w:rPr>
          <w:rFonts w:eastAsia="Times New Roman" w:cs="Arial" w:ascii="Arial" w:hAnsi="Arial"/>
          <w:lang w:eastAsia="en-GB"/>
        </w:rPr>
        <w:t xml:space="preserve">The effects of unconscious bias are often difficult to quantify due to the automatic nature of the behaviour. As such UK police forces put a primary focus on training in relation to the matter. In a freedom of information requested conducted with the Metropolitan Police it was found that through their new PC recruit entry scheme named the PEQF scheme, a number of lesson’s were conducted. These lessons included </w:t>
      </w:r>
      <w:r>
        <w:rPr>
          <w:rFonts w:eastAsia="Times New Roman" w:cs="Arial" w:ascii="Arial" w:hAnsi="Arial"/>
          <w:sz w:val="24"/>
          <w:szCs w:val="24"/>
          <w:shd w:fill="FFFFFF" w:val="clear"/>
          <w:lang w:eastAsia="en-GB"/>
        </w:rPr>
        <w:t xml:space="preserve">Police Powers, Human Rights &amp; Equality and Engagement &amp; Inclusion: Changing perspectives, Unconscious Bias, The Equality Act and Decision Making. These lessons conducted in year one are then further worked upon in year two and three of the scheme with a mix of practical and academic work (Metropolitan Police, 2021). This training is conducted with the goal of increasing recognition of the key features of bias, describe the potential detrimental effects of bias and the goals required to reduce bias. Due to the nature of police work it is difficult to find out the full information that is taught in these sessions due to the sensitive and secure nature of police training. In 2019 a meta-analysis of 490 studies was conducted involving over 80,000 participants. Psychologist Patrick Forscher and his colleagues discovered that after receiving unconscious bias training did not change behaviours (Forscher, P </w:t>
      </w:r>
      <w:r>
        <w:rPr>
          <w:rFonts w:eastAsia="Times New Roman" w:cs="Arial" w:ascii="Arial" w:hAnsi="Arial"/>
          <w:i/>
          <w:iCs/>
          <w:sz w:val="24"/>
          <w:szCs w:val="24"/>
          <w:shd w:fill="FFFFFF" w:val="clear"/>
          <w:lang w:eastAsia="en-GB"/>
        </w:rPr>
        <w:t xml:space="preserve">et al, 2019). </w:t>
      </w:r>
      <w:r>
        <w:rPr>
          <w:rFonts w:eastAsia="Times New Roman" w:cs="Arial" w:ascii="Arial" w:hAnsi="Arial"/>
          <w:i w:val="false"/>
          <w:iCs w:val="false"/>
          <w:sz w:val="24"/>
          <w:szCs w:val="24"/>
          <w:shd w:fill="FFFFFF" w:val="clear"/>
          <w:lang w:eastAsia="en-GB"/>
        </w:rPr>
        <w:t xml:space="preserve">In another study conducted in 2006 by Alexandra Kalev, Frank Dobbin, and Erin Kelly it was discovered that after unconscious bias training that the promotion of black men and women decreased (Kalev, A, Dobbin, F., &amp; Kelly, E, 2006). These studies show that unconscious bias training is potentially sending the message that these biases are uncontrollable, involuntary and beyond their control. This can in turn potentially reduce an individuals accountability for the decisions they make as they feel they cannot control these biases anyway. As there is no current way to access the lesson plans that the police conduct in to unconscious bias, there is no way to say for sure that the lessons make any impact on the reduction of it. However the fact that it is taught and also worked upon over a three years period at least shows that it is something that the police are actively aware of. The Police also seems to be keenly aware of the impact that unconscious bias has on public perception especially in relation to investigations involving the use of stop search powers where it is against the codes of practise to search someone based upon protected characteristics (College of Policing, 2016). </w:t>
      </w:r>
    </w:p>
    <w:p>
      <w:pPr>
        <w:pStyle w:val="ListParagraph"/>
        <w:bidi w:val="0"/>
        <w:spacing w:lineRule="auto" w:line="276" w:before="0" w:after="160"/>
        <w:ind w:left="0" w:right="0" w:hanging="0"/>
        <w:contextualSpacing/>
        <w:jc w:val="left"/>
        <w:rPr>
          <w:rFonts w:ascii="Arial" w:hAnsi="Arial" w:eastAsia="Times New Roman" w:cs="Arial"/>
          <w:lang w:eastAsia="en-GB"/>
        </w:rPr>
      </w:pPr>
      <w:r>
        <w:rPr>
          <w:rFonts w:eastAsia="Times New Roman" w:cs="Arial" w:ascii="Arial" w:hAnsi="Arial"/>
          <w:lang w:eastAsia="en-GB"/>
        </w:rPr>
      </w:r>
    </w:p>
    <w:p>
      <w:pPr>
        <w:pStyle w:val="ListParagraph"/>
        <w:bidi w:val="0"/>
        <w:spacing w:lineRule="auto" w:line="276" w:before="0" w:after="160"/>
        <w:ind w:left="0" w:right="0" w:hanging="0"/>
        <w:contextualSpacing/>
        <w:jc w:val="left"/>
        <w:rPr>
          <w:rFonts w:ascii="Arial" w:hAnsi="Arial" w:eastAsia="Times New Roman" w:cs="Arial"/>
          <w:lang w:eastAsia="en-GB"/>
        </w:rPr>
      </w:pPr>
      <w:r>
        <w:rPr>
          <w:rFonts w:eastAsia="Times New Roman" w:cs="Arial" w:ascii="Arial" w:hAnsi="Arial"/>
          <w:lang w:eastAsia="en-GB"/>
        </w:rPr>
      </w:r>
    </w:p>
    <w:p>
      <w:pPr>
        <w:pStyle w:val="ListParagraph"/>
        <w:bidi w:val="0"/>
        <w:spacing w:lineRule="auto" w:line="276" w:before="0" w:after="160"/>
        <w:ind w:left="0" w:right="0" w:hanging="0"/>
        <w:contextualSpacing/>
        <w:jc w:val="left"/>
        <w:rPr/>
      </w:pPr>
      <w:r>
        <w:rPr>
          <w:rFonts w:eastAsia="Times New Roman" w:cs="Arial" w:ascii="Arial" w:hAnsi="Arial"/>
          <w:lang w:eastAsia="en-GB"/>
        </w:rPr>
        <w:t xml:space="preserve">In a 2010 study conducted by the Equality and Human Rights Commission (EHRC) it noted that black people are searched at rate of four to eight times higher than their white counter parts (Equality and Human Rights Commission, 2010). When questioned regarding these statistics a common answer provided was that black people are generally more often involved in crime.  The vast amount of data and analysis points to little to no correlation, if any, between ethnicity and participation in criminal activities. Black, Asian and minority ethnic (BAME) classification is not a risk factor in and of itself. Studies also demonstrates how risk factor-based approaches are typically ineffective because crime is the result of a complex interaction between personal and environmental factors (Curtis-Ham, S </w:t>
      </w:r>
      <w:r>
        <w:rPr>
          <w:rFonts w:eastAsia="Times New Roman" w:cs="Arial" w:ascii="Arial" w:hAnsi="Arial"/>
          <w:i/>
          <w:iCs/>
          <w:lang w:eastAsia="en-GB"/>
        </w:rPr>
        <w:t xml:space="preserve">et al, </w:t>
      </w:r>
      <w:r>
        <w:rPr>
          <w:rFonts w:eastAsia="Times New Roman" w:cs="Arial" w:ascii="Arial" w:hAnsi="Arial"/>
          <w:i w:val="false"/>
          <w:iCs w:val="false"/>
          <w:lang w:eastAsia="en-GB"/>
        </w:rPr>
        <w:t xml:space="preserve">2020). However even with this data in the 2020 to 2021 year black people were still three times as likely to be arrested compared to their white peers (Ethnicity facts and figures, 2022). Also in a study conducted by Professor Clifford Stott in 2020 it found that even though white men and women were more likely to commit more serious drug offences, BAME men and women were more likely to receive custodial sentences with black women being 2.3% higher than white women (Stott, C </w:t>
      </w:r>
      <w:r>
        <w:rPr>
          <w:rFonts w:eastAsia="Times New Roman" w:cs="Arial" w:ascii="Arial" w:hAnsi="Arial"/>
          <w:i/>
          <w:iCs w:val="false"/>
          <w:lang w:eastAsia="en-GB"/>
        </w:rPr>
        <w:t xml:space="preserve">et al, </w:t>
      </w:r>
      <w:r>
        <w:rPr>
          <w:rFonts w:eastAsia="Times New Roman" w:cs="Arial" w:ascii="Arial" w:hAnsi="Arial"/>
          <w:i w:val="false"/>
          <w:iCs w:val="false"/>
          <w:lang w:eastAsia="en-GB"/>
        </w:rPr>
        <w:t>2020). However it cannot be ignore that there is some correlation between knife crime and the BAME communities. The same study found that in 2017 53% of all knife possession offences were committed by Black members of the community but also that 50% of all knife offences were committed by people of a BAME background (</w:t>
      </w:r>
      <w:r>
        <w:rPr>
          <w:rFonts w:eastAsia="Times New Roman" w:cs="Arial" w:ascii="Arial" w:hAnsi="Arial"/>
          <w:i/>
          <w:iCs/>
          <w:lang w:eastAsia="en-GB"/>
        </w:rPr>
        <w:t xml:space="preserve">ibid). </w:t>
      </w:r>
      <w:r>
        <w:rPr>
          <w:rFonts w:eastAsia="Times New Roman" w:cs="Arial" w:ascii="Arial" w:hAnsi="Arial"/>
          <w:i w:val="false"/>
          <w:iCs w:val="false"/>
          <w:lang w:eastAsia="en-GB"/>
        </w:rPr>
        <w:t xml:space="preserve">Although this data in itself does not point towards any bias by the police it could increase the potential for scrutiny due to the disproportionate arrests and stop searches of black people compared to their white peers. Even with the statistics surrounding knife crime the significant difference has the potential to damage community relations with BAME, potentially decreasing engagement from these communities. </w:t>
      </w:r>
    </w:p>
    <w:p>
      <w:pPr>
        <w:pStyle w:val="ListParagraph"/>
        <w:bidi w:val="0"/>
        <w:spacing w:lineRule="auto" w:line="276" w:before="0" w:after="160"/>
        <w:ind w:left="0" w:right="0" w:hanging="0"/>
        <w:contextualSpacing/>
        <w:jc w:val="left"/>
        <w:rPr>
          <w:rFonts w:ascii="Arial" w:hAnsi="Arial" w:eastAsia="Times New Roman" w:cs="Arial"/>
          <w:i w:val="false"/>
          <w:i w:val="false"/>
          <w:iCs w:val="false"/>
          <w:lang w:eastAsia="en-GB"/>
        </w:rPr>
      </w:pPr>
      <w:r>
        <w:rPr>
          <w:rFonts w:eastAsia="Times New Roman" w:cs="Arial" w:ascii="Arial" w:hAnsi="Arial"/>
          <w:i w:val="false"/>
          <w:iCs w:val="false"/>
          <w:lang w:eastAsia="en-GB"/>
        </w:rPr>
      </w:r>
    </w:p>
    <w:p>
      <w:pPr>
        <w:pStyle w:val="ListParagraph"/>
        <w:bidi w:val="0"/>
        <w:spacing w:lineRule="auto" w:line="276" w:before="0" w:after="160"/>
        <w:ind w:left="0" w:right="0" w:hanging="0"/>
        <w:contextualSpacing/>
        <w:jc w:val="left"/>
        <w:rPr>
          <w:rFonts w:ascii="Arial" w:hAnsi="Arial" w:eastAsia="Times New Roman" w:cs="Arial"/>
          <w:i w:val="false"/>
          <w:i w:val="false"/>
          <w:iCs w:val="false"/>
          <w:lang w:eastAsia="en-GB"/>
        </w:rPr>
      </w:pPr>
      <w:r>
        <w:rPr>
          <w:rFonts w:eastAsia="Times New Roman" w:cs="Arial" w:ascii="Arial" w:hAnsi="Arial"/>
          <w:i w:val="false"/>
          <w:iCs w:val="false"/>
          <w:lang w:eastAsia="en-GB"/>
        </w:rPr>
      </w:r>
    </w:p>
    <w:p>
      <w:pPr>
        <w:pStyle w:val="ListParagraph"/>
        <w:bidi w:val="0"/>
        <w:spacing w:lineRule="auto" w:line="276" w:before="0" w:after="160"/>
        <w:ind w:left="0" w:right="0" w:hanging="0"/>
        <w:contextualSpacing/>
        <w:jc w:val="left"/>
        <w:rPr>
          <w:rFonts w:ascii="Arial" w:hAnsi="Arial" w:eastAsia="Times New Roman" w:cs="Arial"/>
          <w:i w:val="false"/>
          <w:i w:val="false"/>
          <w:iCs w:val="false"/>
          <w:lang w:eastAsia="en-GB"/>
        </w:rPr>
      </w:pPr>
      <w:r>
        <w:rPr>
          <w:rFonts w:eastAsia="Times New Roman" w:cs="Arial" w:ascii="Arial" w:hAnsi="Arial"/>
          <w:i w:val="false"/>
          <w:iCs w:val="false"/>
          <w:lang w:eastAsia="en-GB"/>
        </w:rPr>
        <w:t xml:space="preserve">This discontent with the police from members of the BAME community can be viewed in a recent case study with an unarmed black male by the name of Chris Kaba. There had been prior intelligence that a black Audi driven by Kaba had been involved in a firearms incident the day before. A failed traffic stop lead to the death of Kaba in a fatal shooting involving the Metropolitan Police. Even before any details regarding the incident had been released there was calls for a criminal investigation to be launched. Protests were seen across London with participants voicing their concerns about there being a potential bias against Kaba because of the colour of his skin (Thomas, T, Khan, A, 2022). This feeling of bias from the police is compounded further in a 2008 study conducted where it was found that 59.3% of surveyed university studies believed that the police targetted particular ethnic groups (Sivasubramaniam, D, 2008). In another 2002 study it was also identified that 63.1% of surveyed participants also held the same belief that police targetted ethnic groups based upon a perceived bias (Collins, J </w:t>
      </w:r>
      <w:r>
        <w:rPr>
          <w:rFonts w:eastAsia="Times New Roman" w:cs="Arial" w:ascii="Arial" w:hAnsi="Arial"/>
          <w:i/>
          <w:iCs/>
          <w:lang w:eastAsia="en-GB"/>
        </w:rPr>
        <w:t xml:space="preserve">et al, </w:t>
      </w:r>
      <w:r>
        <w:rPr>
          <w:rFonts w:eastAsia="Times New Roman" w:cs="Arial" w:ascii="Arial" w:hAnsi="Arial"/>
          <w:i w:val="false"/>
          <w:iCs w:val="false"/>
          <w:lang w:eastAsia="en-GB"/>
        </w:rPr>
        <w:t xml:space="preserve">2002). Similar trends can also be seen in the Independent Office for Police Complaints (IOPC) who are responsible for investigating police misconduct. In a 2018 survey conducted by the IOPC it was found that people of a BAME background were more likely to believe that the IOPC lacked impartiality and were biased in favour of the police (The Independent Office for Police Conduct, 2018). Further data can also be identified in a 2021 survey conducted where 64% of black participants stated they have confidence in the police compared with the 74% of all participants (Ethnicity Facts and Figures, 2021). The available evidence and data strongly points towards the BAME community having a lack of confidence in policing due to the perception of a bias. Although none of this data proves any direct bias by the police, it at least shows that there is a potential for decreased engagement and confidence due to the BAME communities belief that the police are biased against them. There is also evidence that people of a BAME background hold the belief that their complaints against police are potentially biased compared to their peers, potentially further harming public relations. </w:t>
      </w:r>
    </w:p>
    <w:p>
      <w:pPr>
        <w:pStyle w:val="ListParagraph"/>
        <w:bidi w:val="0"/>
        <w:spacing w:lineRule="auto" w:line="276" w:before="0" w:after="160"/>
        <w:ind w:left="0" w:right="0" w:hanging="0"/>
        <w:contextualSpacing/>
        <w:jc w:val="left"/>
        <w:rPr>
          <w:rFonts w:ascii="Arial" w:hAnsi="Arial" w:eastAsia="Times New Roman" w:cs="Arial"/>
          <w:i w:val="false"/>
          <w:i w:val="false"/>
          <w:iCs w:val="false"/>
          <w:lang w:eastAsia="en-GB"/>
        </w:rPr>
      </w:pPr>
      <w:r>
        <w:rPr>
          <w:rFonts w:eastAsia="Times New Roman" w:cs="Arial" w:ascii="Arial" w:hAnsi="Arial"/>
          <w:i w:val="false"/>
          <w:iCs w:val="false"/>
          <w:lang w:eastAsia="en-GB"/>
        </w:rPr>
      </w:r>
    </w:p>
    <w:p>
      <w:pPr>
        <w:pStyle w:val="ListParagraph"/>
        <w:bidi w:val="0"/>
        <w:spacing w:lineRule="auto" w:line="276" w:before="0" w:after="160"/>
        <w:ind w:left="0" w:right="0" w:hanging="0"/>
        <w:contextualSpacing/>
        <w:jc w:val="left"/>
        <w:rPr>
          <w:rFonts w:ascii="Arial" w:hAnsi="Arial" w:eastAsia="Times New Roman" w:cs="Arial"/>
          <w:i w:val="false"/>
          <w:i w:val="false"/>
          <w:iCs w:val="false"/>
          <w:lang w:eastAsia="en-GB"/>
        </w:rPr>
      </w:pPr>
      <w:r>
        <w:rPr>
          <w:rFonts w:eastAsia="Times New Roman" w:cs="Arial" w:ascii="Arial" w:hAnsi="Arial"/>
          <w:i w:val="false"/>
          <w:iCs w:val="false"/>
          <w:lang w:eastAsia="en-GB"/>
        </w:rPr>
        <w:t xml:space="preserve">In conclusion, there is an understanding in the police that unconscious bias does play a part in an officers actions and as such training has been developed surrounding the topic. Officers are active in completing this training which is worked upon over a multi-year period. However, as we are not able to readily view this training it is unsure how the training impact an individual officers actions. Evidence also points towards there being the potential for this training to be doing more harm than good depending on its content. Although no direct bias can be observed on the police as an organisation there have been incidents involving individual officers where the potential for direct bias and even racism have been identified. There is also a concern raised about the identification and removal of these individual officers and also the unseen impact that they could be having whilst remaining in the police undetected. Evidence shows quite clearly that there is a perception held by members of the BAME communities that the police hold a bias. Stop search and arrest statistics when taken at face value do little to dissuade this belief as they are so disproportionate against black people. Just the perception of this bias alone has the potential to impact and damage community relations with the police and reduce engagement from these communities. </w:t>
      </w:r>
    </w:p>
    <w:p>
      <w:pPr>
        <w:pStyle w:val="ListParagraph"/>
        <w:bidi w:val="0"/>
        <w:spacing w:lineRule="auto" w:line="276" w:before="0" w:after="160"/>
        <w:ind w:left="0" w:right="0" w:hanging="0"/>
        <w:contextualSpacing/>
        <w:jc w:val="left"/>
        <w:rPr>
          <w:rFonts w:ascii="Arial" w:hAnsi="Arial" w:eastAsia="Times New Roman" w:cs="Arial"/>
          <w:i w:val="false"/>
          <w:i w:val="false"/>
          <w:iCs w:val="false"/>
          <w:lang w:eastAsia="en-GB"/>
        </w:rPr>
      </w:pPr>
      <w:r>
        <w:rPr>
          <w:rFonts w:eastAsia="Times New Roman" w:cs="Arial" w:ascii="Arial" w:hAnsi="Arial"/>
          <w:i w:val="false"/>
          <w:iCs w:val="false"/>
          <w:lang w:eastAsia="en-GB"/>
        </w:rPr>
      </w:r>
    </w:p>
    <w:p>
      <w:pPr>
        <w:pStyle w:val="ListParagraph"/>
        <w:bidi w:val="0"/>
        <w:spacing w:lineRule="auto" w:line="276" w:before="0" w:after="160"/>
        <w:ind w:left="0" w:right="0" w:hanging="0"/>
        <w:contextualSpacing/>
        <w:jc w:val="left"/>
        <w:rPr>
          <w:rFonts w:ascii="Arial" w:hAnsi="Arial" w:eastAsia="Times New Roman" w:cs="Arial"/>
          <w:i w:val="false"/>
          <w:i w:val="false"/>
          <w:iCs w:val="false"/>
          <w:lang w:eastAsia="en-GB"/>
        </w:rPr>
      </w:pPr>
      <w:r>
        <w:rPr>
          <w:rFonts w:eastAsia="Times New Roman" w:cs="Arial" w:ascii="Arial" w:hAnsi="Arial"/>
          <w:i w:val="false"/>
          <w:iCs w:val="false"/>
          <w:lang w:eastAsia="en-GB"/>
        </w:rPr>
      </w:r>
    </w:p>
    <w:p>
      <w:pPr>
        <w:pStyle w:val="ListParagraph"/>
        <w:bidi w:val="0"/>
        <w:spacing w:lineRule="auto" w:line="276" w:before="0" w:after="160"/>
        <w:ind w:left="0" w:right="0" w:hanging="0"/>
        <w:contextualSpacing/>
        <w:jc w:val="right"/>
        <w:rPr>
          <w:rFonts w:ascii="Times New Roman" w:hAnsi="Times New Roman"/>
          <w:b/>
          <w:b/>
          <w:bCs/>
          <w:u w:val="single"/>
        </w:rPr>
      </w:pPr>
      <w:r>
        <w:rPr>
          <w:rFonts w:eastAsia="Times New Roman" w:cs="Arial" w:ascii="Arial" w:hAnsi="Arial"/>
          <w:b w:val="false"/>
          <w:bCs w:val="false"/>
          <w:i w:val="false"/>
          <w:iCs w:val="false"/>
          <w:u w:val="none"/>
          <w:lang w:eastAsia="en-GB"/>
        </w:rPr>
        <w:t>1944 Words</w:t>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0" w:right="0" w:hanging="0"/>
        <w:contextualSpacing/>
        <w:jc w:val="left"/>
        <w:rPr>
          <w:rFonts w:ascii="Times New Roman" w:hAnsi="Times New Roman"/>
          <w:b/>
          <w:b/>
          <w:bCs/>
          <w:u w:val="single"/>
        </w:rPr>
      </w:pPr>
      <w:r>
        <w:rPr>
          <w:rFonts w:ascii="Times New Roman" w:hAnsi="Times New Roman"/>
          <w:b/>
          <w:bCs/>
          <w:u w:val="single"/>
        </w:rPr>
      </w:r>
    </w:p>
    <w:p>
      <w:pPr>
        <w:pStyle w:val="ListParagraph"/>
        <w:numPr>
          <w:ilvl w:val="0"/>
          <w:numId w:val="0"/>
        </w:numPr>
        <w:bidi w:val="0"/>
        <w:spacing w:lineRule="auto" w:line="276" w:before="0" w:after="160"/>
        <w:ind w:left="993" w:right="531" w:hanging="0"/>
        <w:contextualSpacing/>
        <w:jc w:val="left"/>
        <w:rPr>
          <w:rFonts w:ascii="Times New Roman" w:hAnsi="Times New Roman"/>
          <w:b/>
          <w:b/>
          <w:bCs/>
          <w:u w:val="single"/>
        </w:rPr>
      </w:pPr>
      <w:r>
        <w:rPr>
          <w:rFonts w:eastAsia="Times New Roman" w:cs="Arial" w:ascii="Arial" w:hAnsi="Arial"/>
          <w:b/>
          <w:bCs/>
          <w:i w:val="false"/>
          <w:iCs w:val="false"/>
          <w:u w:val="single"/>
          <w:lang w:eastAsia="en-GB"/>
        </w:rPr>
        <w:t>Outline the key issues and challenges of operational policing in the UK, and consider how these challenges can affect the investigation of volume and priority crime.</w:t>
      </w:r>
    </w:p>
    <w:p>
      <w:pPr>
        <w:pStyle w:val="ListParagraph"/>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ind w:left="207" w:right="531" w:hanging="0"/>
        <w:jc w:val="left"/>
        <w:rPr/>
      </w:pPr>
      <w:r>
        <w:rPr>
          <w:rFonts w:eastAsia="Times New Roman" w:cs="Arial" w:ascii="Arial" w:hAnsi="Arial"/>
          <w:lang w:eastAsia="en-GB"/>
        </w:rPr>
        <w:t>Volume crime is described as any crime that, due to its sheer volume, significantly affects the neighbourhood and the ability of the local police to combat it. Priority crimes like street robberies, burglaries, and crimes involving vehicles are frequently included in volume crime, but it can also refer to assaults or criminal damage (</w:t>
      </w:r>
      <w:r>
        <w:rPr>
          <w:rFonts w:eastAsia="Times New Roman" w:cs="Arial" w:ascii="Arial" w:hAnsi="Arial"/>
          <w:b w:val="false"/>
          <w:bCs w:val="false"/>
          <w:u w:val="none"/>
          <w:lang w:eastAsia="en-GB"/>
        </w:rPr>
        <w:t>National Police Improvement Agency, 2009)</w:t>
      </w:r>
      <w:r>
        <w:rPr>
          <w:rFonts w:eastAsia="Times New Roman" w:cs="Arial" w:ascii="Arial" w:hAnsi="Arial"/>
          <w:lang w:eastAsia="en-GB"/>
        </w:rPr>
        <w:t>. During this essay I will be outlining key issues and challenges faced by operational police officers, I will also be considering how these challenges impact on the investigation of volume crime.</w:t>
      </w:r>
    </w:p>
    <w:p>
      <w:pPr>
        <w:pStyle w:val="ListParagraph"/>
        <w:bidi w:val="0"/>
        <w:spacing w:lineRule="auto" w:line="276"/>
        <w:ind w:left="207" w:right="531" w:hanging="0"/>
        <w:jc w:val="left"/>
        <w:rPr>
          <w:rFonts w:ascii="Arial" w:hAnsi="Arial" w:eastAsia="Times New Roman" w:cs="Arial"/>
          <w:lang w:eastAsia="en-GB"/>
        </w:rPr>
      </w:pPr>
      <w:r>
        <w:rPr>
          <w:rFonts w:eastAsia="Times New Roman" w:cs="Arial" w:ascii="Arial" w:hAnsi="Arial"/>
          <w:lang w:eastAsia="en-GB"/>
        </w:rPr>
      </w:r>
    </w:p>
    <w:p>
      <w:pPr>
        <w:pStyle w:val="ListParagraph"/>
        <w:bidi w:val="0"/>
        <w:spacing w:lineRule="auto" w:line="276"/>
        <w:ind w:left="207" w:right="531" w:hanging="0"/>
        <w:jc w:val="left"/>
        <w:rPr/>
      </w:pPr>
      <w:r>
        <w:rPr>
          <w:rFonts w:eastAsia="Times New Roman" w:cs="Arial" w:ascii="Arial" w:hAnsi="Arial"/>
          <w:lang w:eastAsia="en-GB"/>
        </w:rPr>
        <w:t>In a post COVID-19 pandemic society there has been an increase in mental health concerns that have been felt as a result of the lockdowns. Stressors associated with the COVID-19 pandemic, such as infection, financial difficulty, job loss, stigma, or quarantine limitations, may express or reinforce negative mental health effects, according to Boden et al (</w:t>
      </w:r>
      <w:r>
        <w:rPr>
          <w:rFonts w:eastAsia="Times New Roman" w:cs="Arial" w:ascii="Arial" w:hAnsi="Arial"/>
          <w:b w:val="false"/>
          <w:bCs w:val="false"/>
          <w:u w:val="none"/>
          <w:lang w:eastAsia="en-GB"/>
        </w:rPr>
        <w:t>Boden, M</w:t>
      </w:r>
      <w:r>
        <w:rPr>
          <w:rFonts w:eastAsia="Times New Roman" w:cs="Arial" w:ascii="Arial" w:hAnsi="Arial"/>
          <w:b w:val="false"/>
          <w:bCs w:val="false"/>
          <w:i/>
          <w:iCs/>
          <w:u w:val="none"/>
          <w:lang w:eastAsia="en-GB"/>
        </w:rPr>
        <w:t xml:space="preserve"> et al,</w:t>
      </w:r>
      <w:r>
        <w:rPr>
          <w:rFonts w:eastAsia="Times New Roman" w:cs="Arial" w:ascii="Arial" w:hAnsi="Arial"/>
          <w:b w:val="false"/>
          <w:bCs w:val="false"/>
          <w:i w:val="false"/>
          <w:iCs w:val="false"/>
          <w:u w:val="none"/>
          <w:lang w:eastAsia="en-GB"/>
        </w:rPr>
        <w:t xml:space="preserve"> 2021). In a 2018 study conducted by Her Majesty’s Inspectorate of Constabulary and Fire &amp; Rescue Service (HMICFRS) it was found that only two percent of surveyed participants felt it was the responsibility of police to attend mental health calls and also 70 percent believed that treating people with mental health issues was the primary job of the health services (Her Majesty’s Inspectorate of Constabulary and Fire &amp; Rescue Service, 2018). However it is apparent that police resources are more and more being diverted away from dealing with crime to support mental health incidents. In a 2021 study conducted by Langton</w:t>
      </w:r>
      <w:r>
        <w:rPr>
          <w:rFonts w:eastAsia="Times New Roman" w:cs="Arial" w:ascii="Arial" w:hAnsi="Arial"/>
          <w:b w:val="false"/>
          <w:bCs w:val="false"/>
          <w:i/>
          <w:iCs/>
          <w:u w:val="none"/>
          <w:lang w:eastAsia="en-GB"/>
        </w:rPr>
        <w:t xml:space="preserve"> et al</w:t>
      </w:r>
      <w:r>
        <w:rPr>
          <w:rFonts w:eastAsia="Times New Roman" w:cs="Arial" w:ascii="Arial" w:hAnsi="Arial"/>
          <w:b w:val="false"/>
          <w:bCs w:val="false"/>
          <w:i w:val="false"/>
          <w:iCs w:val="false"/>
          <w:u w:val="none"/>
          <w:lang w:eastAsia="en-GB"/>
        </w:rPr>
        <w:t xml:space="preserve"> it was found that 13.8% of all grade 1 emergency calls and 19.9% of all grade 2 priority calls had mental health indicators. Furthermore it was found that 78% of calls that had mental health indicators were graded as an emergency or priority call (Langton, S </w:t>
      </w:r>
      <w:r>
        <w:rPr>
          <w:rFonts w:eastAsia="Times New Roman" w:cs="Arial" w:ascii="Arial" w:hAnsi="Arial"/>
          <w:b w:val="false"/>
          <w:bCs w:val="false"/>
          <w:i/>
          <w:iCs/>
          <w:u w:val="none"/>
          <w:lang w:eastAsia="en-GB"/>
        </w:rPr>
        <w:t xml:space="preserve">et al, </w:t>
      </w:r>
      <w:r>
        <w:rPr>
          <w:rFonts w:eastAsia="Times New Roman" w:cs="Arial" w:ascii="Arial" w:hAnsi="Arial"/>
          <w:b w:val="false"/>
          <w:bCs w:val="false"/>
          <w:i w:val="false"/>
          <w:iCs w:val="false"/>
          <w:u w:val="none"/>
          <w:lang w:eastAsia="en-GB"/>
        </w:rPr>
        <w:t>2021). During the same study it was also found that on average two and a half hours of an officers time was taken up dealing with emergency graded mental health calls and around two hours of time for a priority grading (</w:t>
      </w:r>
      <w:r>
        <w:rPr>
          <w:rFonts w:eastAsia="Times New Roman" w:cs="Arial" w:ascii="Arial" w:hAnsi="Arial"/>
          <w:b w:val="false"/>
          <w:bCs w:val="false"/>
          <w:i/>
          <w:iCs/>
          <w:u w:val="none"/>
          <w:lang w:eastAsia="en-GB"/>
        </w:rPr>
        <w:t xml:space="preserve">ibid). </w:t>
      </w:r>
      <w:r>
        <w:rPr>
          <w:rFonts w:eastAsia="Times New Roman" w:cs="Arial" w:ascii="Arial" w:hAnsi="Arial"/>
          <w:b w:val="false"/>
          <w:bCs w:val="false"/>
          <w:i w:val="false"/>
          <w:iCs w:val="false"/>
          <w:u w:val="none"/>
          <w:lang w:eastAsia="en-GB"/>
        </w:rPr>
        <w:t xml:space="preserve">These studies point towards there being a significant amount of an officers individual time being taken up both attending and dealing with mental health related calls. The time spent dealing with mental health calls also shows a potential for officers attention being diverted away from dealing with volume crime thus significantly impacting an officers ability to both respond and investigate these crimes. This issue also appears to be worsening with a freedom of information request conducted by The Guardian newspaper stating that there was a 41% increase in the number of mental health incidents that officers attended between the years of 2015 and 2019 (Campbell, D, 2020). Another factor facing Police in relation to mental health related calls is the underperforming mental health services. Beresford (2013) provided analysis of the position of mental health services in the UK. He noted </w:t>
      </w:r>
      <w:r>
        <w:rPr>
          <w:rFonts w:eastAsia="Times New Roman" w:cs="Arial" w:ascii="Arial" w:hAnsi="Arial"/>
          <w:b w:val="false"/>
          <w:bCs w:val="false"/>
          <w:i w:val="false"/>
          <w:iCs w:val="false"/>
          <w:u w:val="none"/>
          <w:lang w:eastAsia="en-GB"/>
        </w:rPr>
        <w:t xml:space="preserve">that </w:t>
      </w:r>
      <w:r>
        <w:rPr>
          <w:rFonts w:eastAsia="Times New Roman" w:cs="Arial" w:ascii="Arial" w:hAnsi="Arial"/>
          <w:b w:val="false"/>
          <w:bCs w:val="false"/>
          <w:i w:val="false"/>
          <w:iCs w:val="false"/>
          <w:u w:val="none"/>
          <w:lang w:eastAsia="en-GB"/>
        </w:rPr>
        <w:t>despite claims of a radical change in the structure and ethos of services, a number of problems still need to be resolved. These issues include the use of the Mental Health Act's (MHA 1983) mandatory powers, crisis services accessibility, police and other criminal justice agency involvement in mental health issues, and the ongoing requirement for meaningful service user participation in the design and delivery of mental health services (Beresford, P, 2013). In another paper authored by Ian Cummings he noted that due to budget cuts seen by the mental health services, significant damage had been caused. Cummings stated that pressure on impatient beds, out of area placements, issues responding to individuals in crisis and the role of the police and Criminal Justice system as default providers of mental health care as area’s of concern (Cummins, I, 2018). Also in a report from the London School of Economics conducted in 2013 it was found that In the UK, mental illness now accounts for over half of all illnesses experienced by persons under 65, but only 25% of those affected are receiving treatment. 23% of all disease-related burdens are attributable to mental illness. Nonetheless, despite the availability of affordable treatments, just 13% of National Health Service (NHS) health spending goes towards them (London School of Economics, 2013). It is apparent that due to the underfunding of a mental health service that it is struggling to cope with the demand. Evidence points towards the police having to step in and handle the demand that the mental health service cannot manage. The prevalence of mental health related issues and the lack of funding for the service is causing police forces to respond more often to incidents of mental ill health. The increase in the number of mental health incidents attended by officers will do little to improve the investigation of volume crime however does have the potential to negatively impact it due to a potential lack of resources.</w:t>
      </w:r>
    </w:p>
    <w:p>
      <w:pPr>
        <w:pStyle w:val="ListParagraph"/>
        <w:bidi w:val="0"/>
        <w:spacing w:lineRule="auto" w:line="276"/>
        <w:ind w:left="207" w:right="531" w:hanging="0"/>
        <w:jc w:val="left"/>
        <w:rPr>
          <w:rFonts w:ascii="Arial" w:hAnsi="Arial" w:eastAsia="Times New Roman" w:cs="Arial"/>
          <w:b w:val="false"/>
          <w:b w:val="false"/>
          <w:bCs w:val="false"/>
          <w:i w:val="false"/>
          <w:i w:val="false"/>
          <w:iCs w:val="false"/>
          <w:u w:val="none"/>
          <w:lang w:eastAsia="en-GB"/>
        </w:rPr>
      </w:pPr>
      <w:r>
        <w:rPr>
          <w:rFonts w:eastAsia="Times New Roman" w:cs="Arial" w:ascii="Arial" w:hAnsi="Arial"/>
          <w:b w:val="false"/>
          <w:bCs w:val="false"/>
          <w:i w:val="false"/>
          <w:iCs w:val="false"/>
          <w:u w:val="none"/>
          <w:lang w:eastAsia="en-GB"/>
        </w:rPr>
      </w:r>
    </w:p>
    <w:p>
      <w:pPr>
        <w:pStyle w:val="ListParagraph"/>
        <w:bidi w:val="0"/>
        <w:spacing w:lineRule="auto" w:line="276"/>
        <w:ind w:left="207" w:right="531" w:hanging="0"/>
        <w:jc w:val="left"/>
        <w:rPr/>
      </w:pPr>
      <w:r>
        <w:rPr>
          <w:rFonts w:eastAsia="Times New Roman" w:cs="Arial" w:ascii="Arial" w:hAnsi="Arial"/>
          <w:b w:val="false"/>
          <w:bCs w:val="false"/>
          <w:i w:val="false"/>
          <w:iCs w:val="false"/>
          <w:u w:val="none"/>
          <w:lang w:eastAsia="en-GB"/>
        </w:rPr>
        <w:t xml:space="preserve">In 2019 a new campaign was launched by the then Prime Minister Boris Johnson. This campaign aimed at hiring 20,000 new police officers over a three year period. With one of the reasons for this uplift being to give the police the resources they need to tackle crime (Home Office, 2019). This campaign points towards there being issues with the current number of officers in service with their ability to tackle crime being hampered by this staffing issue. This staffing issue becomes more apparent when looking at the difference in the number of police officers over the years. In 2010 when official records of officer numbers began there was a total of 143,734 (Home Office, 2010) officers in service compared with the 123,171 of 2019 (Home Office, 2020). This shows a real drop of almost 20,000 officers over that nine year period equating to almost 15% of the workforce. In a 2016 study conducted by Elliot-Davies </w:t>
      </w:r>
      <w:r>
        <w:rPr>
          <w:rFonts w:eastAsia="Times New Roman" w:cs="Arial" w:ascii="Arial" w:hAnsi="Arial"/>
          <w:b w:val="false"/>
          <w:bCs w:val="false"/>
          <w:i/>
          <w:iCs/>
          <w:u w:val="none"/>
          <w:lang w:eastAsia="en-GB"/>
        </w:rPr>
        <w:t>et al</w:t>
      </w:r>
      <w:r>
        <w:rPr>
          <w:rFonts w:eastAsia="Times New Roman" w:cs="Arial" w:ascii="Arial" w:hAnsi="Arial"/>
          <w:b w:val="false"/>
          <w:bCs w:val="false"/>
          <w:i w:val="false"/>
          <w:iCs w:val="false"/>
          <w:u w:val="none"/>
          <w:lang w:eastAsia="en-GB"/>
        </w:rPr>
        <w:t xml:space="preserve"> the full effects of these cuts can be seen. The study identified that  officers believed that the was a clear reduction in performance of the police as they are less visible to due to the drop in numbers. It was also raised that due to the lack of staffing there was the potential for investigations being closed earlier with actions not being completed (Elliott-Davies, M</w:t>
      </w:r>
      <w:r>
        <w:rPr>
          <w:rFonts w:eastAsia="Times New Roman" w:cs="Arial" w:ascii="Arial" w:hAnsi="Arial"/>
          <w:b w:val="false"/>
          <w:bCs w:val="false"/>
          <w:i/>
          <w:iCs/>
          <w:u w:val="none"/>
          <w:lang w:eastAsia="en-GB"/>
        </w:rPr>
        <w:t xml:space="preserve"> et al,</w:t>
      </w:r>
      <w:r>
        <w:rPr>
          <w:rFonts w:eastAsia="Times New Roman" w:cs="Arial" w:ascii="Arial" w:hAnsi="Arial"/>
          <w:b w:val="false"/>
          <w:bCs w:val="false"/>
          <w:i w:val="false"/>
          <w:iCs w:val="false"/>
          <w:u w:val="none"/>
          <w:lang w:eastAsia="en-GB"/>
        </w:rPr>
        <w:t xml:space="preserve"> 2016).  Another 2016 study conducted by Boulton, L </w:t>
      </w:r>
      <w:r>
        <w:rPr>
          <w:rFonts w:eastAsia="Times New Roman" w:cs="Arial" w:ascii="Arial" w:hAnsi="Arial"/>
          <w:b w:val="false"/>
          <w:bCs w:val="false"/>
          <w:i/>
          <w:iCs/>
          <w:u w:val="none"/>
          <w:lang w:eastAsia="en-GB"/>
        </w:rPr>
        <w:t>et al</w:t>
      </w:r>
      <w:r>
        <w:rPr>
          <w:rFonts w:eastAsia="Times New Roman" w:cs="Arial" w:ascii="Arial" w:hAnsi="Arial"/>
          <w:b w:val="false"/>
          <w:bCs w:val="false"/>
          <w:i w:val="false"/>
          <w:iCs w:val="false"/>
          <w:u w:val="none"/>
          <w:lang w:eastAsia="en-GB"/>
        </w:rPr>
        <w:t xml:space="preserve"> also identified that there was both a clear drop in the number of officers and the available funding to officers through the Home Office. The study also highlighted there being a clear indication that officers are dealing with large volumes of non traditional police work (Boulton, L </w:t>
      </w:r>
      <w:r>
        <w:rPr>
          <w:rFonts w:eastAsia="Times New Roman" w:cs="Arial" w:ascii="Arial" w:hAnsi="Arial"/>
          <w:b w:val="false"/>
          <w:bCs w:val="false"/>
          <w:i/>
          <w:iCs/>
          <w:u w:val="none"/>
          <w:lang w:eastAsia="en-GB"/>
        </w:rPr>
        <w:t xml:space="preserve">et al, </w:t>
      </w:r>
      <w:r>
        <w:rPr>
          <w:rFonts w:eastAsia="Times New Roman" w:cs="Arial" w:ascii="Arial" w:hAnsi="Arial"/>
          <w:b w:val="false"/>
          <w:bCs w:val="false"/>
          <w:i w:val="false"/>
          <w:iCs w:val="false"/>
          <w:u w:val="none"/>
          <w:lang w:eastAsia="en-GB"/>
        </w:rPr>
        <w:t xml:space="preserve">2016). The available evidence provides clear links between the drop in officers numbers and their abilities to conduct their role. The finding of these studies also provide evidence to there being a potential for instances of volume crime being effected. Whether this is due to officers shutting them down before all reasonable lines of enquiries have been taken as evidenced in Elliot-Davies </w:t>
      </w:r>
      <w:r>
        <w:rPr>
          <w:rFonts w:eastAsia="Times New Roman" w:cs="Arial" w:ascii="Arial" w:hAnsi="Arial"/>
          <w:b w:val="false"/>
          <w:bCs w:val="false"/>
          <w:i/>
          <w:iCs/>
          <w:u w:val="none"/>
          <w:lang w:eastAsia="en-GB"/>
        </w:rPr>
        <w:t>et al</w:t>
      </w:r>
      <w:r>
        <w:rPr>
          <w:rFonts w:eastAsia="Times New Roman" w:cs="Arial" w:ascii="Arial" w:hAnsi="Arial"/>
          <w:b w:val="false"/>
          <w:bCs w:val="false"/>
          <w:i w:val="false"/>
          <w:iCs w:val="false"/>
          <w:u w:val="none"/>
          <w:lang w:eastAsia="en-GB"/>
        </w:rPr>
        <w:t xml:space="preserve"> or the fact that there is not enough officers available or that their time is taken up elsewhere as evidenced in Boulton, L </w:t>
      </w:r>
      <w:r>
        <w:rPr>
          <w:rFonts w:eastAsia="Times New Roman" w:cs="Arial" w:ascii="Arial" w:hAnsi="Arial"/>
          <w:b w:val="false"/>
          <w:bCs w:val="false"/>
          <w:i/>
          <w:iCs/>
          <w:u w:val="none"/>
          <w:lang w:eastAsia="en-GB"/>
        </w:rPr>
        <w:t>et al</w:t>
      </w:r>
      <w:r>
        <w:rPr>
          <w:rFonts w:eastAsia="Times New Roman" w:cs="Arial" w:ascii="Arial" w:hAnsi="Arial"/>
          <w:b w:val="false"/>
          <w:bCs w:val="false"/>
          <w:i w:val="false"/>
          <w:iCs w:val="false"/>
          <w:u w:val="none"/>
          <w:lang w:eastAsia="en-GB"/>
        </w:rPr>
        <w:t>. Although it cannot be proven for definite that the drop in numbers is having an effect, there is enough available evidence to draw the conclusion that volume crime investigations are impacted by the reduced number of officers. In 2022 the number of full time officers stood at 140,228 (Home Office, 2023) which shows that the campaign to increase officer numbers has for the most part been successful. However these number do not even match to the number of officers seen in 2010 and even with the increase it still shows a real world cut in the number of officers. This is also impacted by the fact that 8,117 Officers left the force in 2021-2022 which is the largest seen on record (</w:t>
      </w:r>
      <w:r>
        <w:rPr>
          <w:rFonts w:eastAsia="Times New Roman" w:cs="Arial" w:ascii="Arial" w:hAnsi="Arial"/>
          <w:b w:val="false"/>
          <w:bCs w:val="false"/>
          <w:i/>
          <w:iCs/>
          <w:u w:val="none"/>
          <w:lang w:eastAsia="en-GB"/>
        </w:rPr>
        <w:t xml:space="preserve">ibid), </w:t>
      </w:r>
      <w:r>
        <w:rPr>
          <w:rFonts w:eastAsia="Times New Roman" w:cs="Arial" w:ascii="Arial" w:hAnsi="Arial"/>
          <w:b w:val="false"/>
          <w:bCs w:val="false"/>
          <w:i w:val="false"/>
          <w:iCs w:val="false"/>
          <w:u w:val="none"/>
          <w:lang w:eastAsia="en-GB"/>
        </w:rPr>
        <w:t>showing that this problem does not appear to be improving. The issue of Police staffing is compounded further when looking at sickness within the police. In a 2020 study conducted by Cartwright and Roach it was found that some of main contributors to police sickness were organisational stressors. These stressors include inadequate staffing numbers, heavy workloads, impossible deadlines, demands for lengthy hours of work, and refusal to take annual leave. It was also found that between 2008 and 2018 that the number of full time officers taking a period of absence double from 4.72% to 8.82% (Cartwright, A. and Roach, J, 2020). The study concluded that due to the drop in staffing and funding had the potential to cause well-being issues within police forces. The forced "scaling-back" of funds and resources from police budgets is likely to have had an effect on individuals in UK policing, as fewer staff members were required to perform more work, increasing the workload on those who were still employed (</w:t>
      </w:r>
      <w:r>
        <w:rPr>
          <w:rFonts w:eastAsia="Times New Roman" w:cs="Arial" w:ascii="Arial" w:hAnsi="Arial"/>
          <w:b w:val="false"/>
          <w:bCs w:val="false"/>
          <w:i/>
          <w:iCs/>
          <w:u w:val="none"/>
          <w:lang w:eastAsia="en-GB"/>
        </w:rPr>
        <w:t>Ibid</w:t>
      </w:r>
      <w:r>
        <w:rPr>
          <w:rFonts w:eastAsia="Times New Roman" w:cs="Arial" w:ascii="Arial" w:hAnsi="Arial"/>
          <w:b w:val="false"/>
          <w:bCs w:val="false"/>
          <w:i w:val="false"/>
          <w:iCs w:val="false"/>
          <w:u w:val="none"/>
          <w:lang w:eastAsia="en-GB"/>
        </w:rPr>
        <w:t xml:space="preserve">). More officers will always be a good option when tackling volume crime but when taking in to account officer retirements and officers voluntarily leaving the force there is the potential for these numbers to drop further away from the numbers seen in 2010. Without the required amount of officers available to handle the volume crimes there is a high likelihood that investigations of said crimes will suffer as a result. </w:t>
      </w:r>
    </w:p>
    <w:p>
      <w:pPr>
        <w:pStyle w:val="ListParagraph"/>
        <w:bidi w:val="0"/>
        <w:spacing w:lineRule="auto" w:line="276"/>
        <w:ind w:left="207" w:right="531" w:hanging="0"/>
        <w:jc w:val="left"/>
        <w:rPr>
          <w:rFonts w:ascii="Arial" w:hAnsi="Arial" w:eastAsia="Times New Roman" w:cs="Arial"/>
          <w:lang w:eastAsia="en-GB"/>
        </w:rPr>
      </w:pPr>
      <w:r>
        <w:rPr>
          <w:rFonts w:eastAsia="Times New Roman" w:cs="Arial" w:ascii="Arial" w:hAnsi="Arial"/>
          <w:lang w:eastAsia="en-GB"/>
        </w:rPr>
      </w:r>
    </w:p>
    <w:p>
      <w:pPr>
        <w:pStyle w:val="ListParagraph"/>
        <w:bidi w:val="0"/>
        <w:spacing w:lineRule="auto" w:line="276"/>
        <w:ind w:left="207" w:right="531" w:hanging="0"/>
        <w:jc w:val="left"/>
        <w:rPr/>
      </w:pPr>
      <w:r>
        <w:rPr>
          <w:rFonts w:eastAsia="Times New Roman" w:cs="Arial" w:ascii="Arial" w:hAnsi="Arial"/>
          <w:lang w:eastAsia="en-GB"/>
        </w:rPr>
        <w:t xml:space="preserve">In conclusion, when looking at issues facing UK police forces, there appears to be a number of contribution factors. Evidence points towards the failure of mental health services in the UK becoming an ever increasing problem for the police. Due to significant lack of funding in the service it is falling to the police to attend and deal with mental health related calls whilst also being required to seek support and service for those involved. These calls appear to be taking significant amounts of time away from officers on a daily basis which in turn could be having a huge impacts on an officers ability to tackle volume crimes. Although it cannot be said with certainty, evidence points towards this lack of time potentially negatively impacting volume crime investigations. This lack of available time is compounded further by issues in staffing. Even with police officer numbers at the highest numbers seen since the budget cuts there is still record numbers of officers leaving the force with no evidence pointing towards this declining. Sickness numbers have doubled over the last 8 years due to this staffing issues amongst other organizational problems. Evidence points towards those officers remaining </w:t>
      </w:r>
      <w:r>
        <w:rPr>
          <w:rFonts w:eastAsia="Times New Roman" w:cs="Arial" w:ascii="Arial" w:hAnsi="Arial"/>
          <w:lang w:eastAsia="en-GB"/>
        </w:rPr>
        <w:t>being</w:t>
      </w:r>
      <w:r>
        <w:rPr>
          <w:rFonts w:eastAsia="Times New Roman" w:cs="Arial" w:ascii="Arial" w:hAnsi="Arial"/>
          <w:lang w:eastAsia="en-GB"/>
        </w:rPr>
        <w:t xml:space="preserve"> overworked and under pressure which is leading to investigations being closed earlier, potentially before lines of enquiries are completed. It cannot be confirmed but all evidence points towards there being the potential for volume crime investigations to be suffering as a result. All evidence points towards there being an  understaffed and overworked police force combined with lack of resources and large volumes of non traditional police work. Due to these factors there is a high potential for all investigations including volume crime investigations to suffer as a result. </w:t>
      </w:r>
    </w:p>
    <w:p>
      <w:pPr>
        <w:pStyle w:val="ListParagraph"/>
        <w:bidi w:val="0"/>
        <w:spacing w:lineRule="auto" w:line="276"/>
        <w:ind w:left="207" w:right="531" w:hanging="0"/>
        <w:jc w:val="left"/>
        <w:rPr>
          <w:rFonts w:ascii="Arial" w:hAnsi="Arial" w:eastAsia="Times New Roman" w:cs="Arial"/>
          <w:lang w:eastAsia="en-GB"/>
        </w:rPr>
      </w:pPr>
      <w:r>
        <w:rPr>
          <w:rFonts w:eastAsia="Times New Roman" w:cs="Arial" w:ascii="Arial" w:hAnsi="Arial"/>
          <w:lang w:eastAsia="en-GB"/>
        </w:rPr>
      </w:r>
    </w:p>
    <w:p>
      <w:pPr>
        <w:pStyle w:val="ListParagraph"/>
        <w:bidi w:val="0"/>
        <w:spacing w:lineRule="auto" w:line="276" w:before="0" w:after="160"/>
        <w:ind w:left="0" w:right="567" w:hanging="0"/>
        <w:contextualSpacing/>
        <w:jc w:val="right"/>
        <w:rPr>
          <w:rFonts w:ascii="Times New Roman" w:hAnsi="Times New Roman"/>
          <w:b/>
          <w:b/>
          <w:bCs/>
          <w:u w:val="single"/>
        </w:rPr>
      </w:pPr>
      <w:r>
        <w:rPr>
          <w:rFonts w:eastAsia="Times New Roman" w:cs="Arial" w:ascii="Arial" w:hAnsi="Arial"/>
          <w:b w:val="false"/>
          <w:bCs w:val="false"/>
          <w:i w:val="false"/>
          <w:iCs w:val="false"/>
          <w:u w:val="none"/>
          <w:lang w:eastAsia="en-GB"/>
        </w:rPr>
        <w:t>182</w:t>
      </w:r>
      <w:r>
        <w:rPr>
          <w:rFonts w:eastAsia="Times New Roman" w:cs="Arial" w:ascii="Arial" w:hAnsi="Arial"/>
          <w:b w:val="false"/>
          <w:bCs w:val="false"/>
          <w:i w:val="false"/>
          <w:iCs w:val="false"/>
          <w:u w:val="none"/>
          <w:lang w:eastAsia="en-GB"/>
        </w:rPr>
        <w:t>2</w:t>
      </w:r>
      <w:r>
        <w:rPr>
          <w:rFonts w:eastAsia="Times New Roman" w:cs="Arial" w:ascii="Arial" w:hAnsi="Arial"/>
          <w:b w:val="false"/>
          <w:bCs w:val="false"/>
          <w:i w:val="false"/>
          <w:iCs w:val="false"/>
          <w:u w:val="none"/>
          <w:lang w:eastAsia="en-GB"/>
        </w:rPr>
        <w:t xml:space="preserve"> Words</w:t>
      </w:r>
    </w:p>
    <w:p>
      <w:pPr>
        <w:pStyle w:val="ListParagraph"/>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before="0" w:after="160"/>
        <w:ind w:left="720" w:right="531" w:hanging="0"/>
        <w:contextualSpacing/>
        <w:jc w:val="left"/>
        <w:rPr>
          <w:rFonts w:ascii="Times New Roman" w:hAnsi="Times New Roman"/>
          <w:b/>
          <w:b/>
          <w:bCs/>
          <w:u w:val="single"/>
        </w:rPr>
      </w:pPr>
      <w:r>
        <w:rPr>
          <w:rFonts w:eastAsia="Times New Roman" w:cs="Arial" w:ascii="Arial" w:hAnsi="Arial"/>
          <w:b/>
          <w:bCs/>
          <w:i w:val="false"/>
          <w:iCs w:val="false"/>
          <w:u w:val="single"/>
          <w:lang w:eastAsia="en-GB"/>
        </w:rPr>
        <w:t>Bibliography</w:t>
      </w:r>
    </w:p>
    <w:p>
      <w:pPr>
        <w:pStyle w:val="Normal"/>
        <w:bidi w:val="0"/>
        <w:spacing w:lineRule="auto" w:line="276"/>
        <w:ind w:left="0" w:right="567" w:hanging="0"/>
        <w:jc w:val="left"/>
        <w:rPr/>
      </w:pPr>
      <w:r>
        <w:rPr>
          <w:rFonts w:eastAsia="Times New Roman" w:cs="Arial" w:ascii="Arial" w:hAnsi="Arial"/>
          <w:b w:val="false"/>
          <w:bCs w:val="false"/>
          <w:u w:val="none"/>
          <w:lang w:eastAsia="en-GB"/>
        </w:rPr>
        <w:t xml:space="preserve">Beresford, P. (2013) Mental Health is in No Fit State, Whatever the Politicians Say. 2013. Available online: </w:t>
      </w:r>
      <w:hyperlink r:id="rId2" w:tgtFrame="_blank">
        <w:r>
          <w:rPr>
            <w:rStyle w:val="InternetLink"/>
          </w:rPr>
          <w:t>https://theconversation.com/mental-health-is-in-no-fit-state-whatever-the-politicians-say-15743</w:t>
        </w:r>
      </w:hyperlink>
      <w:r>
        <w:rPr>
          <w:rFonts w:eastAsia="Times New Roman" w:cs="Arial" w:ascii="Arial" w:hAnsi="Arial"/>
          <w:b w:val="false"/>
          <w:bCs w:val="false"/>
          <w:u w:val="none"/>
          <w:lang w:eastAsia="en-GB"/>
        </w:rPr>
        <w:t xml:space="preserve"> (accessed on 27 February 2023)</w:t>
      </w:r>
    </w:p>
    <w:p>
      <w:pPr>
        <w:pStyle w:val="Normal"/>
        <w:bidi w:val="0"/>
        <w:spacing w:lineRule="auto" w:line="276"/>
        <w:ind w:left="207" w:right="531" w:hanging="0"/>
        <w:jc w:val="left"/>
        <w:rPr>
          <w:rFonts w:ascii="Arial" w:hAnsi="Arial" w:eastAsia="Times New Roman" w:cs="Arial"/>
          <w:b w:val="false"/>
          <w:b w:val="false"/>
          <w:bCs w:val="false"/>
          <w:u w:val="none"/>
          <w:lang w:eastAsia="en-GB"/>
        </w:rPr>
      </w:pPr>
      <w:r>
        <w:rPr>
          <w:rFonts w:eastAsia="Times New Roman" w:cs="Arial" w:ascii="Arial" w:hAnsi="Arial"/>
          <w:b w:val="false"/>
          <w:bCs w:val="false"/>
          <w:u w:val="none"/>
          <w:lang w:eastAsia="en-GB"/>
        </w:rPr>
      </w:r>
    </w:p>
    <w:p>
      <w:pPr>
        <w:pStyle w:val="ListParagraph"/>
        <w:bidi w:val="0"/>
        <w:spacing w:lineRule="auto" w:line="276"/>
        <w:ind w:right="531" w:hanging="0"/>
        <w:jc w:val="left"/>
        <w:rPr>
          <w:b w:val="false"/>
          <w:b w:val="false"/>
          <w:bCs w:val="false"/>
          <w:u w:val="none"/>
        </w:rPr>
      </w:pPr>
      <w:r>
        <w:rPr>
          <w:rFonts w:eastAsia="Times New Roman" w:cs="Arial" w:ascii="Arial" w:hAnsi="Arial"/>
          <w:b w:val="false"/>
          <w:bCs w:val="false"/>
          <w:u w:val="none"/>
          <w:lang w:eastAsia="en-GB"/>
        </w:rPr>
        <w:t xml:space="preserve">Boden, M, Zimmerman, L., Azevedo, K. J., Ruzek, J. I., Gala, S., Abdel Magid, H. S., Cohen, N., Walser, R., Mahtani, N. D., Hoggatt, K. J., &amp; McLean, C. P. (2021). Addressing the mental health impact of COVID-19 through population health. </w:t>
      </w:r>
      <w:r>
        <w:rPr>
          <w:rFonts w:eastAsia="Times New Roman" w:cs="Arial" w:ascii="Arial" w:hAnsi="Arial"/>
          <w:b w:val="false"/>
          <w:bCs w:val="false"/>
          <w:i/>
          <w:u w:val="none"/>
          <w:lang w:eastAsia="en-GB"/>
        </w:rPr>
        <w:t>Clinical Psychology Review</w:t>
      </w:r>
      <w:r>
        <w:rPr>
          <w:rFonts w:eastAsia="Times New Roman" w:cs="Arial" w:ascii="Arial" w:hAnsi="Arial"/>
          <w:b w:val="false"/>
          <w:bCs w:val="false"/>
          <w:u w:val="none"/>
          <w:lang w:eastAsia="en-GB"/>
        </w:rPr>
        <w:t xml:space="preserve">, </w:t>
      </w:r>
      <w:r>
        <w:rPr>
          <w:rFonts w:eastAsia="Times New Roman" w:cs="Arial" w:ascii="Arial" w:hAnsi="Arial"/>
          <w:b w:val="false"/>
          <w:bCs w:val="false"/>
          <w:i/>
          <w:u w:val="none"/>
          <w:lang w:eastAsia="en-GB"/>
        </w:rPr>
        <w:t>85</w:t>
      </w:r>
      <w:r>
        <w:rPr>
          <w:rFonts w:eastAsia="Times New Roman" w:cs="Arial" w:ascii="Arial" w:hAnsi="Arial"/>
          <w:b w:val="false"/>
          <w:bCs w:val="false"/>
          <w:u w:val="none"/>
          <w:lang w:eastAsia="en-GB"/>
        </w:rPr>
        <w:t xml:space="preserve">, 102006–102006. Available at: </w:t>
      </w:r>
      <w:hyperlink r:id="rId3">
        <w:r>
          <w:rPr>
            <w:rStyle w:val="InternetLink"/>
            <w:b w:val="false"/>
            <w:bCs w:val="false"/>
            <w:u w:val="none"/>
          </w:rPr>
          <w:t>https://doi.org/10.1016/j.cpr.2021.102006</w:t>
        </w:r>
      </w:hyperlink>
      <w:r>
        <w:rPr>
          <w:rFonts w:eastAsia="Times New Roman" w:cs="Arial" w:ascii="Arial" w:hAnsi="Arial"/>
          <w:b w:val="false"/>
          <w:bCs w:val="false"/>
          <w:u w:val="none"/>
          <w:lang w:eastAsia="en-GB"/>
        </w:rPr>
        <w:t>. (Accessed: 17 February 2023)</w:t>
      </w:r>
    </w:p>
    <w:p>
      <w:pPr>
        <w:pStyle w:val="ListParagraph"/>
        <w:bidi w:val="0"/>
        <w:spacing w:lineRule="auto" w:line="276"/>
        <w:ind w:left="207" w:right="531" w:hanging="0"/>
        <w:jc w:val="left"/>
        <w:rPr>
          <w:rFonts w:ascii="Arial" w:hAnsi="Arial" w:eastAsia="Times New Roman" w:cs="Arial"/>
          <w:lang w:eastAsia="en-GB"/>
        </w:rPr>
      </w:pPr>
      <w:r>
        <w:rPr>
          <w:rFonts w:eastAsia="Times New Roman" w:cs="Arial" w:ascii="Arial" w:hAnsi="Arial"/>
          <w:lang w:eastAsia="en-GB"/>
        </w:rPr>
      </w:r>
    </w:p>
    <w:p>
      <w:pPr>
        <w:pStyle w:val="Normal"/>
        <w:bidi w:val="0"/>
        <w:spacing w:lineRule="auto" w:line="276"/>
        <w:ind w:right="531" w:hanging="0"/>
        <w:jc w:val="left"/>
        <w:rPr/>
      </w:pPr>
      <w:r>
        <w:rPr>
          <w:rFonts w:eastAsia="Times New Roman" w:cs="Arial" w:ascii="Arial" w:hAnsi="Arial"/>
          <w:b w:val="false"/>
          <w:bCs w:val="false"/>
          <w:u w:val="none"/>
          <w:lang w:eastAsia="en-GB"/>
        </w:rPr>
        <w:t xml:space="preserve">Boulton, L., McManus, M., Metcalfe, L., Brian, D., &amp; Dawson, I. (2017). Calls for police service: Understanding the demand profile and the UK police response. </w:t>
      </w:r>
      <w:r>
        <w:rPr>
          <w:rFonts w:eastAsia="Times New Roman" w:cs="Arial" w:ascii="Arial" w:hAnsi="Arial"/>
          <w:b w:val="false"/>
          <w:bCs w:val="false"/>
          <w:i/>
          <w:u w:val="none"/>
          <w:lang w:eastAsia="en-GB"/>
        </w:rPr>
        <w:t>The Police Journal</w:t>
      </w:r>
      <w:r>
        <w:rPr>
          <w:rFonts w:eastAsia="Times New Roman" w:cs="Arial" w:ascii="Arial" w:hAnsi="Arial"/>
          <w:b w:val="false"/>
          <w:bCs w:val="false"/>
          <w:u w:val="none"/>
          <w:lang w:eastAsia="en-GB"/>
        </w:rPr>
        <w:t xml:space="preserve">, </w:t>
      </w:r>
      <w:r>
        <w:rPr>
          <w:rFonts w:eastAsia="Times New Roman" w:cs="Arial" w:ascii="Arial" w:hAnsi="Arial"/>
          <w:b w:val="false"/>
          <w:bCs w:val="false"/>
          <w:i/>
          <w:u w:val="none"/>
          <w:lang w:eastAsia="en-GB"/>
        </w:rPr>
        <w:t>90</w:t>
      </w:r>
      <w:r>
        <w:rPr>
          <w:rFonts w:eastAsia="Times New Roman" w:cs="Arial" w:ascii="Arial" w:hAnsi="Arial"/>
          <w:b w:val="false"/>
          <w:bCs w:val="false"/>
          <w:u w:val="none"/>
          <w:lang w:eastAsia="en-GB"/>
        </w:rPr>
        <w:t xml:space="preserve">(1), 70–85. Available at: </w:t>
      </w:r>
      <w:hyperlink r:id="rId4">
        <w:r>
          <w:rPr>
            <w:rStyle w:val="InternetLink"/>
            <w:rFonts w:eastAsia="Times New Roman" w:cs="Arial" w:ascii="Arial" w:hAnsi="Arial"/>
            <w:b w:val="false"/>
            <w:bCs w:val="false"/>
            <w:u w:val="none"/>
            <w:lang w:eastAsia="en-GB"/>
          </w:rPr>
          <w:t>https://doi</w:t>
        </w:r>
      </w:hyperlink>
      <w:r>
        <w:rPr>
          <w:rFonts w:eastAsia="Times New Roman" w:cs="Arial" w:ascii="Arial" w:hAnsi="Arial"/>
          <w:b w:val="false"/>
          <w:bCs w:val="false"/>
          <w:u w:val="none"/>
          <w:lang w:eastAsia="en-GB"/>
        </w:rPr>
        <w:t xml:space="preserve"> org.ezproxy.uwtsd.ac.uk/</w:t>
      </w:r>
      <w:hyperlink r:id="rId5">
        <w:r>
          <w:rPr>
            <w:rStyle w:val="InternetLink"/>
          </w:rPr>
          <w:t>10.1177/0032258X16671032</w:t>
        </w:r>
      </w:hyperlink>
      <w:r>
        <w:rPr>
          <w:rFonts w:eastAsia="Times New Roman" w:cs="Arial" w:ascii="Arial" w:hAnsi="Arial"/>
          <w:b w:val="false"/>
          <w:bCs w:val="false"/>
          <w:u w:val="none"/>
          <w:lang w:eastAsia="en-GB"/>
        </w:rPr>
        <w:t xml:space="preserve"> (Accessed: 18 February 2023).</w:t>
      </w:r>
    </w:p>
    <w:p>
      <w:pPr>
        <w:pStyle w:val="Normal"/>
        <w:bidi w:val="0"/>
        <w:spacing w:lineRule="auto" w:line="276"/>
        <w:ind w:left="207" w:right="531" w:hanging="0"/>
        <w:jc w:val="left"/>
        <w:rPr>
          <w:rFonts w:ascii="Arial" w:hAnsi="Arial" w:eastAsia="Times New Roman" w:cs="Arial"/>
          <w:b w:val="false"/>
          <w:b w:val="false"/>
          <w:bCs w:val="false"/>
          <w:u w:val="none"/>
          <w:lang w:eastAsia="en-GB"/>
        </w:rPr>
      </w:pPr>
      <w:r>
        <w:rPr>
          <w:rFonts w:eastAsia="Times New Roman" w:cs="Arial" w:ascii="Arial" w:hAnsi="Arial"/>
          <w:b w:val="false"/>
          <w:bCs w:val="false"/>
          <w:u w:val="none"/>
          <w:lang w:eastAsia="en-GB"/>
        </w:rPr>
      </w:r>
    </w:p>
    <w:p>
      <w:pPr>
        <w:pStyle w:val="ListParagraph"/>
        <w:bidi w:val="0"/>
        <w:spacing w:lineRule="auto" w:line="276"/>
        <w:ind w:right="531" w:hanging="0"/>
        <w:jc w:val="left"/>
        <w:rPr/>
      </w:pPr>
      <w:r>
        <w:rPr>
          <w:rFonts w:eastAsia="Times New Roman" w:cs="Arial" w:ascii="Arial" w:hAnsi="Arial"/>
          <w:b w:val="false"/>
          <w:bCs w:val="false"/>
          <w:u w:val="none"/>
          <w:lang w:eastAsia="en-GB"/>
        </w:rPr>
        <w:t xml:space="preserve">Campbell, D. (2020) </w:t>
      </w:r>
      <w:r>
        <w:rPr>
          <w:rFonts w:eastAsia="Times New Roman" w:cs="Arial" w:ascii="Arial" w:hAnsi="Arial"/>
          <w:b w:val="false"/>
          <w:bCs w:val="false"/>
          <w:i/>
          <w:u w:val="none"/>
          <w:lang w:eastAsia="en-GB"/>
        </w:rPr>
        <w:t>Police 999 callouts to people suffering mental health crises soar</w:t>
      </w:r>
      <w:r>
        <w:rPr>
          <w:rFonts w:eastAsia="Times New Roman" w:cs="Arial" w:ascii="Arial" w:hAnsi="Arial"/>
          <w:b w:val="false"/>
          <w:bCs w:val="false"/>
          <w:u w:val="none"/>
          <w:lang w:eastAsia="en-GB"/>
        </w:rPr>
        <w:t xml:space="preserve">. Available at: https://www.theguardian.com/society/2020/oct/18/police-999-callouts-to-people-suffering-mental-health-crises-soars (Accessed: 17 February 2023). </w:t>
      </w:r>
    </w:p>
    <w:p>
      <w:pPr>
        <w:pStyle w:val="ListParagraph"/>
        <w:bidi w:val="0"/>
        <w:spacing w:lineRule="auto" w:line="276"/>
        <w:ind w:left="207" w:right="531" w:hanging="0"/>
        <w:jc w:val="left"/>
        <w:rPr>
          <w:rFonts w:ascii="Arial" w:hAnsi="Arial" w:eastAsia="Times New Roman" w:cs="Arial"/>
          <w:b w:val="false"/>
          <w:b w:val="false"/>
          <w:bCs w:val="false"/>
          <w:u w:val="none"/>
          <w:lang w:eastAsia="en-GB"/>
        </w:rPr>
      </w:pPr>
      <w:r>
        <w:rPr>
          <w:rFonts w:eastAsia="Times New Roman" w:cs="Arial" w:ascii="Arial" w:hAnsi="Arial"/>
          <w:b w:val="false"/>
          <w:bCs w:val="false"/>
          <w:u w:val="none"/>
          <w:lang w:eastAsia="en-GB"/>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 xml:space="preserve">Cartwright, A. and Roach, J. (2020). The Wellbeing of UK Police: A Study of Recorded Absences from Work of UK Police Employees Due to Psychological Illness and Stress Using Freedom of Information Act Data. </w:t>
      </w:r>
      <w:r>
        <w:rPr>
          <w:rFonts w:eastAsia="Times New Roman" w:cs="Arial" w:ascii="Arial" w:hAnsi="Arial"/>
          <w:b w:val="false"/>
          <w:bCs w:val="false"/>
          <w:i/>
          <w:iCs w:val="false"/>
          <w:u w:val="none"/>
          <w:lang w:eastAsia="en-GB"/>
        </w:rPr>
        <w:t>Policing: A Journal of Policy and Practice</w:t>
      </w:r>
      <w:r>
        <w:rPr>
          <w:rFonts w:eastAsia="Times New Roman" w:cs="Arial" w:ascii="Arial" w:hAnsi="Arial"/>
          <w:b w:val="false"/>
          <w:bCs w:val="false"/>
          <w:i w:val="false"/>
          <w:iCs w:val="false"/>
          <w:u w:val="none"/>
          <w:lang w:eastAsia="en-GB"/>
        </w:rPr>
        <w:t>, 15(1). Available at doi:https://doi.org/10.1093/police/paaa033. (Accessed: 27 February 2023).</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 xml:space="preserve">College of Policing (2016) Fair. Available at: https://www.college.police.uk/app/stop-and-search/fair (Accessed: 28 January 2023). </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 xml:space="preserve">College of Policing (n.d) Impartiality. Available at: https://profdev.college.police.uk/competency-values/impartiality/ (Accessed: 27 January 2023). </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 xml:space="preserve">Collins, J., Noble, G., Poynting, S., &amp; Tabar, P. (2002). Gangs, crime and community safety: Perceptions and experiences in multicultural Sydney. Sydney, NSW: University of Technology. (Accessed 8 February 2023) </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 xml:space="preserve">CPS (2021) Former police officer jailed for National Action membership. Available at: https://www.cps.gov.uk/cps/news/former-police-officer-jailed-national-action-membership (Accessed: 27 January 2023). </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ind w:right="531" w:hanging="0"/>
        <w:jc w:val="left"/>
        <w:rPr/>
      </w:pPr>
      <w:r>
        <w:rPr>
          <w:rFonts w:eastAsia="Times New Roman" w:cs="Arial" w:ascii="Arial" w:hAnsi="Arial"/>
          <w:b w:val="false"/>
          <w:bCs w:val="false"/>
          <w:u w:val="none"/>
          <w:lang w:eastAsia="en-GB"/>
        </w:rPr>
        <w:t xml:space="preserve">Cummins, I. (2018). The Impact of Austerity on Mental Health Service Provision: A UK Perspective. </w:t>
      </w:r>
      <w:r>
        <w:rPr>
          <w:rFonts w:eastAsia="Times New Roman" w:cs="Arial" w:ascii="Arial" w:hAnsi="Arial"/>
          <w:b w:val="false"/>
          <w:bCs w:val="false"/>
          <w:i/>
          <w:u w:val="none"/>
          <w:lang w:eastAsia="en-GB"/>
        </w:rPr>
        <w:t>International Journal of Environmental Research and Public Health</w:t>
      </w:r>
      <w:r>
        <w:rPr>
          <w:rFonts w:eastAsia="Times New Roman" w:cs="Arial" w:ascii="Arial" w:hAnsi="Arial"/>
          <w:b w:val="false"/>
          <w:bCs w:val="false"/>
          <w:u w:val="none"/>
          <w:lang w:eastAsia="en-GB"/>
        </w:rPr>
        <w:t>, [online] 15(6), p.1145. Availble at doi:</w:t>
      </w:r>
      <w:hyperlink r:id="rId6">
        <w:r>
          <w:rPr>
            <w:rStyle w:val="InternetLink"/>
          </w:rPr>
          <w:t>https://doi.org/10.3390/ijerph15061145</w:t>
        </w:r>
      </w:hyperlink>
      <w:r>
        <w:rPr>
          <w:rFonts w:eastAsia="Times New Roman" w:cs="Arial" w:ascii="Arial" w:hAnsi="Arial"/>
          <w:b w:val="false"/>
          <w:bCs w:val="false"/>
          <w:u w:val="none"/>
          <w:lang w:eastAsia="en-GB"/>
        </w:rPr>
        <w:t>. (Accessed: 27 February 2023)</w:t>
      </w:r>
    </w:p>
    <w:p>
      <w:pPr>
        <w:pStyle w:val="Normal"/>
        <w:bidi w:val="0"/>
        <w:spacing w:lineRule="auto" w:line="276"/>
        <w:ind w:left="207" w:right="531" w:hanging="0"/>
        <w:jc w:val="left"/>
        <w:rPr>
          <w:rFonts w:ascii="Arial" w:hAnsi="Arial" w:eastAsia="Times New Roman" w:cs="Arial"/>
          <w:b w:val="false"/>
          <w:b w:val="false"/>
          <w:bCs w:val="false"/>
          <w:u w:val="none"/>
          <w:lang w:eastAsia="en-GB"/>
        </w:rPr>
      </w:pPr>
      <w:r>
        <w:rPr>
          <w:rFonts w:eastAsia="Times New Roman" w:cs="Arial" w:ascii="Arial" w:hAnsi="Arial"/>
          <w:b w:val="false"/>
          <w:bCs w:val="false"/>
          <w:u w:val="none"/>
          <w:lang w:eastAsia="en-GB"/>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Curtis-Ham, S., Bernasco, W., Medvedev, O.N. et al. A framework for estimating crime location choice based on awareness space. Crime Sci 9, 23 (2020). https://doi.org/10.1186/s40163-020-00132-7 (Accessed: 6 February 2023)</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ind w:right="531" w:hanging="0"/>
        <w:jc w:val="left"/>
        <w:rPr/>
      </w:pPr>
      <w:r>
        <w:rPr>
          <w:rFonts w:eastAsia="Times New Roman" w:cs="Arial" w:ascii="Arial" w:hAnsi="Arial"/>
          <w:b w:val="false"/>
          <w:bCs w:val="false"/>
          <w:u w:val="none"/>
          <w:lang w:eastAsia="en-GB"/>
        </w:rPr>
        <w:t xml:space="preserve">Elliott-Davies, M., Donnelly, J., Boag-Munroe, F. and Van Mechelen, D., (2016). ‘Getting a battering’ The perceived impact of demand and capacity imbalance within the Police Service of England and Wales: A qualitative review. </w:t>
      </w:r>
      <w:r>
        <w:rPr>
          <w:rFonts w:eastAsia="Times New Roman" w:cs="Arial" w:ascii="Arial" w:hAnsi="Arial"/>
          <w:b w:val="false"/>
          <w:bCs w:val="false"/>
          <w:i/>
          <w:u w:val="none"/>
          <w:lang w:eastAsia="en-GB"/>
        </w:rPr>
        <w:t>The police journal</w:t>
      </w:r>
      <w:r>
        <w:rPr>
          <w:rFonts w:eastAsia="Times New Roman" w:cs="Arial" w:ascii="Arial" w:hAnsi="Arial"/>
          <w:b w:val="false"/>
          <w:bCs w:val="false"/>
          <w:u w:val="none"/>
          <w:lang w:eastAsia="en-GB"/>
        </w:rPr>
        <w:t xml:space="preserve">, </w:t>
      </w:r>
      <w:r>
        <w:rPr>
          <w:rFonts w:eastAsia="Times New Roman" w:cs="Arial" w:ascii="Arial" w:hAnsi="Arial"/>
          <w:b w:val="false"/>
          <w:bCs w:val="false"/>
          <w:i/>
          <w:u w:val="none"/>
          <w:lang w:eastAsia="en-GB"/>
        </w:rPr>
        <w:t>89</w:t>
      </w:r>
      <w:r>
        <w:rPr>
          <w:rFonts w:eastAsia="Times New Roman" w:cs="Arial" w:ascii="Arial" w:hAnsi="Arial"/>
          <w:b w:val="false"/>
          <w:bCs w:val="false"/>
          <w:u w:val="none"/>
          <w:lang w:eastAsia="en-GB"/>
        </w:rPr>
        <w:t xml:space="preserve">(2), pp.93-116. Available at: </w:t>
      </w:r>
      <w:hyperlink r:id="rId7">
        <w:r>
          <w:rPr>
            <w:rStyle w:val="InternetLink"/>
          </w:rPr>
          <w:t>https://journals-sagepub-com.ezproxy.uwtsd.ac.uk/doi/pdf/10.1177/0032258X16642234</w:t>
        </w:r>
      </w:hyperlink>
      <w:r>
        <w:rPr>
          <w:rFonts w:eastAsia="Times New Roman" w:cs="Arial" w:ascii="Arial" w:hAnsi="Arial"/>
          <w:b w:val="false"/>
          <w:bCs w:val="false"/>
          <w:u w:val="none"/>
          <w:lang w:eastAsia="en-GB"/>
        </w:rPr>
        <w:t xml:space="preserve"> (Accessed: 18 February 2023).</w:t>
      </w:r>
    </w:p>
    <w:p>
      <w:pPr>
        <w:pStyle w:val="Normal"/>
        <w:bidi w:val="0"/>
        <w:spacing w:lineRule="auto" w:line="276"/>
        <w:ind w:left="207" w:right="531" w:hanging="0"/>
        <w:jc w:val="left"/>
        <w:rPr>
          <w:rFonts w:ascii="Arial" w:hAnsi="Arial" w:eastAsia="Times New Roman" w:cs="Arial"/>
          <w:b w:val="false"/>
          <w:b w:val="false"/>
          <w:bCs w:val="false"/>
          <w:u w:val="none"/>
          <w:lang w:eastAsia="en-GB"/>
        </w:rPr>
      </w:pPr>
      <w:r>
        <w:rPr>
          <w:rFonts w:eastAsia="Times New Roman" w:cs="Arial" w:ascii="Arial" w:hAnsi="Arial"/>
          <w:b w:val="false"/>
          <w:bCs w:val="false"/>
          <w:u w:val="none"/>
          <w:lang w:eastAsia="en-GB"/>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Equality and Human Rights Commission, 2010. Stop and think: A critical review of the use of stop and search powers in England and Wales. Available at: https://tandis.odihr.pl/handle/20.500.12389/21098 (Accessed: 7 February 2023).</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Ethnicity Facts and Figures (2021) Confidence in the local police: Available at: https://www.ethnicity-facts-figures.service.gov.uk/crime-justice-and-the-law/policing/confidence-in-the-local-police/latest#by-ethnicity-over-time (Accessed: 8 February 2023)</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 xml:space="preserve">Ethnicity facts and figures (2022) Arrests. Place of Available at: https://www.ethnicity-facts-figures.service.gov.uk/crime-justice-and-the-law/policing/number-of-arrests/latest#by-ethnicity-over-time-from-2019 (Accessed: 7 February 2023). </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Forscher, P,  Lai, C. K., Axt, J. R., Ebersole, C. R., Herman, M., Devine, P. G., &amp; Nosek, B. A. (2019). A Meta-Analysis of Procedures to Change Implicit Measures. Journal of Personality and Social Psychology, 117(3), 522–559. https://doi.org/10.1037/pspa0000160 (Accessed: 28 January 2023)</w:t>
      </w:r>
    </w:p>
    <w:p>
      <w:pPr>
        <w:pStyle w:val="Normal"/>
        <w:bidi w:val="0"/>
        <w:spacing w:lineRule="auto" w:line="276" w:before="0" w:after="160"/>
        <w:ind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ind w:right="531" w:hanging="0"/>
        <w:jc w:val="left"/>
        <w:rPr>
          <w:b w:val="false"/>
          <w:b w:val="false"/>
          <w:bCs w:val="false"/>
          <w:u w:val="none"/>
        </w:rPr>
      </w:pPr>
      <w:r>
        <w:rPr>
          <w:rFonts w:eastAsia="Times New Roman" w:cs="Arial" w:ascii="Arial" w:hAnsi="Arial"/>
          <w:b w:val="false"/>
          <w:bCs w:val="false"/>
          <w:u w:val="none"/>
          <w:lang w:eastAsia="en-GB"/>
        </w:rPr>
        <w:t xml:space="preserve">Her Majesty’s Inspectorate of Constabulary and Fire &amp; Rescue Service (2018) </w:t>
      </w:r>
      <w:bookmarkStart w:id="0" w:name="page3R_mcid0"/>
      <w:bookmarkEnd w:id="0"/>
      <w:r>
        <w:rPr>
          <w:rFonts w:eastAsia="Times New Roman" w:cs="Arial" w:ascii="sans-serif" w:hAnsi="sans-serif"/>
          <w:b w:val="false"/>
          <w:bCs w:val="false"/>
          <w:u w:val="none"/>
          <w:lang w:eastAsia="en-GB"/>
        </w:rPr>
        <w:t xml:space="preserve">Policing and Mental Health </w:t>
      </w:r>
      <w:r>
        <w:rPr>
          <w:rFonts w:eastAsia="Times New Roman" w:cs="Arial" w:ascii="Arial" w:hAnsi="Arial"/>
          <w:b w:val="false"/>
          <w:bCs w:val="false"/>
          <w:u w:val="none"/>
          <w:lang w:eastAsia="en-GB"/>
        </w:rPr>
        <w:t xml:space="preserve">Picking Up the Pieces. Available at: https://www.justiceinspectorates.gov.uk/hmicfrs/wp-content/uploads/policing-and-mental-health-picking-up-the-pieces.pdf (Accessed: 17 February 2023). </w:t>
      </w:r>
    </w:p>
    <w:p>
      <w:pPr>
        <w:pStyle w:val="Normal"/>
        <w:bidi w:val="0"/>
        <w:spacing w:lineRule="auto" w:line="276"/>
        <w:ind w:left="207" w:right="531" w:hanging="0"/>
        <w:jc w:val="left"/>
        <w:rPr>
          <w:rFonts w:ascii="Arial" w:hAnsi="Arial" w:eastAsia="Times New Roman" w:cs="Arial"/>
          <w:lang w:eastAsia="en-GB"/>
        </w:rPr>
      </w:pPr>
      <w:r>
        <w:rPr>
          <w:rFonts w:eastAsia="Times New Roman" w:cs="Arial" w:ascii="Arial" w:hAnsi="Arial"/>
          <w:lang w:eastAsia="en-GB"/>
        </w:rPr>
      </w:r>
    </w:p>
    <w:p>
      <w:pPr>
        <w:pStyle w:val="ListParagraph"/>
        <w:bidi w:val="0"/>
        <w:spacing w:lineRule="auto" w:line="276"/>
        <w:ind w:right="531" w:hanging="0"/>
        <w:jc w:val="left"/>
        <w:rPr/>
      </w:pPr>
      <w:r>
        <w:rPr>
          <w:rFonts w:eastAsia="Times New Roman" w:cs="Arial" w:ascii="Arial" w:hAnsi="Arial"/>
          <w:b w:val="false"/>
          <w:bCs w:val="false"/>
          <w:u w:val="none"/>
          <w:lang w:eastAsia="en-GB"/>
        </w:rPr>
        <w:t xml:space="preserve">Home Office (2010) </w:t>
      </w:r>
      <w:r>
        <w:rPr>
          <w:rFonts w:eastAsia="Times New Roman" w:cs="Arial" w:ascii="Arial" w:hAnsi="Arial"/>
          <w:b w:val="false"/>
          <w:bCs w:val="false"/>
          <w:i/>
          <w:u w:val="none"/>
          <w:lang w:eastAsia="en-GB"/>
        </w:rPr>
        <w:t>Police Service Strength</w:t>
      </w:r>
      <w:r>
        <w:rPr>
          <w:rFonts w:eastAsia="Times New Roman" w:cs="Arial" w:ascii="Arial" w:hAnsi="Arial"/>
          <w:b w:val="false"/>
          <w:bCs w:val="false"/>
          <w:u w:val="none"/>
          <w:lang w:eastAsia="en-GB"/>
        </w:rPr>
        <w:t xml:space="preserve">. Available at: https://assets.publishing.service.gov.uk/government/uploads/system/uploads/attachment_data/file/115745/hosb1410.pdf (Accessed: 18 February 2023). </w:t>
      </w:r>
    </w:p>
    <w:p>
      <w:pPr>
        <w:pStyle w:val="ListParagraph"/>
        <w:bidi w:val="0"/>
        <w:spacing w:lineRule="auto" w:line="276"/>
        <w:ind w:left="207" w:right="531" w:hanging="0"/>
        <w:jc w:val="left"/>
        <w:rPr>
          <w:rFonts w:ascii="Arial" w:hAnsi="Arial" w:eastAsia="Times New Roman" w:cs="Arial"/>
          <w:b w:val="false"/>
          <w:b w:val="false"/>
          <w:bCs w:val="false"/>
          <w:u w:val="none"/>
          <w:lang w:eastAsia="en-GB"/>
        </w:rPr>
      </w:pPr>
      <w:r>
        <w:rPr>
          <w:rFonts w:eastAsia="Times New Roman" w:cs="Arial" w:ascii="Arial" w:hAnsi="Arial"/>
          <w:b w:val="false"/>
          <w:bCs w:val="false"/>
          <w:u w:val="none"/>
          <w:lang w:eastAsia="en-GB"/>
        </w:rPr>
      </w:r>
    </w:p>
    <w:p>
      <w:pPr>
        <w:pStyle w:val="ListParagraph"/>
        <w:bidi w:val="0"/>
        <w:spacing w:lineRule="auto" w:line="276"/>
        <w:ind w:right="531" w:hanging="0"/>
        <w:jc w:val="left"/>
        <w:rPr/>
      </w:pPr>
      <w:r>
        <w:rPr>
          <w:rFonts w:eastAsia="Times New Roman" w:cs="Arial" w:ascii="Arial" w:hAnsi="Arial"/>
          <w:b w:val="false"/>
          <w:bCs w:val="false"/>
          <w:u w:val="none"/>
          <w:lang w:eastAsia="en-GB"/>
        </w:rPr>
        <w:t xml:space="preserve">Home Office (2019) </w:t>
      </w:r>
      <w:r>
        <w:rPr>
          <w:rFonts w:eastAsia="Times New Roman" w:cs="Arial" w:ascii="Arial" w:hAnsi="Arial"/>
          <w:b w:val="false"/>
          <w:bCs w:val="false"/>
          <w:i/>
          <w:u w:val="none"/>
          <w:lang w:eastAsia="en-GB"/>
        </w:rPr>
        <w:t>National campaign to recruit 20,000 police officers launches today</w:t>
      </w:r>
      <w:r>
        <w:rPr>
          <w:rFonts w:eastAsia="Times New Roman" w:cs="Arial" w:ascii="Arial" w:hAnsi="Arial"/>
          <w:b w:val="false"/>
          <w:bCs w:val="false"/>
          <w:u w:val="none"/>
          <w:lang w:eastAsia="en-GB"/>
        </w:rPr>
        <w:t xml:space="preserve">. Available at: https://www.gov.uk/government/news/national-campaign-to-recruit-20000-police-officers-launches-today (Accessed: 18 February 2023). </w:t>
      </w:r>
    </w:p>
    <w:p>
      <w:pPr>
        <w:pStyle w:val="ListParagraph"/>
        <w:bidi w:val="0"/>
        <w:spacing w:lineRule="auto" w:line="276"/>
        <w:ind w:left="207" w:right="531" w:hanging="0"/>
        <w:jc w:val="left"/>
        <w:rPr>
          <w:rFonts w:ascii="Arial" w:hAnsi="Arial" w:eastAsia="Times New Roman" w:cs="Arial"/>
          <w:b w:val="false"/>
          <w:b w:val="false"/>
          <w:bCs w:val="false"/>
          <w:u w:val="none"/>
          <w:lang w:eastAsia="en-GB"/>
        </w:rPr>
      </w:pPr>
      <w:r>
        <w:rPr>
          <w:rFonts w:eastAsia="Times New Roman" w:cs="Arial" w:ascii="Arial" w:hAnsi="Arial"/>
          <w:b w:val="false"/>
          <w:bCs w:val="false"/>
          <w:u w:val="none"/>
          <w:lang w:eastAsia="en-GB"/>
        </w:rPr>
      </w:r>
    </w:p>
    <w:p>
      <w:pPr>
        <w:pStyle w:val="ListParagraph"/>
        <w:bidi w:val="0"/>
        <w:spacing w:lineRule="auto" w:line="276"/>
        <w:ind w:right="531" w:hanging="0"/>
        <w:jc w:val="left"/>
        <w:rPr/>
      </w:pPr>
      <w:r>
        <w:rPr>
          <w:rFonts w:eastAsia="Times New Roman" w:cs="Arial" w:ascii="Arial" w:hAnsi="Arial"/>
          <w:b w:val="false"/>
          <w:bCs w:val="false"/>
          <w:u w:val="none"/>
          <w:lang w:eastAsia="en-GB"/>
        </w:rPr>
        <w:t xml:space="preserve">Home Office (2020) </w:t>
      </w:r>
      <w:r>
        <w:rPr>
          <w:rFonts w:eastAsia="Times New Roman" w:cs="Arial" w:ascii="Arial" w:hAnsi="Arial"/>
          <w:b w:val="false"/>
          <w:bCs w:val="false"/>
          <w:i/>
          <w:u w:val="none"/>
          <w:lang w:eastAsia="en-GB"/>
        </w:rPr>
        <w:t>Police Workforce, England and Wales, 31 March 2019</w:t>
        <w:br/>
        <w:t>second edition</w:t>
      </w:r>
      <w:r>
        <w:rPr>
          <w:rFonts w:eastAsia="Times New Roman" w:cs="Arial" w:ascii="Arial" w:hAnsi="Arial"/>
          <w:b w:val="false"/>
          <w:bCs w:val="false"/>
          <w:u w:val="none"/>
          <w:lang w:eastAsia="en-GB"/>
        </w:rPr>
        <w:t xml:space="preserve">. Available at: https://assets.publishing.service.gov.uk/government/uploads/system/uploads/attachment_data/file/831726/police-workforce-mar19-hosb1119.pdf (Accessed: 18 February 2023). </w:t>
      </w:r>
    </w:p>
    <w:p>
      <w:pPr>
        <w:pStyle w:val="ListParagraph"/>
        <w:bidi w:val="0"/>
        <w:spacing w:lineRule="auto" w:line="276"/>
        <w:ind w:left="207" w:right="531" w:hanging="0"/>
        <w:jc w:val="left"/>
        <w:rPr>
          <w:rFonts w:ascii="Arial" w:hAnsi="Arial" w:eastAsia="Times New Roman" w:cs="Arial"/>
          <w:b w:val="false"/>
          <w:b w:val="false"/>
          <w:bCs w:val="false"/>
          <w:u w:val="none"/>
          <w:lang w:eastAsia="en-GB"/>
        </w:rPr>
      </w:pPr>
      <w:r>
        <w:rPr>
          <w:rFonts w:eastAsia="Times New Roman" w:cs="Arial" w:ascii="Arial" w:hAnsi="Arial"/>
          <w:b w:val="false"/>
          <w:bCs w:val="false"/>
          <w:u w:val="none"/>
          <w:lang w:eastAsia="en-GB"/>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 xml:space="preserve">Home office (2022) Hate crime, England and Wales, 2021 to 2022: Available at: https://www.gov.uk/government/statistics/hate-crime-england-and-wales-2021-to-2022/hate-crime-england-and-wales-2021-to-2022 (Accessed: 27 January 2023). </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ind w:right="531" w:hanging="0"/>
        <w:jc w:val="left"/>
        <w:rPr/>
      </w:pPr>
      <w:r>
        <w:rPr>
          <w:rFonts w:eastAsia="Times New Roman" w:cs="Arial" w:ascii="Arial" w:hAnsi="Arial"/>
          <w:b w:val="false"/>
          <w:bCs w:val="false"/>
          <w:u w:val="none"/>
          <w:lang w:eastAsia="en-GB"/>
        </w:rPr>
        <w:t xml:space="preserve">Home Office (2023) </w:t>
      </w:r>
      <w:r>
        <w:rPr>
          <w:rFonts w:eastAsia="Times New Roman" w:cs="Arial" w:ascii="Arial" w:hAnsi="Arial"/>
          <w:b w:val="false"/>
          <w:bCs w:val="false"/>
          <w:i/>
          <w:u w:val="none"/>
          <w:lang w:eastAsia="en-GB"/>
        </w:rPr>
        <w:t>Police workforce, England and Wales: 30 September 2022</w:t>
      </w:r>
      <w:r>
        <w:rPr>
          <w:rFonts w:eastAsia="Times New Roman" w:cs="Arial" w:ascii="Arial" w:hAnsi="Arial"/>
          <w:b w:val="false"/>
          <w:bCs w:val="false"/>
          <w:u w:val="none"/>
          <w:lang w:eastAsia="en-GB"/>
        </w:rPr>
        <w:t xml:space="preserve">. Available at: https://www.gov.uk/government/statistics/police-workforce-england-and-wales-30-september-2022/police-workforce-england-and-wales-30-september-2022 (Accessed: 18 February 2023). </w:t>
      </w:r>
    </w:p>
    <w:p>
      <w:pPr>
        <w:pStyle w:val="ListParagraph"/>
        <w:bidi w:val="0"/>
        <w:spacing w:lineRule="auto" w:line="276"/>
        <w:ind w:left="207" w:right="531" w:hanging="0"/>
        <w:jc w:val="left"/>
        <w:rPr>
          <w:rFonts w:ascii="Arial" w:hAnsi="Arial" w:eastAsia="Times New Roman" w:cs="Arial"/>
          <w:b w:val="false"/>
          <w:b w:val="false"/>
          <w:bCs w:val="false"/>
          <w:u w:val="none"/>
          <w:lang w:eastAsia="en-GB"/>
        </w:rPr>
      </w:pPr>
      <w:r>
        <w:rPr>
          <w:rFonts w:eastAsia="Times New Roman" w:cs="Arial" w:ascii="Arial" w:hAnsi="Arial"/>
          <w:b w:val="false"/>
          <w:bCs w:val="false"/>
          <w:u w:val="none"/>
          <w:lang w:eastAsia="en-GB"/>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 xml:space="preserve">Kalev, A, Dobbin, F., &amp; Kelly, E. (2006). Best Practices or Best Guesses? Assessing the Efficacy of Corporate Affirmative Action and Diversity Policies. American Sociological Review, 71(4), 589–617. https://doi.org/10.1177/000312240607100404. </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ind w:right="531" w:hanging="0"/>
        <w:jc w:val="left"/>
        <w:rPr/>
      </w:pPr>
      <w:r>
        <w:rPr>
          <w:rFonts w:eastAsia="Times New Roman" w:cs="Arial" w:ascii="Arial" w:hAnsi="Arial"/>
          <w:b w:val="false"/>
          <w:bCs w:val="false"/>
          <w:u w:val="none"/>
          <w:lang w:eastAsia="en-GB"/>
        </w:rPr>
        <w:t xml:space="preserve">Langton, S, Bannister, J, Mark Ellison, M, Salman Haleem, M, Krzemieniewska-Nandwani, K, (2021) Policing and Mental ill-health: Using Big Data to Assess the Scale and Severity of, and the Frontline Resources Committed to, mental ill-health-related calls-for-service, </w:t>
      </w:r>
      <w:r>
        <w:rPr>
          <w:rStyle w:val="Emphasis"/>
          <w:rFonts w:eastAsia="Times New Roman" w:cs="Arial" w:ascii="Arial" w:hAnsi="Arial"/>
          <w:b w:val="false"/>
          <w:bCs w:val="false"/>
          <w:u w:val="none"/>
          <w:lang w:eastAsia="en-GB"/>
        </w:rPr>
        <w:t>Policing: A Journal of Policy and Practice</w:t>
      </w:r>
      <w:r>
        <w:rPr>
          <w:rFonts w:eastAsia="Times New Roman" w:cs="Arial" w:ascii="Arial" w:hAnsi="Arial"/>
          <w:b w:val="false"/>
          <w:bCs w:val="false"/>
          <w:u w:val="none"/>
          <w:lang w:eastAsia="en-GB"/>
        </w:rPr>
        <w:t xml:space="preserve">, Volume 15, Issue 3, September 2021, Pages 1963–1976, Available at: </w:t>
      </w:r>
      <w:hyperlink r:id="rId8">
        <w:r>
          <w:rPr>
            <w:rStyle w:val="InternetLink"/>
          </w:rPr>
          <w:t>https://doi.org/10.1093/police/paab035</w:t>
        </w:r>
      </w:hyperlink>
      <w:r>
        <w:rPr>
          <w:rFonts w:eastAsia="Times New Roman" w:cs="Arial" w:ascii="Arial" w:hAnsi="Arial"/>
          <w:b w:val="false"/>
          <w:bCs w:val="false"/>
          <w:u w:val="none"/>
          <w:lang w:eastAsia="en-GB"/>
        </w:rPr>
        <w:t xml:space="preserve"> (Accessed: 17 February 2023)</w:t>
      </w:r>
    </w:p>
    <w:p>
      <w:pPr>
        <w:pStyle w:val="ListParagraph"/>
        <w:bidi w:val="0"/>
        <w:spacing w:lineRule="auto" w:line="276"/>
        <w:ind w:left="207" w:right="531" w:hanging="0"/>
        <w:jc w:val="left"/>
        <w:rPr>
          <w:rFonts w:ascii="Arial" w:hAnsi="Arial" w:eastAsia="Times New Roman" w:cs="Arial"/>
          <w:b w:val="false"/>
          <w:b w:val="false"/>
          <w:bCs w:val="false"/>
          <w:u w:val="none"/>
          <w:lang w:eastAsia="en-GB"/>
        </w:rPr>
      </w:pPr>
      <w:r>
        <w:rPr>
          <w:rFonts w:eastAsia="Times New Roman" w:cs="Arial" w:ascii="Arial" w:hAnsi="Arial"/>
          <w:b w:val="false"/>
          <w:bCs w:val="false"/>
          <w:u w:val="none"/>
          <w:lang w:eastAsia="en-GB"/>
        </w:rPr>
      </w:r>
    </w:p>
    <w:p>
      <w:pPr>
        <w:pStyle w:val="Normal"/>
        <w:bidi w:val="0"/>
        <w:spacing w:lineRule="auto" w:line="276"/>
        <w:ind w:right="531" w:hanging="0"/>
        <w:jc w:val="left"/>
        <w:rPr/>
      </w:pPr>
      <w:r>
        <w:rPr>
          <w:rFonts w:eastAsia="Times New Roman" w:cs="Arial" w:ascii="Arial" w:hAnsi="Arial"/>
          <w:b w:val="false"/>
          <w:bCs w:val="false"/>
          <w:u w:val="none"/>
          <w:lang w:eastAsia="en-GB"/>
        </w:rPr>
        <w:t xml:space="preserve">London School of Economics, (2013). How Mental Illness Loses Out in the NHS. 2012. Available online: </w:t>
      </w:r>
      <w:hyperlink r:id="rId9" w:tgtFrame="_blank">
        <w:r>
          <w:rPr>
            <w:rStyle w:val="InternetLink"/>
          </w:rPr>
          <w:t>http://cep.lse.ac.uk/pubs/download/special/cepsp26.pdf</w:t>
        </w:r>
      </w:hyperlink>
      <w:r>
        <w:rPr>
          <w:rFonts w:eastAsia="Times New Roman" w:cs="Arial" w:ascii="Arial" w:hAnsi="Arial"/>
          <w:b w:val="false"/>
          <w:bCs w:val="false"/>
          <w:u w:val="none"/>
          <w:lang w:eastAsia="en-GB"/>
        </w:rPr>
        <w:t xml:space="preserve"> (Accessed on 27 March 2023). </w:t>
      </w:r>
    </w:p>
    <w:p>
      <w:pPr>
        <w:pStyle w:val="Normal"/>
        <w:bidi w:val="0"/>
        <w:spacing w:lineRule="auto" w:line="276"/>
        <w:ind w:left="207" w:right="531" w:hanging="0"/>
        <w:jc w:val="left"/>
        <w:rPr>
          <w:rFonts w:ascii="Arial" w:hAnsi="Arial" w:eastAsia="Times New Roman" w:cs="Arial"/>
          <w:b w:val="false"/>
          <w:b w:val="false"/>
          <w:bCs w:val="false"/>
          <w:u w:val="none"/>
          <w:lang w:eastAsia="en-GB"/>
        </w:rPr>
      </w:pPr>
      <w:r>
        <w:rPr>
          <w:rFonts w:eastAsia="Times New Roman" w:cs="Arial" w:ascii="Arial" w:hAnsi="Arial"/>
          <w:b w:val="false"/>
          <w:bCs w:val="false"/>
          <w:u w:val="none"/>
          <w:lang w:eastAsia="en-GB"/>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 xml:space="preserve">Metropolitan Police (2021) Freedom of information request reference no: 01.FOI.21.019095. Available at: https://www.met.police.uk/SysSiteAssets/foi-media/metropolitan-police/disclosure_2021/may_2021/unconscious-bias-training (Accessed: 28 January 2023). </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ListParagraph"/>
        <w:bidi w:val="0"/>
        <w:spacing w:lineRule="auto" w:line="276"/>
        <w:ind w:right="531" w:hanging="0"/>
        <w:jc w:val="left"/>
        <w:rPr>
          <w:b w:val="false"/>
          <w:b w:val="false"/>
          <w:bCs w:val="false"/>
          <w:u w:val="none"/>
        </w:rPr>
      </w:pPr>
      <w:r>
        <w:rPr>
          <w:rFonts w:eastAsia="Times New Roman" w:cs="Arial" w:ascii="Arial" w:hAnsi="Arial"/>
          <w:b w:val="false"/>
          <w:bCs w:val="false"/>
          <w:u w:val="none"/>
          <w:lang w:eastAsia="en-GB"/>
        </w:rPr>
        <w:t xml:space="preserve">National Police Improvement Agency (2009) </w:t>
      </w:r>
      <w:r>
        <w:rPr>
          <w:rFonts w:eastAsia="Times New Roman" w:cs="Arial" w:ascii="Arial" w:hAnsi="Arial"/>
          <w:b w:val="false"/>
          <w:bCs w:val="false"/>
          <w:i/>
          <w:u w:val="none"/>
          <w:lang w:eastAsia="en-GB"/>
        </w:rPr>
        <w:t>PRACTICE ADVICE ON THE MANAGEMENT OF PRIORITY AND VOLUME CRIME (The Volume Crime Management Model)</w:t>
      </w:r>
      <w:r>
        <w:rPr>
          <w:rFonts w:eastAsia="Times New Roman" w:cs="Arial" w:ascii="Arial" w:hAnsi="Arial"/>
          <w:b w:val="false"/>
          <w:bCs w:val="false"/>
          <w:u w:val="none"/>
          <w:lang w:eastAsia="en-GB"/>
        </w:rPr>
        <w:t xml:space="preserve"> Available at: https://zakon.co.uk/admin/resources/downloads/volume-crime-practice-advice-on-the-management-of-priority-and-volume-crime-2009-1.pdf (Accessed: 17 February 2023). </w:t>
      </w:r>
    </w:p>
    <w:p>
      <w:pPr>
        <w:pStyle w:val="ListParagraph"/>
        <w:bidi w:val="0"/>
        <w:spacing w:lineRule="auto" w:line="276"/>
        <w:ind w:left="207" w:right="531" w:hanging="0"/>
        <w:jc w:val="left"/>
        <w:rPr>
          <w:rFonts w:ascii="Arial" w:hAnsi="Arial" w:eastAsia="Times New Roman" w:cs="Arial"/>
          <w:lang w:eastAsia="en-GB"/>
        </w:rPr>
      </w:pPr>
      <w:r>
        <w:rPr>
          <w:rFonts w:eastAsia="Times New Roman" w:cs="Arial" w:ascii="Arial" w:hAnsi="Arial"/>
          <w:lang w:eastAsia="en-GB"/>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 xml:space="preserve">OBERAI, H. and ILA, M.A., 2018. Unconscious bias: thinking without thinking. Human Resource Management International Digest, 26(6), pp. 14-17. </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Schaller, Park, J. H., &amp; Mueller, A. (2003). Fear of the Dark: Interactive Effects of Beliefs about Danger and Ambient Darkness on Ethnic Stereotypes. Personality &amp; Social Psychology Bulletin, 29(5), 637–649. Available at: https://doi.org/10.1177/0146167203029005008 (Accessed: 27 January 2023)</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 xml:space="preserve">School of the Art Institute of Chicago (2020) Conscious and Unconscious Bias. Available at: https://libraryguides.saic.edu/learn_unlearn/foundations6 (Accessed: 27 January 2023). </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Sivasubramaniam, D, Goodman-Delahunty, J. (2008). Ethnicity and Trust: Perceptions of Police Bias. International Journal of Police Science &amp; Management, 10(4), 388–401. https://doi.org/10.1350/ijps.2008.10.4.094 (Accessed: 8 February 2023)</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 xml:space="preserve">Stott, C et al. (2020) 'Understanding ethnic disparities in involvement in crime – a limited scope rapid evidence review', Available at: https://www.gov.uk/government/publications/the-report-of-the-commission-on-race-and-ethnic-disparities-supporting-research/understanding-ethnic-disparities-in-involvement-in-crime-a-limited-scope-rapid-evidence-review-by-professor-clifford-stott-et-al (Accessed: 7 February 2023). </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The Guardian (2021) Met dismisses police officer who belonged to banned neo-Nazi terror group. Available at:</w:t>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 xml:space="preserve">https://www.theguardian.com/uk-news/2021/apr/21/met-dismisses-police-officer-who-belonged-to-banned-neo-nazi-terror-group (Accessed: 27 January 2023). </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 xml:space="preserve">The Independent Office for Police Conduct (2018) Public Perceptions Tracker. Available at: https://www.policeconduct.gov.uk/sites/default/files/Documents/statistics/IOPC_public_perceptions_tracker_annual_report_summary_201718.pdf (Accessed: 8 February 2023). </w:t>
      </w:r>
    </w:p>
    <w:p>
      <w:pPr>
        <w:pStyle w:val="Normal"/>
        <w:bidi w:val="0"/>
        <w:spacing w:lineRule="auto" w:line="276" w:before="0" w:after="160"/>
        <w:ind w:left="207" w:right="531" w:hanging="0"/>
        <w:contextualSpacing/>
        <w:jc w:val="left"/>
        <w:rPr>
          <w:rFonts w:ascii="Times New Roman" w:hAnsi="Times New Roman"/>
          <w:b/>
          <w:b/>
          <w:bCs/>
          <w:u w:val="single"/>
        </w:rPr>
      </w:pPr>
      <w:r>
        <w:rPr>
          <w:rFonts w:ascii="Times New Roman" w:hAnsi="Times New Roman"/>
          <w:b/>
          <w:bCs/>
          <w:u w:val="single"/>
        </w:rPr>
      </w:r>
    </w:p>
    <w:p>
      <w:pPr>
        <w:pStyle w:val="Normal"/>
        <w:bidi w:val="0"/>
        <w:spacing w:lineRule="auto" w:line="276" w:before="0" w:after="160"/>
        <w:ind w:right="531" w:hanging="0"/>
        <w:contextualSpacing/>
        <w:jc w:val="left"/>
        <w:rPr>
          <w:rFonts w:ascii="Times New Roman" w:hAnsi="Times New Roman"/>
          <w:b/>
          <w:b/>
          <w:bCs/>
          <w:u w:val="single"/>
        </w:rPr>
      </w:pPr>
      <w:r>
        <w:rPr>
          <w:rFonts w:eastAsia="Times New Roman" w:cs="Arial" w:ascii="Arial" w:hAnsi="Arial"/>
          <w:b w:val="false"/>
          <w:bCs w:val="false"/>
          <w:i w:val="false"/>
          <w:iCs w:val="false"/>
          <w:u w:val="none"/>
          <w:lang w:eastAsia="en-GB"/>
        </w:rPr>
        <w:t xml:space="preserve">Thomas, T, Khan, A. (2022) Protests across UK over killing of unarmed black man Chris Kaba. Available at: https://www.theguardian.com/uk-news/2022/sep/17/protest-uk-met-police-killing-black-chris-kaba (Accessed: 7 February 2023). </w:t>
      </w:r>
    </w:p>
    <w:sectPr>
      <w:type w:val="nextPage"/>
      <w:pgSz w:w="11906" w:h="16838"/>
      <w:pgMar w:left="1134" w:right="1134" w:header="0" w:top="1134" w:footer="0" w:bottom="1134"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ans">
    <w:altName w:val="Arial"/>
    <w:charset w:val="00"/>
    <w:family w:val="roman"/>
    <w:pitch w:val="variable"/>
  </w:font>
  <w:font w:name="Arial">
    <w:charset w:val="00"/>
    <w:family w:val="roman"/>
    <w:pitch w:val="variable"/>
  </w:font>
  <w:font w:name="sans-serif">
    <w:altName w:val="Arial"/>
    <w:charset w:val="00"/>
    <w:family w:val="roman"/>
    <w:pitch w:val="variable"/>
  </w:font>
</w:fonts>
</file>

<file path=word/settings.xml><?xml version="1.0" encoding="utf-8"?>
<w:settings xmlns:w="http://schemas.openxmlformats.org/wordprocessingml/2006/main">
  <w:zoom w:percent="100"/>
  <w:defaultTabStop w:val="709"/>
  <w:autoHyphenation w:val="true"/>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4"/>
        <w:szCs w:val="24"/>
        <w:lang w:val="en-GB" w:eastAsia="zh-CN" w:bidi="hi-IN"/>
      </w:rPr>
    </w:rPrDefault>
    <w:pPrDefault>
      <w:pPr>
        <w:suppressAutoHyphens w:val="true"/>
      </w:pPr>
    </w:pPrDefault>
  </w:docDefaults>
  <w:style w:type="paragraph" w:styleId="Normal">
    <w:name w:val="Normal"/>
    <w:qFormat/>
    <w:pPr>
      <w:widowControl/>
      <w:suppressAutoHyphens w:val="true"/>
      <w:bidi w:val="0"/>
      <w:spacing w:before="0" w:after="0"/>
      <w:jc w:val="left"/>
    </w:pPr>
    <w:rPr>
      <w:rFonts w:ascii="Liberation Serif" w:hAnsi="Liberation Serif" w:eastAsia="NSimSun" w:cs="Arial"/>
      <w:color w:val="auto"/>
      <w:kern w:val="2"/>
      <w:sz w:val="24"/>
      <w:szCs w:val="24"/>
      <w:lang w:val="en-GB" w:eastAsia="zh-CN" w:bidi="hi-IN"/>
    </w:rPr>
  </w:style>
  <w:style w:type="character" w:styleId="InternetLink">
    <w:name w:val="Hyperlink"/>
    <w:rPr>
      <w:color w:val="000080"/>
      <w:u w:val="single"/>
      <w:lang w:val="zxx" w:eastAsia="zxx" w:bidi="zxx"/>
    </w:rPr>
  </w:style>
  <w:style w:type="character" w:styleId="Emphasis">
    <w:name w:val="Emphasis"/>
    <w:qFormat/>
    <w:rPr>
      <w:i/>
      <w:iCs/>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qFormat/>
    <w:pPr>
      <w:spacing w:before="0" w:after="160"/>
      <w:ind w:left="720" w:right="0" w:hanging="0"/>
      <w:contextualSpacing/>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theconversation.com/mental-health-is-in-no-fit-state-whatever-the-politicians-say-15743" TargetMode="External"/><Relationship Id="rId3" Type="http://schemas.openxmlformats.org/officeDocument/2006/relationships/hyperlink" Target="https://doi.org/10.1016/j.cpr.2021.102006" TargetMode="External"/><Relationship Id="rId4" Type="http://schemas.openxmlformats.org/officeDocument/2006/relationships/hyperlink" Target="https://doi/" TargetMode="External"/><Relationship Id="rId5" Type="http://schemas.openxmlformats.org/officeDocument/2006/relationships/hyperlink" Target="https://doi-org.ezproxy.uwtsd.ac.uk/10.1177/0032258X16671032" TargetMode="External"/><Relationship Id="rId6" Type="http://schemas.openxmlformats.org/officeDocument/2006/relationships/hyperlink" Target="https://doi.org/10.3390/ijerph15061145" TargetMode="External"/><Relationship Id="rId7" Type="http://schemas.openxmlformats.org/officeDocument/2006/relationships/hyperlink" Target="https://journals-sagepub-com.ezproxy.uwtsd.ac.uk/doi/pdf/10.1177/0032258X16642234" TargetMode="External"/><Relationship Id="rId8" Type="http://schemas.openxmlformats.org/officeDocument/2006/relationships/hyperlink" Target="https://doi.org/10.1093/police/paab035" TargetMode="External"/><Relationship Id="rId9" Type="http://schemas.openxmlformats.org/officeDocument/2006/relationships/hyperlink" Target="http://cep.lse.ac.uk/pubs/download/special/cepsp26.pdf" TargetMode="External"/><Relationship Id="rId10" Type="http://schemas.openxmlformats.org/officeDocument/2006/relationships/fontTable" Target="fontTable.xml"/><Relationship Id="rId11"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23</TotalTime>
  <Application>LibreOffice/7.0.3.1$Windows_X86_64 LibreOffice_project/d7547858d014d4cf69878db179d326fc3483e082</Application>
  <Pages>12</Pages>
  <Words>4775</Words>
  <Characters>27798</Characters>
  <CharactersWithSpaces>32549</CharactersWithSpaces>
  <Paragraphs>54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2023-03-06T16:54:51Z</dcterms:created>
  <dc:creator/>
  <dc:description/>
  <dc:language>en-GB</dc:language>
  <cp:lastModifiedBy/>
  <dcterms:modified xsi:type="dcterms:W3CDTF">2023-03-06T17:39:53Z</dcterms:modified>
  <cp:revision>8</cp:revision>
  <dc:subject/>
  <dc:title/>
</cp:coreProperties>
</file>