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A2AB29A" w14:textId="1DB2CEA3" w:rsidR="00B467FB" w:rsidRPr="00917C0F" w:rsidRDefault="00917C0F" w:rsidP="0054769F">
      <w:pPr>
        <w:jc w:val="center"/>
        <w:rPr>
          <w:b/>
          <w:sz w:val="24"/>
          <w:szCs w:val="24"/>
        </w:rPr>
      </w:pPr>
      <w:r w:rsidRPr="00917C0F">
        <w:rPr>
          <w:b/>
          <w:sz w:val="24"/>
          <w:szCs w:val="24"/>
        </w:rPr>
        <w:t>Egyptian Funerary cones from El-Moghraqa, Hybridization in context</w:t>
      </w:r>
    </w:p>
    <w:p w14:paraId="34EDB12D" w14:textId="6FADFB09" w:rsidR="00917C0F" w:rsidRDefault="00917C0F" w:rsidP="0054769F">
      <w:pPr>
        <w:jc w:val="center"/>
        <w:rPr>
          <w:b/>
          <w:sz w:val="24"/>
          <w:szCs w:val="24"/>
        </w:rPr>
      </w:pPr>
      <w:r w:rsidRPr="00917C0F">
        <w:rPr>
          <w:b/>
          <w:sz w:val="24"/>
          <w:szCs w:val="24"/>
        </w:rPr>
        <w:t>An Object Analysis Report</w:t>
      </w:r>
    </w:p>
    <w:p w14:paraId="00846E7A" w14:textId="77777777" w:rsidR="00917C0F" w:rsidRPr="00917C0F" w:rsidRDefault="00917C0F" w:rsidP="0054769F">
      <w:pPr>
        <w:jc w:val="center"/>
        <w:rPr>
          <w:b/>
          <w:sz w:val="24"/>
          <w:szCs w:val="24"/>
        </w:rPr>
      </w:pPr>
    </w:p>
    <w:p w14:paraId="3F8BB89F" w14:textId="7DE59AFC" w:rsidR="00144981" w:rsidRDefault="007903E5" w:rsidP="00961A43">
      <w:r>
        <w:t>One of seventeen large c</w:t>
      </w:r>
      <w:r w:rsidR="00A068E8">
        <w:t>one</w:t>
      </w:r>
      <w:r>
        <w:t xml:space="preserve"> fragments</w:t>
      </w:r>
      <w:r w:rsidR="00942F3F">
        <w:t xml:space="preserve"> (Steel et al 2004:323)</w:t>
      </w:r>
      <w:r>
        <w:t>,</w:t>
      </w:r>
      <w:r w:rsidR="00A068E8">
        <w:t xml:space="preserve"> fabricat</w:t>
      </w:r>
      <w:r w:rsidR="0052506B">
        <w:t xml:space="preserve">ed from yellow-reddish clay, </w:t>
      </w:r>
      <w:r>
        <w:t xml:space="preserve">with an embedded </w:t>
      </w:r>
      <w:r w:rsidR="0052506B">
        <w:t xml:space="preserve"> grey core,</w:t>
      </w:r>
      <w:r w:rsidR="00A068E8">
        <w:t xml:space="preserve"> containing or</w:t>
      </w:r>
      <w:r w:rsidR="0052506B">
        <w:t>ganic material</w:t>
      </w:r>
      <w:r>
        <w:t>,</w:t>
      </w:r>
      <w:r w:rsidR="00A068E8">
        <w:t xml:space="preserve"> (Steel et al 2004: 326)</w:t>
      </w:r>
      <w:r>
        <w:t xml:space="preserve"> was found at El-Mogh</w:t>
      </w:r>
      <w:r w:rsidR="008B185E">
        <w:t>r</w:t>
      </w:r>
      <w:r>
        <w:t>aqa (Steel et al 2004:319)</w:t>
      </w:r>
      <w:r w:rsidR="008B185E">
        <w:t>, north of the wadi Gaza (Steel et al 2015:939)</w:t>
      </w:r>
      <w:r w:rsidR="00A068E8">
        <w:t xml:space="preserve">. Due to </w:t>
      </w:r>
      <w:r w:rsidR="00163BCD">
        <w:t>insufficient</w:t>
      </w:r>
      <w:r w:rsidR="00A068E8">
        <w:t xml:space="preserve"> </w:t>
      </w:r>
      <w:r w:rsidR="006517F5">
        <w:t>firing, the colouring of</w:t>
      </w:r>
      <w:r w:rsidR="00A068E8">
        <w:t xml:space="preserve"> the f</w:t>
      </w:r>
      <w:r w:rsidR="006517F5">
        <w:t>ragment varies</w:t>
      </w:r>
      <w:r w:rsidR="00163BCD">
        <w:t xml:space="preserve"> from white </w:t>
      </w:r>
      <w:r w:rsidR="0052506B">
        <w:t>to green, with some</w:t>
      </w:r>
      <w:r w:rsidR="00163BCD">
        <w:t xml:space="preserve"> red slip present (Steel e</w:t>
      </w:r>
      <w:r w:rsidR="006517F5">
        <w:t>t al 2004:326). The fragment has a flat base, is roughly circular</w:t>
      </w:r>
      <w:r w:rsidR="00163BCD">
        <w:t>, tapering towards the end, stamped</w:t>
      </w:r>
      <w:r w:rsidR="0052506B">
        <w:t xml:space="preserve"> with a </w:t>
      </w:r>
      <w:r w:rsidR="00CC4E27">
        <w:t>cartouche</w:t>
      </w:r>
      <w:r w:rsidR="00163BCD">
        <w:t xml:space="preserve"> at</w:t>
      </w:r>
      <w:r w:rsidR="0052506B">
        <w:t xml:space="preserve"> the round face, as well as the adjacent side</w:t>
      </w:r>
      <w:r w:rsidR="00016BC4">
        <w:t xml:space="preserve"> </w:t>
      </w:r>
      <w:r w:rsidR="00163BCD">
        <w:t xml:space="preserve">(Steel et al 2004: 326). </w:t>
      </w:r>
      <w:r w:rsidR="00045815">
        <w:t>The praenomen of Thu</w:t>
      </w:r>
      <w:r w:rsidR="00D32FB4">
        <w:t>tmose III, Menkheperra, was inscribed within the cartouches (Steel et al 2004: 327).</w:t>
      </w:r>
      <w:r w:rsidR="007B4C73">
        <w:t xml:space="preserve"> The original use is unclear (Steel et al 2004:326), although most interpretations have isolated it to a funerary context</w:t>
      </w:r>
      <w:r w:rsidR="00961A43">
        <w:t xml:space="preserve"> (Steel et al 2004:329).</w:t>
      </w:r>
    </w:p>
    <w:p w14:paraId="6EF921CA" w14:textId="56DBE4F8" w:rsidR="00AD67EA" w:rsidRDefault="00045815">
      <w:r w:rsidRPr="00016BC4">
        <w:t>Using a handful of c</w:t>
      </w:r>
      <w:r w:rsidR="00016BC4" w:rsidRPr="00016BC4">
        <w:t>lay, I formed a cone</w:t>
      </w:r>
      <w:r w:rsidR="00AD67EA" w:rsidRPr="00016BC4">
        <w:t xml:space="preserve"> by rolling the clay between my</w:t>
      </w:r>
      <w:r w:rsidR="00016BC4" w:rsidRPr="00016BC4">
        <w:t xml:space="preserve"> hands and </w:t>
      </w:r>
      <w:r w:rsidR="003475B3" w:rsidRPr="00016BC4">
        <w:t>a</w:t>
      </w:r>
      <w:r w:rsidR="00AD67EA" w:rsidRPr="00016BC4">
        <w:t xml:space="preserve"> table,</w:t>
      </w:r>
      <w:r w:rsidR="003475B3" w:rsidRPr="00016BC4">
        <w:t xml:space="preserve"> then</w:t>
      </w:r>
      <w:r w:rsidR="00016BC4" w:rsidRPr="00016BC4">
        <w:t xml:space="preserve"> using the</w:t>
      </w:r>
      <w:r w:rsidR="00AD67EA" w:rsidRPr="00016BC4">
        <w:t xml:space="preserve"> surface of my ha</w:t>
      </w:r>
      <w:r w:rsidR="00016BC4" w:rsidRPr="00016BC4">
        <w:t>nd</w:t>
      </w:r>
      <w:r w:rsidR="003475B3" w:rsidRPr="00016BC4">
        <w:t xml:space="preserve"> I flattened the circular end</w:t>
      </w:r>
      <w:r w:rsidR="00AD67EA" w:rsidRPr="00016BC4">
        <w:t xml:space="preserve"> of the cone in preparation for the stamp</w:t>
      </w:r>
      <w:r w:rsidR="003475B3" w:rsidRPr="00016BC4">
        <w:t xml:space="preserve"> of the cartouche. Wetting the cone helped to pronounce</w:t>
      </w:r>
      <w:r w:rsidR="00AD67EA" w:rsidRPr="00016BC4">
        <w:t xml:space="preserve"> the marks </w:t>
      </w:r>
      <w:r w:rsidR="003475B3" w:rsidRPr="00016BC4">
        <w:t xml:space="preserve">left </w:t>
      </w:r>
      <w:r w:rsidR="00AD67EA" w:rsidRPr="00016BC4">
        <w:t>by the stamp sig</w:t>
      </w:r>
      <w:r w:rsidR="001F619D" w:rsidRPr="00016BC4">
        <w:t>nificantly</w:t>
      </w:r>
      <w:r w:rsidR="003475B3" w:rsidRPr="00016BC4">
        <w:t>, which was done</w:t>
      </w:r>
      <w:r w:rsidR="001F619D" w:rsidRPr="00016BC4">
        <w:t xml:space="preserve"> both</w:t>
      </w:r>
      <w:r w:rsidR="003475B3" w:rsidRPr="00016BC4">
        <w:t xml:space="preserve"> to the circular end and the </w:t>
      </w:r>
      <w:r w:rsidR="001F619D" w:rsidRPr="00016BC4">
        <w:t>adjacent</w:t>
      </w:r>
      <w:r w:rsidR="003475B3" w:rsidRPr="00016BC4">
        <w:t xml:space="preserve"> side</w:t>
      </w:r>
      <w:r w:rsidR="001F619D" w:rsidRPr="00016BC4">
        <w:t>.</w:t>
      </w:r>
    </w:p>
    <w:p w14:paraId="5C4A0501" w14:textId="6BFC0EBA" w:rsidR="00961A43" w:rsidRDefault="007B4C73">
      <w:r>
        <w:t>None</w:t>
      </w:r>
      <w:bookmarkStart w:id="0" w:name="_GoBack"/>
      <w:bookmarkEnd w:id="0"/>
      <w:r>
        <w:t xml:space="preserve"> of the in 2000 excavated cone fragments were found intact (Steel et al 2004:326)</w:t>
      </w:r>
      <w:r w:rsidR="00B268DF">
        <w:t>, I however tried imitating</w:t>
      </w:r>
      <w:r>
        <w:t xml:space="preserve"> what the in</w:t>
      </w:r>
      <w:r w:rsidR="00B268DF">
        <w:t>tact cone looked like</w:t>
      </w:r>
      <w:r>
        <w:t xml:space="preserve">. </w:t>
      </w:r>
      <w:r w:rsidR="00E71B86">
        <w:t>During th</w:t>
      </w:r>
      <w:r w:rsidR="00045815">
        <w:t>e p</w:t>
      </w:r>
      <w:r w:rsidR="00E71B86">
        <w:t>ro</w:t>
      </w:r>
      <w:r>
        <w:t>cess of manufacture</w:t>
      </w:r>
      <w:r w:rsidR="00B73EE5">
        <w:t>,</w:t>
      </w:r>
      <w:r>
        <w:t xml:space="preserve"> certain difficulties arose;</w:t>
      </w:r>
      <w:r w:rsidR="00841EFB">
        <w:t xml:space="preserve"> the clay differed</w:t>
      </w:r>
      <w:r w:rsidR="00AD67EA">
        <w:t xml:space="preserve"> from the materia</w:t>
      </w:r>
      <w:r w:rsidR="00BE2F3E">
        <w:t>l originally used for the cone</w:t>
      </w:r>
      <w:r w:rsidR="00B73EE5">
        <w:t>,</w:t>
      </w:r>
      <w:r w:rsidR="00AD67EA">
        <w:t xml:space="preserve"> not co</w:t>
      </w:r>
      <w:r>
        <w:t>ntain</w:t>
      </w:r>
      <w:r w:rsidR="00B73EE5">
        <w:t>ing</w:t>
      </w:r>
      <w:r>
        <w:t xml:space="preserve"> any organic material, a </w:t>
      </w:r>
      <w:r w:rsidR="00BE2F3E">
        <w:t>detail</w:t>
      </w:r>
      <w:r>
        <w:t xml:space="preserve"> </w:t>
      </w:r>
      <w:r w:rsidR="00B73EE5">
        <w:t>affecting stability, when applying</w:t>
      </w:r>
      <w:r w:rsidR="00C56696">
        <w:t xml:space="preserve"> the cartouche stamp, as the </w:t>
      </w:r>
      <w:r w:rsidR="00C56696" w:rsidRPr="00016BC4">
        <w:t>facsimile</w:t>
      </w:r>
      <w:r w:rsidR="00C56696">
        <w:t xml:space="preserve"> bent from the force applied</w:t>
      </w:r>
      <w:r w:rsidR="00DE06F5">
        <w:t xml:space="preserve">. The stamp used was a limited interpretation of the original; it </w:t>
      </w:r>
      <w:r w:rsidR="00DE3ED1">
        <w:t xml:space="preserve">was made from willow, </w:t>
      </w:r>
      <w:r w:rsidR="00DE06F5">
        <w:t xml:space="preserve">unlikely to have </w:t>
      </w:r>
      <w:r w:rsidR="002914CC">
        <w:t>been originally used</w:t>
      </w:r>
      <w:r w:rsidR="00DE06F5" w:rsidRPr="00BE3E09">
        <w:t>.</w:t>
      </w:r>
      <w:r w:rsidR="00BE3E09">
        <w:t xml:space="preserve"> </w:t>
      </w:r>
      <w:r w:rsidR="002914CC">
        <w:t xml:space="preserve">Another factor was time; drying </w:t>
      </w:r>
      <w:r w:rsidR="00DE06F5">
        <w:t>outdoors for the original may have reduced b</w:t>
      </w:r>
      <w:r w:rsidR="002914CC">
        <w:t>ending when force was applied by</w:t>
      </w:r>
      <w:r w:rsidR="00DE06F5">
        <w:t xml:space="preserve"> stamping, wh</w:t>
      </w:r>
      <w:r w:rsidR="00DE3ED1">
        <w:t>ereas I had one hour for the task with no</w:t>
      </w:r>
      <w:r w:rsidR="00DE06F5">
        <w:t xml:space="preserve"> experience in Egyptian </w:t>
      </w:r>
      <w:r w:rsidR="00DE3ED1">
        <w:t>funerary cone manufacture</w:t>
      </w:r>
      <w:r w:rsidR="00DE06F5">
        <w:t xml:space="preserve">. </w:t>
      </w:r>
      <w:r w:rsidR="00A400D7">
        <w:t>Tools, except for the stamp, were not used in the recreation</w:t>
      </w:r>
      <w:r w:rsidR="002914CC">
        <w:t>, whereas</w:t>
      </w:r>
      <w:r w:rsidR="00DE3ED1">
        <w:t xml:space="preserve"> a </w:t>
      </w:r>
      <w:r w:rsidR="00B01DD4">
        <w:t>knife</w:t>
      </w:r>
      <w:r w:rsidR="00045815">
        <w:t>-</w:t>
      </w:r>
      <w:r w:rsidR="00DE3ED1">
        <w:t xml:space="preserve">like tool could </w:t>
      </w:r>
      <w:r w:rsidR="00B01DD4">
        <w:t>cre</w:t>
      </w:r>
      <w:r w:rsidR="00C37664">
        <w:t xml:space="preserve">ate an even surface at the </w:t>
      </w:r>
      <w:r w:rsidR="00016BC4" w:rsidRPr="00016BC4">
        <w:t>round face</w:t>
      </w:r>
      <w:r w:rsidR="006360E9">
        <w:t>. T</w:t>
      </w:r>
      <w:r w:rsidR="00035298">
        <w:t>he stamp used for the facsimile</w:t>
      </w:r>
      <w:r w:rsidR="00016BC4" w:rsidRPr="00016BC4">
        <w:t>, lacked</w:t>
      </w:r>
      <w:r w:rsidR="00C37664" w:rsidRPr="00016BC4">
        <w:t xml:space="preserve"> depth o</w:t>
      </w:r>
      <w:r w:rsidR="006360E9">
        <w:t>f profile, creating</w:t>
      </w:r>
      <w:r w:rsidR="00C37664" w:rsidRPr="00016BC4">
        <w:t xml:space="preserve"> flat inscribed </w:t>
      </w:r>
      <w:r w:rsidR="00042148" w:rsidRPr="00016BC4">
        <w:t>cartouches</w:t>
      </w:r>
      <w:r w:rsidR="00961A43">
        <w:t xml:space="preserve"> like in Figure 1</w:t>
      </w:r>
      <w:r w:rsidR="00C37664" w:rsidRPr="00016BC4">
        <w:t>, less prominent than</w:t>
      </w:r>
      <w:r w:rsidR="00016BC4" w:rsidRPr="00016BC4">
        <w:t xml:space="preserve"> the 1.5 mm deep ones</w:t>
      </w:r>
      <w:r w:rsidR="00045815" w:rsidRPr="00016BC4">
        <w:t xml:space="preserve"> of the original</w:t>
      </w:r>
      <w:r w:rsidR="00144981">
        <w:t xml:space="preserve"> (Steel et al 2004:327).</w:t>
      </w:r>
    </w:p>
    <w:p w14:paraId="7269C1E8" w14:textId="77777777" w:rsidR="00035298" w:rsidRDefault="00035298"/>
    <w:p w14:paraId="07DB0430" w14:textId="77777777" w:rsidR="00035298" w:rsidRDefault="00961A43">
      <w:r>
        <w:rPr>
          <w:noProof/>
          <w:lang w:val="de-DE" w:eastAsia="de-DE"/>
        </w:rPr>
        <w:drawing>
          <wp:inline distT="0" distB="0" distL="0" distR="0" wp14:anchorId="1D74F6C8" wp14:editId="479E4528">
            <wp:extent cx="2334804" cy="3350623"/>
            <wp:effectExtent l="6350" t="0" r="0" b="0"/>
            <wp:docPr id="1" name="Grafi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80223_144606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00" t="1009" r="20375" b="321"/>
                    <a:stretch/>
                  </pic:blipFill>
                  <pic:spPr bwMode="auto">
                    <a:xfrm rot="5400000">
                      <a:off x="0" y="0"/>
                      <a:ext cx="2344741" cy="33648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</w:p>
    <w:p w14:paraId="18715E23" w14:textId="77777777" w:rsidR="006171D7" w:rsidRDefault="00035298">
      <w:r w:rsidRPr="00035298">
        <w:t>Figure 1 (Funerary cone facsimile,</w:t>
      </w:r>
      <w:r>
        <w:t xml:space="preserve"> m</w:t>
      </w:r>
      <w:r w:rsidRPr="00035298">
        <w:t>ateriality’s laboratory UWTSD Lampeter, 2018</w:t>
      </w:r>
      <w:r w:rsidR="00961A43" w:rsidRPr="00035298">
        <w:t>)</w:t>
      </w:r>
    </w:p>
    <w:p w14:paraId="490A04AE" w14:textId="503513EC" w:rsidR="002F1E01" w:rsidRDefault="00961A43">
      <w:r>
        <w:lastRenderedPageBreak/>
        <w:t>Through inconsistent firing</w:t>
      </w:r>
      <w:r w:rsidR="00722681">
        <w:t xml:space="preserve">, </w:t>
      </w:r>
      <w:r>
        <w:t>the original had an un</w:t>
      </w:r>
      <w:r w:rsidR="00016261">
        <w:t>stable core</w:t>
      </w:r>
      <w:r>
        <w:t>, therefore the</w:t>
      </w:r>
      <w:r w:rsidR="00722681">
        <w:t xml:space="preserve"> </w:t>
      </w:r>
      <w:r w:rsidR="00016261">
        <w:t xml:space="preserve">makers </w:t>
      </w:r>
      <w:r w:rsidR="00722681">
        <w:t>were</w:t>
      </w:r>
      <w:r>
        <w:t xml:space="preserve"> possibly</w:t>
      </w:r>
      <w:r w:rsidR="00722681">
        <w:t xml:space="preserve"> </w:t>
      </w:r>
      <w:r>
        <w:t>not experienced with the manufacture</w:t>
      </w:r>
      <w:r w:rsidR="00016261">
        <w:t xml:space="preserve"> of Egyptian funerary cones</w:t>
      </w:r>
      <w:r w:rsidR="00937731">
        <w:t xml:space="preserve"> (Steel et al 2004: 326</w:t>
      </w:r>
      <w:r w:rsidR="008B185E">
        <w:t>), as c</w:t>
      </w:r>
      <w:r w:rsidR="00506120">
        <w:t>ones from Dynasty XVIII of Thebes</w:t>
      </w:r>
      <w:r w:rsidR="008B185E">
        <w:t xml:space="preserve"> were more sophisticated (Steel et al 2015:940).</w:t>
      </w:r>
      <w:r w:rsidR="00722681">
        <w:t xml:space="preserve"> </w:t>
      </w:r>
    </w:p>
    <w:p w14:paraId="66C78C38" w14:textId="3405803B" w:rsidR="000A160D" w:rsidRDefault="00917C0F">
      <w:r>
        <w:t xml:space="preserve">El-Moghraqa’s occupation peak was </w:t>
      </w:r>
      <w:r w:rsidR="00942F3F">
        <w:t xml:space="preserve">the Middle Bronze Age II (Steel et </w:t>
      </w:r>
      <w:r w:rsidR="00A75975">
        <w:t xml:space="preserve">al </w:t>
      </w:r>
      <w:r>
        <w:t xml:space="preserve">2004: 321), while possibly </w:t>
      </w:r>
      <w:r w:rsidR="00942F3F">
        <w:t>economically controlled by nearb</w:t>
      </w:r>
      <w:r w:rsidR="00700C94">
        <w:t>y Ajjul (Steel et al 2004: 323),</w:t>
      </w:r>
      <w:r w:rsidR="005177A0">
        <w:t xml:space="preserve"> </w:t>
      </w:r>
      <w:r w:rsidR="00700C94" w:rsidRPr="00700C94">
        <w:t xml:space="preserve">making </w:t>
      </w:r>
      <w:r w:rsidR="005177A0">
        <w:t>it part of</w:t>
      </w:r>
      <w:r>
        <w:t xml:space="preserve"> a</w:t>
      </w:r>
      <w:r w:rsidR="00942F3F">
        <w:t xml:space="preserve"> wider trading context, connecting Egypt and the Levant (Steel et al 2004: 321).</w:t>
      </w:r>
      <w:r w:rsidR="00371C98">
        <w:t xml:space="preserve"> Not associated with any structures nearby, the fragments we</w:t>
      </w:r>
      <w:r w:rsidR="001E1F9E">
        <w:t>re presumably dumped at El-Moghraqa</w:t>
      </w:r>
      <w:r w:rsidR="00371C98">
        <w:t xml:space="preserve"> </w:t>
      </w:r>
      <w:r w:rsidR="001E1F9E">
        <w:t xml:space="preserve">in antiquity, </w:t>
      </w:r>
      <w:r w:rsidR="00371C98">
        <w:t>deliberately having been broken off a building of unknown location (Steel et al 2004: 326).</w:t>
      </w:r>
      <w:r w:rsidR="0067110E">
        <w:t xml:space="preserve"> </w:t>
      </w:r>
    </w:p>
    <w:p w14:paraId="105B2DAB" w14:textId="22DD863A" w:rsidR="00937731" w:rsidRDefault="005128FD">
      <w:r>
        <w:t>There were no other</w:t>
      </w:r>
      <w:r w:rsidR="00937731">
        <w:t xml:space="preserve"> </w:t>
      </w:r>
      <w:r>
        <w:t xml:space="preserve">Egyptian funerary cone finds from </w:t>
      </w:r>
      <w:r w:rsidR="00937731">
        <w:t>a Syro-Palestinian context,</w:t>
      </w:r>
      <w:r>
        <w:t xml:space="preserve"> therefore</w:t>
      </w:r>
      <w:r w:rsidR="00937731">
        <w:t xml:space="preserve"> </w:t>
      </w:r>
      <w:r>
        <w:t xml:space="preserve">only </w:t>
      </w:r>
      <w:r w:rsidR="00937731">
        <w:t>Nubian and Egyptian</w:t>
      </w:r>
      <w:r>
        <w:t xml:space="preserve"> parallels are comparable </w:t>
      </w:r>
      <w:r w:rsidR="00937731">
        <w:t xml:space="preserve">(Steel et al 2004: 331). </w:t>
      </w:r>
      <w:r w:rsidR="00444251">
        <w:t xml:space="preserve"> </w:t>
      </w:r>
    </w:p>
    <w:p w14:paraId="4DDEA4C8" w14:textId="347B49CE" w:rsidR="00A35DBF" w:rsidRDefault="00D61592">
      <w:r>
        <w:t>In P</w:t>
      </w:r>
      <w:r w:rsidR="009D436B">
        <w:t>roto-Dynastic times,</w:t>
      </w:r>
      <w:r w:rsidR="00700C94">
        <w:t xml:space="preserve"> Egyptian colonies briefly existed </w:t>
      </w:r>
      <w:r>
        <w:t>throughout the Levant</w:t>
      </w:r>
      <w:r w:rsidR="003D690C">
        <w:t>, while economic and diplomatic contacts were maintained throughout the Early Dynastic period and Old Kingdom</w:t>
      </w:r>
      <w:r w:rsidR="006517F5">
        <w:t xml:space="preserve"> (</w:t>
      </w:r>
      <w:r w:rsidR="004773C4">
        <w:t>Steel 2016: 1).</w:t>
      </w:r>
      <w:r w:rsidR="003C2335">
        <w:t>Such connections might have been expressed</w:t>
      </w:r>
      <w:r w:rsidR="009D436B">
        <w:t xml:space="preserve"> by gift exchange</w:t>
      </w:r>
      <w:r w:rsidR="00B27445">
        <w:t xml:space="preserve"> </w:t>
      </w:r>
      <w:r w:rsidR="006517F5">
        <w:t>(</w:t>
      </w:r>
      <w:r w:rsidR="00D65199">
        <w:t xml:space="preserve">Steel 2016: 1) or paying </w:t>
      </w:r>
      <w:r w:rsidR="009D436B">
        <w:t>tribute to Egypt</w:t>
      </w:r>
      <w:r w:rsidR="003C2335">
        <w:t xml:space="preserve"> (Steel 2016:2). From finds, El-</w:t>
      </w:r>
      <w:r w:rsidR="00B27445">
        <w:t xml:space="preserve">Moghraqa seemed to have been significant in redistributing raw luxury materials such as carnelian, </w:t>
      </w:r>
      <w:r w:rsidR="009D436B" w:rsidRPr="00C71A3E">
        <w:t>as well as storing them</w:t>
      </w:r>
      <w:r w:rsidR="00B27445">
        <w:t xml:space="preserve"> (Steel et al 2004: 232).</w:t>
      </w:r>
      <w:r w:rsidR="00C43932">
        <w:t>Close tie</w:t>
      </w:r>
      <w:r w:rsidR="00E67061">
        <w:t>s with the Levant</w:t>
      </w:r>
      <w:r w:rsidR="00C43932">
        <w:t xml:space="preserve"> were also evident at Tell el-Maskhuta and Tell ed-Dab</w:t>
      </w:r>
      <w:r w:rsidR="00E67061">
        <w:t xml:space="preserve"> in Egypt (Steel 2016: 2)</w:t>
      </w:r>
      <w:r w:rsidR="00BE4BDF">
        <w:t xml:space="preserve">, therefore a </w:t>
      </w:r>
      <w:r w:rsidR="00E16D69">
        <w:t>Canaanite individual from el-Moghraqa</w:t>
      </w:r>
      <w:r w:rsidR="004773C4">
        <w:t xml:space="preserve"> (Steel 2016:6)</w:t>
      </w:r>
      <w:r w:rsidR="00E16D69">
        <w:t xml:space="preserve"> could have delivered</w:t>
      </w:r>
      <w:r w:rsidR="00BE4BDF">
        <w:t xml:space="preserve"> luxury goods</w:t>
      </w:r>
      <w:r w:rsidR="004773C4">
        <w:t xml:space="preserve"> to Thebes</w:t>
      </w:r>
      <w:r w:rsidR="00E16D69">
        <w:t>, possibly servicing the cemetery of Dynasty XVIII</w:t>
      </w:r>
      <w:r w:rsidR="004773C4">
        <w:t xml:space="preserve"> (Steel et al 2015:940)</w:t>
      </w:r>
      <w:r w:rsidR="00A35DBF">
        <w:t>, then recreating an own interpretation of the cones</w:t>
      </w:r>
      <w:r w:rsidR="004773C4">
        <w:t>, as symbols of prestige, not funerary objects (Steel 2016:6</w:t>
      </w:r>
      <w:r w:rsidR="00E16D69">
        <w:t>)</w:t>
      </w:r>
      <w:r w:rsidR="00E67061">
        <w:t>.</w:t>
      </w:r>
      <w:r w:rsidR="00A35DBF" w:rsidRPr="00A35DBF">
        <w:t xml:space="preserve"> </w:t>
      </w:r>
      <w:r w:rsidR="00A35DBF">
        <w:t>Such desired association with Egyptian material cultu</w:t>
      </w:r>
      <w:r w:rsidR="00A44335">
        <w:t>re was not uncommon</w:t>
      </w:r>
      <w:r w:rsidR="00CC75CE">
        <w:t xml:space="preserve">, as the </w:t>
      </w:r>
      <w:r w:rsidR="00A35DBF">
        <w:t xml:space="preserve">cemetery finds of </w:t>
      </w:r>
      <w:r w:rsidR="00CC75CE" w:rsidRPr="00CC75CE">
        <w:t xml:space="preserve">Deir el-Balah </w:t>
      </w:r>
      <w:r w:rsidR="00CC75CE">
        <w:t>show (Steel 2016:6-7</w:t>
      </w:r>
      <w:r w:rsidR="00A35DBF">
        <w:t>)</w:t>
      </w:r>
      <w:r w:rsidR="00D65199">
        <w:t xml:space="preserve">, the probable resting place of </w:t>
      </w:r>
      <w:r w:rsidR="00BE3E09">
        <w:t>Canaanites</w:t>
      </w:r>
      <w:r w:rsidR="00D65199">
        <w:t xml:space="preserve"> associating themselves with few Egyptian, but mostly local funerary practices (Steel 2016:7) </w:t>
      </w:r>
      <w:r w:rsidR="00A35DBF">
        <w:t>.</w:t>
      </w:r>
    </w:p>
    <w:p w14:paraId="63455A59" w14:textId="7DC652E8" w:rsidR="00D32FB4" w:rsidRDefault="00F2115A">
      <w:r>
        <w:t>Co</w:t>
      </w:r>
      <w:r w:rsidR="00E16D69">
        <w:t>nsidering the regions context</w:t>
      </w:r>
      <w:r w:rsidR="007D5135">
        <w:t xml:space="preserve">, </w:t>
      </w:r>
      <w:r w:rsidR="00E16D69">
        <w:t>the cone</w:t>
      </w:r>
      <w:r w:rsidR="007D5135">
        <w:t xml:space="preserve"> from El-Moghraqa could be classified as hybrid object,</w:t>
      </w:r>
      <w:r>
        <w:t xml:space="preserve"> combining existing techniques with new practices</w:t>
      </w:r>
      <w:r w:rsidR="007D5135">
        <w:t>, in this case a Canaanite context</w:t>
      </w:r>
      <w:r>
        <w:t xml:space="preserve"> (Steel 20</w:t>
      </w:r>
      <w:r w:rsidR="009E132D">
        <w:t>16: 3). The</w:t>
      </w:r>
      <w:r w:rsidR="007E5F36">
        <w:t xml:space="preserve"> hieroglyphs</w:t>
      </w:r>
      <w:r>
        <w:t xml:space="preserve"> </w:t>
      </w:r>
      <w:r w:rsidR="00E16D69">
        <w:t xml:space="preserve">on the original are </w:t>
      </w:r>
      <w:r>
        <w:t>crude</w:t>
      </w:r>
      <w:r w:rsidR="009E132D">
        <w:t>r</w:t>
      </w:r>
      <w:r>
        <w:t xml:space="preserve"> than</w:t>
      </w:r>
      <w:r w:rsidR="00E16D69">
        <w:t xml:space="preserve"> expected</w:t>
      </w:r>
      <w:r w:rsidR="00E2071A">
        <w:t xml:space="preserve"> from Egyptian examples, while Egypti</w:t>
      </w:r>
      <w:r w:rsidR="00E16D69">
        <w:t>an parallels</w:t>
      </w:r>
      <w:r w:rsidR="009E132D">
        <w:t xml:space="preserve"> also lack a</w:t>
      </w:r>
      <w:r w:rsidR="00E2071A">
        <w:t xml:space="preserve"> second c</w:t>
      </w:r>
      <w:r w:rsidR="00E16D69">
        <w:t xml:space="preserve">artouche on the </w:t>
      </w:r>
      <w:r w:rsidR="009E132D">
        <w:t>side</w:t>
      </w:r>
      <w:r w:rsidR="00E16D69">
        <w:t>,</w:t>
      </w:r>
      <w:r w:rsidR="00D65199">
        <w:t xml:space="preserve"> and always display the</w:t>
      </w:r>
      <w:r w:rsidR="00E2071A">
        <w:t xml:space="preserve"> name </w:t>
      </w:r>
      <w:r w:rsidR="009E132D">
        <w:t xml:space="preserve">of the </w:t>
      </w:r>
      <w:r w:rsidR="00E16D69">
        <w:t xml:space="preserve">tombs </w:t>
      </w:r>
      <w:r w:rsidR="009E132D">
        <w:t>owne</w:t>
      </w:r>
      <w:r w:rsidR="00E16D69">
        <w:t xml:space="preserve">r </w:t>
      </w:r>
      <w:r w:rsidR="00884B3D">
        <w:t>(Steel 2016:5</w:t>
      </w:r>
      <w:r w:rsidR="00A35DBF">
        <w:t>)</w:t>
      </w:r>
      <w:r w:rsidR="00C26CCC">
        <w:t xml:space="preserve">. </w:t>
      </w:r>
    </w:p>
    <w:p w14:paraId="236B311C" w14:textId="4F5B27C4" w:rsidR="00884B3D" w:rsidRDefault="00BE3E09">
      <w:r>
        <w:t>In conclusion, there is only speculation on how the cones of El-Moghraqa were used (</w:t>
      </w:r>
      <w:r w:rsidR="00D02F88">
        <w:t>Steel et al 2004:326</w:t>
      </w:r>
      <w:r>
        <w:t>), but given the close connection between the Levant and Egypt, a Canaanite individual with ties to Thebes might have well imitated the cones, giving them a new function as prestige objects(</w:t>
      </w:r>
      <w:r w:rsidR="00D02F88">
        <w:t>Steel 2016:6</w:t>
      </w:r>
      <w:r>
        <w:t xml:space="preserve">). Recreating the cone turned out quite difficult, with time and tools being limited and the material used not having been the same. However, this task gave me a great insight into the challenges of recreating an object of which I had no prior knowledge of creating, perhaps just like the individual creating the </w:t>
      </w:r>
      <w:r w:rsidR="00D02F88">
        <w:t>originals (</w:t>
      </w:r>
      <w:r w:rsidR="00D02F88">
        <w:t>Steel 2016:5</w:t>
      </w:r>
      <w:r>
        <w:t xml:space="preserve">). </w:t>
      </w:r>
    </w:p>
    <w:p w14:paraId="1F4A1FD9" w14:textId="77777777" w:rsidR="006171D7" w:rsidRDefault="006171D7"/>
    <w:p w14:paraId="79B49CDF" w14:textId="77777777" w:rsidR="006171D7" w:rsidRDefault="006171D7"/>
    <w:p w14:paraId="20F31D6F" w14:textId="77777777" w:rsidR="006171D7" w:rsidRDefault="006171D7"/>
    <w:p w14:paraId="29BD0012" w14:textId="77777777" w:rsidR="006171D7" w:rsidRDefault="006171D7"/>
    <w:p w14:paraId="52B876B9" w14:textId="77777777" w:rsidR="006171D7" w:rsidRDefault="006171D7"/>
    <w:p w14:paraId="48C99ED8" w14:textId="77777777" w:rsidR="006171D7" w:rsidRDefault="006171D7"/>
    <w:p w14:paraId="043D6829" w14:textId="77777777" w:rsidR="00CC4E27" w:rsidRDefault="00CC4E27"/>
    <w:p w14:paraId="79DFA114" w14:textId="77777777" w:rsidR="006171D7" w:rsidRDefault="006171D7"/>
    <w:p w14:paraId="13336997" w14:textId="14608285" w:rsidR="006171D7" w:rsidRDefault="006171D7" w:rsidP="00380FC6">
      <w:pPr>
        <w:jc w:val="center"/>
        <w:rPr>
          <w:b/>
          <w:sz w:val="24"/>
          <w:szCs w:val="24"/>
        </w:rPr>
      </w:pPr>
      <w:r w:rsidRPr="00380FC6">
        <w:rPr>
          <w:b/>
          <w:sz w:val="24"/>
          <w:szCs w:val="24"/>
        </w:rPr>
        <w:lastRenderedPageBreak/>
        <w:t>Reference List</w:t>
      </w:r>
    </w:p>
    <w:p w14:paraId="381420AD" w14:textId="77777777" w:rsidR="00380FC6" w:rsidRDefault="00380FC6" w:rsidP="00380FC6">
      <w:pPr>
        <w:jc w:val="center"/>
        <w:rPr>
          <w:b/>
          <w:sz w:val="24"/>
          <w:szCs w:val="24"/>
        </w:rPr>
      </w:pPr>
    </w:p>
    <w:p w14:paraId="773656E9" w14:textId="6EEDB058" w:rsidR="00380FC6" w:rsidRDefault="00380FC6" w:rsidP="00380FC6">
      <w:r>
        <w:t xml:space="preserve">Materiality’s Laboratory UWTSD Lampeter, 2018. </w:t>
      </w:r>
      <w:r>
        <w:rPr>
          <w:i/>
        </w:rPr>
        <w:t xml:space="preserve">Funerary cone facsimile. </w:t>
      </w:r>
      <w:r>
        <w:t>Figure 1.</w:t>
      </w:r>
    </w:p>
    <w:p w14:paraId="2F931DA0" w14:textId="5D21472E" w:rsidR="00380FC6" w:rsidRDefault="00D26724" w:rsidP="00380FC6">
      <w:r>
        <w:t>Steel,</w:t>
      </w:r>
      <w:r w:rsidR="002D61AD">
        <w:t xml:space="preserve"> </w:t>
      </w:r>
      <w:r>
        <w:t xml:space="preserve">L. </w:t>
      </w:r>
      <w:r w:rsidR="0038043D">
        <w:t>Manley,</w:t>
      </w:r>
      <w:r w:rsidR="002D61AD">
        <w:t xml:space="preserve"> </w:t>
      </w:r>
      <w:r w:rsidR="0038043D">
        <w:t>B. Clarke,</w:t>
      </w:r>
      <w:r w:rsidR="002D61AD">
        <w:t xml:space="preserve"> </w:t>
      </w:r>
      <w:r w:rsidR="0038043D">
        <w:t>J. and Sadeq,</w:t>
      </w:r>
      <w:r w:rsidR="002D61AD">
        <w:t xml:space="preserve"> </w:t>
      </w:r>
      <w:r w:rsidR="0038043D">
        <w:t>M.2015.Late Bronze Age Gaza:</w:t>
      </w:r>
      <w:r w:rsidR="002D61AD">
        <w:t xml:space="preserve"> </w:t>
      </w:r>
      <w:r w:rsidR="0038043D">
        <w:t>Prestige production at el-Moghraqa.</w:t>
      </w:r>
      <w:r w:rsidR="002D61AD">
        <w:t xml:space="preserve"> </w:t>
      </w:r>
      <w:r w:rsidR="0038043D">
        <w:rPr>
          <w:i/>
        </w:rPr>
        <w:t xml:space="preserve">Antiquity </w:t>
      </w:r>
      <w:r w:rsidR="0038043D">
        <w:t>76:939-40</w:t>
      </w:r>
    </w:p>
    <w:p w14:paraId="42C4C8EC" w14:textId="4C583BC3" w:rsidR="0038043D" w:rsidRDefault="0038043D" w:rsidP="00380FC6">
      <w:r>
        <w:t>Steel,</w:t>
      </w:r>
      <w:r w:rsidR="002D61AD">
        <w:t xml:space="preserve"> </w:t>
      </w:r>
      <w:r>
        <w:t>L.Manley,</w:t>
      </w:r>
      <w:r w:rsidR="002D61AD">
        <w:t xml:space="preserve"> </w:t>
      </w:r>
      <w:r>
        <w:t>W.</w:t>
      </w:r>
      <w:r w:rsidR="002D61AD">
        <w:t xml:space="preserve"> </w:t>
      </w:r>
      <w:r>
        <w:t>P.Clarke,</w:t>
      </w:r>
      <w:r w:rsidR="002D61AD">
        <w:t xml:space="preserve"> J. </w:t>
      </w:r>
      <w:r>
        <w:t>and Sadeq,</w:t>
      </w:r>
      <w:r w:rsidR="002D61AD">
        <w:t xml:space="preserve"> </w:t>
      </w:r>
      <w:r>
        <w:t>M.</w:t>
      </w:r>
      <w:r w:rsidR="002D61AD">
        <w:t xml:space="preserve"> </w:t>
      </w:r>
      <w:r>
        <w:t>2004.Shorter contributions:</w:t>
      </w:r>
      <w:r w:rsidR="002D61AD">
        <w:t xml:space="preserve"> </w:t>
      </w:r>
      <w:r>
        <w:t>Egyptian ‘Funerary cones’From El-Moghraqa,</w:t>
      </w:r>
      <w:r w:rsidR="002D61AD">
        <w:t xml:space="preserve"> </w:t>
      </w:r>
      <w:r>
        <w:t xml:space="preserve">Gaza. </w:t>
      </w:r>
      <w:r>
        <w:rPr>
          <w:i/>
        </w:rPr>
        <w:t xml:space="preserve">The Antiquaries Journal </w:t>
      </w:r>
      <w:r>
        <w:t>84:319-33</w:t>
      </w:r>
    </w:p>
    <w:p w14:paraId="4CA910B0" w14:textId="6C77A749" w:rsidR="0038043D" w:rsidRPr="0038043D" w:rsidRDefault="0038043D" w:rsidP="00380FC6">
      <w:r>
        <w:t>Steel,</w:t>
      </w:r>
      <w:r w:rsidR="002D61AD">
        <w:t xml:space="preserve"> </w:t>
      </w:r>
      <w:r>
        <w:t>L.</w:t>
      </w:r>
      <w:r w:rsidR="002D61AD">
        <w:t xml:space="preserve"> </w:t>
      </w:r>
      <w:r>
        <w:t>2016.Shifting Relations in Bronze Age Gaza.</w:t>
      </w:r>
      <w:r w:rsidR="002D61AD">
        <w:t xml:space="preserve"> </w:t>
      </w:r>
      <w:r>
        <w:rPr>
          <w:i/>
        </w:rPr>
        <w:t>Archaeology,</w:t>
      </w:r>
      <w:r w:rsidR="002D61AD">
        <w:rPr>
          <w:i/>
        </w:rPr>
        <w:t xml:space="preserve"> </w:t>
      </w:r>
      <w:r>
        <w:rPr>
          <w:i/>
        </w:rPr>
        <w:t xml:space="preserve">Syncretism and Creolisation </w:t>
      </w:r>
      <w:r>
        <w:t>Oxford:</w:t>
      </w:r>
      <w:r w:rsidR="00CC4E27">
        <w:t xml:space="preserve"> </w:t>
      </w:r>
      <w:r>
        <w:t>1-16</w:t>
      </w:r>
    </w:p>
    <w:p w14:paraId="366679EE" w14:textId="77777777" w:rsidR="006171D7" w:rsidRDefault="006171D7"/>
    <w:p w14:paraId="557BE0BD" w14:textId="77777777" w:rsidR="006171D7" w:rsidRDefault="006171D7"/>
    <w:sectPr w:rsidR="006171D7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67FB"/>
    <w:rsid w:val="00016261"/>
    <w:rsid w:val="00016BC4"/>
    <w:rsid w:val="00035298"/>
    <w:rsid w:val="00042148"/>
    <w:rsid w:val="00045815"/>
    <w:rsid w:val="000555A3"/>
    <w:rsid w:val="000A160D"/>
    <w:rsid w:val="0011234A"/>
    <w:rsid w:val="00144981"/>
    <w:rsid w:val="00163BCD"/>
    <w:rsid w:val="001866D9"/>
    <w:rsid w:val="001E0409"/>
    <w:rsid w:val="001E1F9E"/>
    <w:rsid w:val="001F619D"/>
    <w:rsid w:val="00260958"/>
    <w:rsid w:val="002914CC"/>
    <w:rsid w:val="002B5382"/>
    <w:rsid w:val="002D61AD"/>
    <w:rsid w:val="002F1E01"/>
    <w:rsid w:val="002F44D1"/>
    <w:rsid w:val="003475B3"/>
    <w:rsid w:val="00371C98"/>
    <w:rsid w:val="0038043D"/>
    <w:rsid w:val="00380FC6"/>
    <w:rsid w:val="003A765D"/>
    <w:rsid w:val="003C2335"/>
    <w:rsid w:val="003D690C"/>
    <w:rsid w:val="00444251"/>
    <w:rsid w:val="004773C4"/>
    <w:rsid w:val="00506120"/>
    <w:rsid w:val="005128FD"/>
    <w:rsid w:val="005177A0"/>
    <w:rsid w:val="0052506B"/>
    <w:rsid w:val="0054769F"/>
    <w:rsid w:val="006171D7"/>
    <w:rsid w:val="006360E9"/>
    <w:rsid w:val="006517F5"/>
    <w:rsid w:val="0067110E"/>
    <w:rsid w:val="00700C94"/>
    <w:rsid w:val="00722681"/>
    <w:rsid w:val="007903E5"/>
    <w:rsid w:val="007B4C73"/>
    <w:rsid w:val="007D5135"/>
    <w:rsid w:val="007E5F36"/>
    <w:rsid w:val="00841EFB"/>
    <w:rsid w:val="00884B3D"/>
    <w:rsid w:val="008B185E"/>
    <w:rsid w:val="00917C0F"/>
    <w:rsid w:val="00937731"/>
    <w:rsid w:val="00942F3F"/>
    <w:rsid w:val="00961A43"/>
    <w:rsid w:val="009846A3"/>
    <w:rsid w:val="009B7915"/>
    <w:rsid w:val="009D436B"/>
    <w:rsid w:val="009E132D"/>
    <w:rsid w:val="00A068E8"/>
    <w:rsid w:val="00A35DBF"/>
    <w:rsid w:val="00A36858"/>
    <w:rsid w:val="00A400D7"/>
    <w:rsid w:val="00A44335"/>
    <w:rsid w:val="00A75975"/>
    <w:rsid w:val="00AD67EA"/>
    <w:rsid w:val="00B01DD4"/>
    <w:rsid w:val="00B03392"/>
    <w:rsid w:val="00B268DF"/>
    <w:rsid w:val="00B27445"/>
    <w:rsid w:val="00B467FB"/>
    <w:rsid w:val="00B6600A"/>
    <w:rsid w:val="00B73EE5"/>
    <w:rsid w:val="00BE2F3E"/>
    <w:rsid w:val="00BE3E09"/>
    <w:rsid w:val="00BE4BDF"/>
    <w:rsid w:val="00C26CCC"/>
    <w:rsid w:val="00C37664"/>
    <w:rsid w:val="00C43932"/>
    <w:rsid w:val="00C56696"/>
    <w:rsid w:val="00C71A3E"/>
    <w:rsid w:val="00CB759C"/>
    <w:rsid w:val="00CC4E27"/>
    <w:rsid w:val="00CC75CE"/>
    <w:rsid w:val="00D02B07"/>
    <w:rsid w:val="00D02F88"/>
    <w:rsid w:val="00D122CD"/>
    <w:rsid w:val="00D26724"/>
    <w:rsid w:val="00D32FB4"/>
    <w:rsid w:val="00D61592"/>
    <w:rsid w:val="00D65199"/>
    <w:rsid w:val="00D76080"/>
    <w:rsid w:val="00D86771"/>
    <w:rsid w:val="00DE06F5"/>
    <w:rsid w:val="00DE3ED1"/>
    <w:rsid w:val="00E16D69"/>
    <w:rsid w:val="00E2071A"/>
    <w:rsid w:val="00E67061"/>
    <w:rsid w:val="00E71B86"/>
    <w:rsid w:val="00E86EC1"/>
    <w:rsid w:val="00E96790"/>
    <w:rsid w:val="00ED27A7"/>
    <w:rsid w:val="00F2115A"/>
    <w:rsid w:val="00F42A3D"/>
    <w:rsid w:val="00F45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72FDE29"/>
  <w15:chartTrackingRefBased/>
  <w15:docId w15:val="{D701DD0D-A506-48C3-BB33-F9CEA72BE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  <w:rPr>
      <w:lang w:val="en-GB"/>
    </w:rPr>
  </w:style>
  <w:style w:type="paragraph" w:styleId="berschrift1">
    <w:name w:val="heading 1"/>
    <w:basedOn w:val="Standard"/>
    <w:link w:val="berschrift1Zchn"/>
    <w:uiPriority w:val="9"/>
    <w:qFormat/>
    <w:rsid w:val="00961A4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de-DE" w:eastAsia="de-DE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character" w:styleId="Kommentarzeichen">
    <w:name w:val="annotation reference"/>
    <w:basedOn w:val="Absatz-Standardschriftart"/>
    <w:uiPriority w:val="99"/>
    <w:semiHidden/>
    <w:unhideWhenUsed/>
    <w:rsid w:val="003475B3"/>
    <w:rPr>
      <w:sz w:val="16"/>
      <w:szCs w:val="16"/>
    </w:rPr>
  </w:style>
  <w:style w:type="paragraph" w:styleId="Kommentartext">
    <w:name w:val="annotation text"/>
    <w:basedOn w:val="Standard"/>
    <w:link w:val="KommentartextZchn"/>
    <w:uiPriority w:val="99"/>
    <w:semiHidden/>
    <w:unhideWhenUsed/>
    <w:rsid w:val="003475B3"/>
    <w:pPr>
      <w:spacing w:line="240" w:lineRule="auto"/>
    </w:pPr>
    <w:rPr>
      <w:sz w:val="20"/>
      <w:szCs w:val="20"/>
    </w:rPr>
  </w:style>
  <w:style w:type="character" w:customStyle="1" w:styleId="KommentartextZchn">
    <w:name w:val="Kommentartext Zchn"/>
    <w:basedOn w:val="Absatz-Standardschriftart"/>
    <w:link w:val="Kommentartext"/>
    <w:uiPriority w:val="99"/>
    <w:semiHidden/>
    <w:rsid w:val="003475B3"/>
    <w:rPr>
      <w:sz w:val="20"/>
      <w:szCs w:val="20"/>
      <w:lang w:val="en-GB"/>
    </w:rPr>
  </w:style>
  <w:style w:type="paragraph" w:styleId="Kommentarthema">
    <w:name w:val="annotation subject"/>
    <w:basedOn w:val="Kommentartext"/>
    <w:next w:val="Kommentartext"/>
    <w:link w:val="KommentarthemaZchn"/>
    <w:uiPriority w:val="99"/>
    <w:semiHidden/>
    <w:unhideWhenUsed/>
    <w:rsid w:val="003475B3"/>
    <w:rPr>
      <w:b/>
      <w:bCs/>
    </w:rPr>
  </w:style>
  <w:style w:type="character" w:customStyle="1" w:styleId="KommentarthemaZchn">
    <w:name w:val="Kommentarthema Zchn"/>
    <w:basedOn w:val="KommentartextZchn"/>
    <w:link w:val="Kommentarthema"/>
    <w:uiPriority w:val="99"/>
    <w:semiHidden/>
    <w:rsid w:val="003475B3"/>
    <w:rPr>
      <w:b/>
      <w:bCs/>
      <w:sz w:val="20"/>
      <w:szCs w:val="20"/>
      <w:lang w:val="en-GB"/>
    </w:rPr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3475B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3475B3"/>
    <w:rPr>
      <w:rFonts w:ascii="Segoe UI" w:hAnsi="Segoe UI" w:cs="Segoe UI"/>
      <w:sz w:val="18"/>
      <w:szCs w:val="18"/>
      <w:lang w:val="en-GB"/>
    </w:rPr>
  </w:style>
  <w:style w:type="character" w:customStyle="1" w:styleId="berschrift1Zchn">
    <w:name w:val="Überschrift 1 Zchn"/>
    <w:basedOn w:val="Absatz-Standardschriftart"/>
    <w:link w:val="berschrift1"/>
    <w:uiPriority w:val="9"/>
    <w:rsid w:val="00961A43"/>
    <w:rPr>
      <w:rFonts w:ascii="Times New Roman" w:eastAsia="Times New Roman" w:hAnsi="Times New Roman" w:cs="Times New Roman"/>
      <w:b/>
      <w:bCs/>
      <w:kern w:val="36"/>
      <w:sz w:val="48"/>
      <w:szCs w:val="48"/>
      <w:lang w:eastAsia="de-D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8753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496A4B4-269B-46B5-A3B7-15F59E8E8D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834</Words>
  <Characters>5261</Characters>
  <Application>Microsoft Office Word</Application>
  <DocSecurity>0</DocSecurity>
  <Lines>43</Lines>
  <Paragraphs>12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Schokoladeneis Marzipan</dc:creator>
  <cp:keywords/>
  <dc:description/>
  <cp:lastModifiedBy>Schokoladeneis Marzipan</cp:lastModifiedBy>
  <cp:revision>2</cp:revision>
  <dcterms:created xsi:type="dcterms:W3CDTF">2018-03-12T23:18:00Z</dcterms:created>
  <dcterms:modified xsi:type="dcterms:W3CDTF">2018-03-12T23:18:00Z</dcterms:modified>
</cp:coreProperties>
</file>