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b/>
          <w:bCs/>
          <w:color w:val="000000"/>
          <w:sz w:val="32"/>
          <w:szCs w:val="24"/>
          <w:lang w:val="en-IN" w:eastAsia="en-IN"/>
        </w:rPr>
      </w:pPr>
    </w:p>
    <w:p>
      <w:pPr>
        <w:spacing w:after="0" w:line="360" w:lineRule="auto"/>
        <w:jc w:val="center"/>
        <w:rPr>
          <w:rFonts w:ascii="Arial" w:hAnsi="Arial" w:eastAsia="Times New Roman" w:cs="Arial"/>
          <w:sz w:val="32"/>
          <w:szCs w:val="24"/>
          <w:u w:val="single"/>
          <w:lang w:val="en-IN" w:eastAsia="en-IN"/>
        </w:rPr>
      </w:pPr>
      <w:r>
        <w:rPr>
          <w:rFonts w:ascii="Arial" w:hAnsi="Arial" w:eastAsia="Times New Roman" w:cs="Arial"/>
          <w:b/>
          <w:bCs/>
          <w:color w:val="000000"/>
          <w:sz w:val="32"/>
          <w:szCs w:val="24"/>
          <w:u w:val="single"/>
          <w:lang w:val="en-IN" w:eastAsia="en-IN"/>
        </w:rPr>
        <w:t>BMIH5003</w:t>
      </w:r>
    </w:p>
    <w:p>
      <w:pPr>
        <w:spacing w:after="0" w:line="360" w:lineRule="auto"/>
        <w:jc w:val="center"/>
        <w:rPr>
          <w:rFonts w:ascii="Arial" w:hAnsi="Arial" w:eastAsia="Times New Roman" w:cs="Arial"/>
          <w:sz w:val="32"/>
          <w:szCs w:val="24"/>
          <w:lang w:val="en-IN" w:eastAsia="en-IN"/>
        </w:rPr>
      </w:pPr>
    </w:p>
    <w:p>
      <w:pPr>
        <w:spacing w:after="0" w:line="360" w:lineRule="auto"/>
        <w:jc w:val="center"/>
        <w:rPr>
          <w:rFonts w:ascii="Arial" w:hAnsi="Arial" w:eastAsia="Times New Roman" w:cs="Arial"/>
          <w:sz w:val="32"/>
          <w:szCs w:val="24"/>
          <w:u w:val="single"/>
          <w:lang w:val="en-IN" w:eastAsia="en-IN"/>
        </w:rPr>
      </w:pPr>
      <w:r>
        <w:rPr>
          <w:rFonts w:ascii="Arial" w:hAnsi="Arial" w:eastAsia="Times New Roman" w:cs="Arial"/>
          <w:b/>
          <w:bCs/>
          <w:color w:val="000000"/>
          <w:sz w:val="32"/>
          <w:szCs w:val="24"/>
          <w:u w:val="single"/>
          <w:lang w:val="en-IN" w:eastAsia="en-IN"/>
        </w:rPr>
        <w:t>FOREIGN LANGUAGES &amp; CULTURAL AWARENESS</w:t>
      </w:r>
    </w:p>
    <w:p>
      <w:pPr>
        <w:spacing w:after="0" w:line="360" w:lineRule="auto"/>
        <w:jc w:val="center"/>
        <w:rPr>
          <w:rFonts w:ascii="Arial" w:hAnsi="Arial" w:eastAsia="Times New Roman" w:cs="Arial"/>
          <w:b/>
          <w:bCs/>
          <w:color w:val="000000"/>
          <w:sz w:val="32"/>
          <w:szCs w:val="24"/>
          <w:u w:val="single"/>
          <w:lang w:val="en-IN" w:eastAsia="en-IN"/>
        </w:rPr>
      </w:pPr>
      <w:r>
        <w:rPr>
          <w:rFonts w:ascii="Arial" w:hAnsi="Arial" w:eastAsia="Times New Roman" w:cs="Arial"/>
          <w:b/>
          <w:bCs/>
          <w:color w:val="000000"/>
          <w:sz w:val="32"/>
          <w:szCs w:val="24"/>
          <w:u w:val="single"/>
          <w:lang w:val="en-IN" w:eastAsia="en-IN"/>
        </w:rPr>
        <w:t>INTERCULTURAL COMPETENCE REPORT</w:t>
      </w:r>
    </w:p>
    <w:p>
      <w:pPr>
        <w:spacing w:line="360" w:lineRule="auto"/>
        <w:jc w:val="center"/>
        <w:rPr>
          <w:rFonts w:hint="default"/>
          <w:b/>
          <w:i/>
          <w:lang w:val="en-GB"/>
        </w:rPr>
      </w:pPr>
      <w:r>
        <w:rPr>
          <w:b/>
          <w:i/>
          <w:lang w:val="en-GB"/>
        </w:rPr>
        <w:t xml:space="preserve">Module Code: </w:t>
      </w:r>
      <w:r>
        <w:rPr>
          <w:rFonts w:hint="default"/>
          <w:b/>
          <w:i/>
          <w:lang w:val="en-GB"/>
        </w:rPr>
        <w:t>BMIH5003</w:t>
      </w:r>
    </w:p>
    <w:p>
      <w:pPr>
        <w:spacing w:line="360" w:lineRule="auto"/>
        <w:jc w:val="center"/>
        <w:rPr>
          <w:b/>
          <w:i/>
          <w:lang w:val="en-GB"/>
        </w:rPr>
      </w:pPr>
      <w:r>
        <w:rPr>
          <w:rFonts w:hint="default"/>
          <w:b/>
          <w:i/>
          <w:lang w:val="en-GB"/>
        </w:rPr>
        <w:t>Foreign Languages and Cultural Awareness</w:t>
      </w:r>
    </w:p>
    <w:p>
      <w:pPr>
        <w:spacing w:line="360" w:lineRule="auto"/>
        <w:jc w:val="center"/>
        <w:rPr>
          <w:rFonts w:hint="default"/>
          <w:b/>
          <w:i/>
          <w:lang w:val="en-GB"/>
        </w:rPr>
      </w:pPr>
      <w:r>
        <w:rPr>
          <w:b/>
          <w:i/>
          <w:lang w:val="en-GB"/>
        </w:rPr>
        <w:t>Student Name:</w:t>
      </w:r>
      <w:r>
        <w:rPr>
          <w:rFonts w:hint="default"/>
          <w:b/>
          <w:i/>
          <w:lang w:val="en-GB"/>
        </w:rPr>
        <w:t xml:space="preserve"> Catalin Mircea Leva </w:t>
      </w:r>
    </w:p>
    <w:p>
      <w:pPr>
        <w:spacing w:line="360" w:lineRule="auto"/>
        <w:jc w:val="center"/>
        <w:rPr>
          <w:rFonts w:hint="default"/>
          <w:b/>
          <w:i/>
          <w:lang w:val="en-GB"/>
        </w:rPr>
      </w:pPr>
      <w:r>
        <w:rPr>
          <w:b/>
          <w:i/>
          <w:lang w:val="en-GB"/>
        </w:rPr>
        <w:t>Student ID:</w:t>
      </w:r>
      <w:r>
        <w:rPr>
          <w:rFonts w:hint="default"/>
          <w:b/>
          <w:i/>
          <w:lang w:val="en-GB"/>
        </w:rPr>
        <w:t xml:space="preserve"> 2244690 </w:t>
      </w:r>
    </w:p>
    <w:p>
      <w:pPr>
        <w:spacing w:line="360" w:lineRule="auto"/>
        <w:jc w:val="center"/>
        <w:rPr>
          <w:rFonts w:hint="default"/>
          <w:b/>
          <w:i/>
          <w:lang w:val="en-GB"/>
        </w:rPr>
      </w:pPr>
      <w:r>
        <w:rPr>
          <w:rFonts w:hint="default"/>
          <w:b/>
          <w:i/>
          <w:lang w:val="en-GB"/>
        </w:rPr>
        <w:t>Module leader : Giulia Chifari</w:t>
      </w:r>
    </w:p>
    <w:p>
      <w:pPr>
        <w:spacing w:after="0" w:line="360" w:lineRule="auto"/>
        <w:jc w:val="center"/>
        <w:rPr>
          <w:rFonts w:hint="default" w:ascii="Arial" w:hAnsi="Arial" w:eastAsia="Times New Roman" w:cs="Arial"/>
          <w:b/>
          <w:bCs/>
          <w:color w:val="000000"/>
          <w:sz w:val="32"/>
          <w:szCs w:val="24"/>
          <w:lang w:val="en-GB" w:eastAsia="en-IN"/>
        </w:rPr>
      </w:pPr>
      <w:bookmarkStart w:id="5" w:name="_GoBack"/>
      <w:bookmarkEnd w:id="5"/>
    </w:p>
    <w:p>
      <w:pPr>
        <w:rPr>
          <w:rFonts w:ascii="Arial" w:hAnsi="Arial" w:eastAsia="Times New Roman" w:cs="Arial"/>
          <w:b/>
          <w:bCs/>
          <w:color w:val="000000"/>
          <w:sz w:val="32"/>
          <w:szCs w:val="24"/>
          <w:lang w:val="en-IN" w:eastAsia="en-IN"/>
        </w:rPr>
      </w:pPr>
      <w:r>
        <w:rPr>
          <w:rFonts w:ascii="Arial" w:hAnsi="Arial" w:eastAsia="Times New Roman" w:cs="Arial"/>
          <w:b/>
          <w:bCs/>
          <w:color w:val="000000"/>
          <w:sz w:val="32"/>
          <w:szCs w:val="24"/>
          <w:lang w:val="en-IN" w:eastAsia="en-IN"/>
        </w:rPr>
        <w:br w:type="page"/>
      </w:r>
    </w:p>
    <w:sdt>
      <w:sdtPr>
        <w:rPr>
          <w:rFonts w:ascii="Arial" w:hAnsi="Arial" w:cs="Arial" w:eastAsiaTheme="minorHAnsi"/>
          <w:b w:val="0"/>
          <w:bCs w:val="0"/>
          <w:color w:val="auto"/>
          <w:sz w:val="24"/>
          <w:szCs w:val="24"/>
          <w:lang w:val="en-GB"/>
        </w:rPr>
        <w:id w:val="28694760"/>
        <w:docPartObj>
          <w:docPartGallery w:val="Table of Contents"/>
          <w:docPartUnique/>
        </w:docPartObj>
      </w:sdtPr>
      <w:sdtEndPr>
        <w:rPr>
          <w:rFonts w:asciiTheme="minorHAnsi" w:hAnsiTheme="minorHAnsi" w:eastAsiaTheme="minorHAnsi" w:cstheme="minorBidi"/>
          <w:b w:val="0"/>
          <w:bCs w:val="0"/>
          <w:color w:val="auto"/>
          <w:sz w:val="22"/>
          <w:szCs w:val="22"/>
          <w:lang w:val="en-GB"/>
        </w:rPr>
      </w:sdtEndPr>
      <w:sdtContent>
        <w:p>
          <w:pPr>
            <w:pStyle w:val="16"/>
            <w:spacing w:line="360" w:lineRule="auto"/>
            <w:jc w:val="center"/>
            <w:rPr>
              <w:rFonts w:ascii="Arial" w:hAnsi="Arial" w:cs="Arial"/>
              <w:color w:val="auto"/>
              <w:sz w:val="24"/>
              <w:szCs w:val="24"/>
            </w:rPr>
          </w:pPr>
          <w:r>
            <w:rPr>
              <w:rFonts w:ascii="Arial" w:hAnsi="Arial" w:cs="Arial"/>
              <w:color w:val="auto"/>
              <w:szCs w:val="24"/>
            </w:rPr>
            <w:t>Table of Contents</w:t>
          </w:r>
        </w:p>
        <w:p>
          <w:pPr>
            <w:pStyle w:val="10"/>
            <w:tabs>
              <w:tab w:val="right" w:leader="dot" w:pos="9016"/>
            </w:tabs>
            <w:spacing w:line="360" w:lineRule="auto"/>
            <w:jc w:val="both"/>
            <w:rPr>
              <w:rFonts w:ascii="Arial" w:hAnsi="Arial" w:cs="Arial" w:eastAsiaTheme="minorEastAsia"/>
              <w:sz w:val="24"/>
              <w:szCs w:val="24"/>
              <w:lang w:val="en-IN" w:eastAsia="en-IN"/>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"_Toc165482068" </w:instrText>
          </w:r>
          <w:r>
            <w:fldChar w:fldCharType="separate"/>
          </w:r>
          <w:r>
            <w:rPr>
              <w:rStyle w:val="8"/>
              <w:rFonts w:ascii="Arial" w:hAnsi="Arial" w:eastAsia="Times New Roman" w:cs="Arial"/>
              <w:sz w:val="24"/>
              <w:szCs w:val="24"/>
              <w:lang w:val="en-IN" w:eastAsia="en-IN"/>
            </w:rPr>
            <w:t>Introduc</w:t>
          </w:r>
          <w:r>
            <w:rPr>
              <w:rStyle w:val="8"/>
              <w:rFonts w:ascii="Arial" w:hAnsi="Arial" w:cs="Arial"/>
              <w:sz w:val="24"/>
              <w:szCs w:val="24"/>
              <w:lang w:val="en-IN" w:eastAsia="en-IN"/>
            </w:rPr>
            <w:t>t</w:t>
          </w:r>
          <w:r>
            <w:rPr>
              <w:rStyle w:val="8"/>
              <w:rFonts w:ascii="Arial" w:hAnsi="Arial" w:eastAsia="Times New Roman" w:cs="Arial"/>
              <w:sz w:val="24"/>
              <w:szCs w:val="24"/>
              <w:lang w:val="en-IN" w:eastAsia="en-IN"/>
            </w:rPr>
            <w: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_Toc165482068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10"/>
            <w:tabs>
              <w:tab w:val="right" w:leader="dot" w:pos="9016"/>
            </w:tabs>
            <w:spacing w:line="360" w:lineRule="auto"/>
            <w:jc w:val="both"/>
            <w:rPr>
              <w:rFonts w:ascii="Arial" w:hAnsi="Arial" w:cs="Arial" w:eastAsiaTheme="minorEastAsia"/>
              <w:sz w:val="24"/>
              <w:szCs w:val="24"/>
              <w:lang w:val="en-IN" w:eastAsia="en-IN"/>
            </w:rPr>
          </w:pPr>
          <w:r>
            <w:fldChar w:fldCharType="begin"/>
          </w:r>
          <w:r>
            <w:instrText xml:space="preserve"> HYPERLINK \l "_Toc165482069" </w:instrText>
          </w:r>
          <w:r>
            <w:fldChar w:fldCharType="separate"/>
          </w:r>
          <w:r>
            <w:rPr>
              <w:rStyle w:val="8"/>
              <w:rFonts w:ascii="Arial" w:hAnsi="Arial" w:eastAsia="Times New Roman" w:cs="Arial"/>
              <w:sz w:val="24"/>
              <w:szCs w:val="24"/>
              <w:lang w:val="en-IN" w:eastAsia="en-IN"/>
            </w:rPr>
            <w:t>Main body</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_Toc165482069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pPr>
            <w:pStyle w:val="10"/>
            <w:tabs>
              <w:tab w:val="right" w:leader="dot" w:pos="9016"/>
            </w:tabs>
            <w:spacing w:line="360" w:lineRule="auto"/>
            <w:jc w:val="both"/>
            <w:rPr>
              <w:rFonts w:ascii="Arial" w:hAnsi="Arial" w:cs="Arial" w:eastAsiaTheme="minorEastAsia"/>
              <w:sz w:val="24"/>
              <w:szCs w:val="24"/>
              <w:lang w:val="en-IN" w:eastAsia="en-IN"/>
            </w:rPr>
          </w:pPr>
          <w:r>
            <w:fldChar w:fldCharType="begin"/>
          </w:r>
          <w:r>
            <w:instrText xml:space="preserve"> HYPERLINK \l "_Toc165482070" </w:instrText>
          </w:r>
          <w:r>
            <w:fldChar w:fldCharType="separate"/>
          </w:r>
          <w:r>
            <w:rPr>
              <w:rStyle w:val="8"/>
              <w:rFonts w:ascii="Arial" w:hAnsi="Arial" w:eastAsia="Times New Roman" w:cs="Arial"/>
              <w:sz w:val="24"/>
              <w:szCs w:val="24"/>
              <w:lang w:val="en-IN" w:eastAsia="en-IN"/>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_Toc165482070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10"/>
            <w:tabs>
              <w:tab w:val="right" w:leader="dot" w:pos="9016"/>
            </w:tabs>
            <w:spacing w:line="360" w:lineRule="auto"/>
            <w:jc w:val="both"/>
            <w:rPr>
              <w:rFonts w:ascii="Arial" w:hAnsi="Arial" w:cs="Arial" w:eastAsiaTheme="minorEastAsia"/>
              <w:sz w:val="24"/>
              <w:szCs w:val="24"/>
              <w:lang w:val="en-IN" w:eastAsia="en-IN"/>
            </w:rPr>
          </w:pPr>
          <w:r>
            <w:fldChar w:fldCharType="begin"/>
          </w:r>
          <w:r>
            <w:instrText xml:space="preserve"> HYPERLINK \l "_Toc165482071" </w:instrText>
          </w:r>
          <w:r>
            <w:fldChar w:fldCharType="separate"/>
          </w:r>
          <w:r>
            <w:rPr>
              <w:rStyle w:val="8"/>
              <w:rFonts w:ascii="Arial" w:hAnsi="Arial" w:eastAsia="Times New Roman" w:cs="Arial"/>
              <w:sz w:val="24"/>
              <w:szCs w:val="24"/>
              <w:lang w:val="en-IN" w:eastAsia="en-IN"/>
            </w:rPr>
            <w:t>Recommendation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_Toc165482071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pPr>
            <w:pStyle w:val="10"/>
            <w:tabs>
              <w:tab w:val="right" w:leader="dot" w:pos="9016"/>
            </w:tabs>
            <w:spacing w:line="360" w:lineRule="auto"/>
            <w:jc w:val="both"/>
            <w:rPr>
              <w:rFonts w:ascii="Arial" w:hAnsi="Arial" w:cs="Arial" w:eastAsiaTheme="minorEastAsia"/>
              <w:sz w:val="24"/>
              <w:szCs w:val="24"/>
              <w:lang w:val="en-IN" w:eastAsia="en-IN"/>
            </w:rPr>
          </w:pPr>
          <w:r>
            <w:fldChar w:fldCharType="begin"/>
          </w:r>
          <w:r>
            <w:instrText xml:space="preserve"> HYPERLINK \l "_Toc165482072" </w:instrText>
          </w:r>
          <w:r>
            <w:fldChar w:fldCharType="separate"/>
          </w:r>
          <w:r>
            <w:rPr>
              <w:rStyle w:val="8"/>
              <w:rFonts w:ascii="Arial" w:hAnsi="Arial" w:eastAsia="Times New Roman" w:cs="Arial"/>
              <w:sz w:val="24"/>
              <w:szCs w:val="24"/>
              <w:lang w:val="en-IN" w:eastAsia="en-IN"/>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_Toc165482072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pPr>
            <w:spacing w:line="360" w:lineRule="auto"/>
            <w:jc w:val="both"/>
          </w:pPr>
          <w:r>
            <w:rPr>
              <w:rFonts w:ascii="Arial" w:hAnsi="Arial" w:cs="Arial"/>
              <w:sz w:val="24"/>
              <w:szCs w:val="24"/>
            </w:rPr>
            <w:fldChar w:fldCharType="end"/>
          </w:r>
        </w:p>
      </w:sdtContent>
    </w:sdt>
    <w:p>
      <w:pPr>
        <w:spacing w:after="0" w:line="360" w:lineRule="auto"/>
        <w:jc w:val="center"/>
        <w:rPr>
          <w:rFonts w:ascii="Arial" w:hAnsi="Arial" w:eastAsia="Times New Roman" w:cs="Arial"/>
          <w:b/>
          <w:bCs/>
          <w:color w:val="000000"/>
          <w:sz w:val="32"/>
          <w:szCs w:val="24"/>
          <w:lang w:val="en-IN" w:eastAsia="en-IN"/>
        </w:rPr>
      </w:pPr>
    </w:p>
    <w:p>
      <w:pPr>
        <w:rPr>
          <w:rFonts w:ascii="Arial" w:hAnsi="Arial" w:eastAsia="Times New Roman" w:cs="Arial"/>
          <w:b/>
          <w:bCs/>
          <w:color w:val="000000"/>
          <w:sz w:val="24"/>
          <w:szCs w:val="24"/>
          <w:lang w:val="en-IN" w:eastAsia="en-IN"/>
        </w:rPr>
      </w:pPr>
      <w:r>
        <w:rPr>
          <w:rFonts w:ascii="Arial" w:hAnsi="Arial" w:eastAsia="Times New Roman" w:cs="Arial"/>
          <w:b/>
          <w:bCs/>
          <w:color w:val="000000"/>
          <w:sz w:val="24"/>
          <w:szCs w:val="24"/>
          <w:lang w:val="en-IN" w:eastAsia="en-IN"/>
        </w:rPr>
        <w:br w:type="page"/>
      </w:r>
    </w:p>
    <w:p>
      <w:pPr>
        <w:spacing w:after="0" w:line="360" w:lineRule="auto"/>
        <w:jc w:val="center"/>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Executive Summary</w:t>
      </w:r>
    </w:p>
    <w:p>
      <w:pPr>
        <w:spacing w:after="0" w:line="360" w:lineRule="auto"/>
        <w:jc w:val="both"/>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This report focuses on intercultural leadership and its effects on the hotel's business namely “GGH Hotels and Resorts Pvt Ltd '' and its effects on the overall hospitality industry. In order to highlight the leaderships and cultural differences within the organisations, England and Germany have been taken into consideration. Identification of the different cultures and customs among the individuals of these two distinct countries has stated in this report. Furthermore, the possible issues reflecting intercultural barriers within the hotel business have stated in order to derive potential resolution to the problems. Effective recommendations are stated to reduce the effects of intercultural barriers, which will promote “GGH Hotels and Resorts Pvt Ltd ''  in the future.</w:t>
      </w:r>
    </w:p>
    <w:p>
      <w:pPr>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br w:type="page"/>
      </w:r>
    </w:p>
    <w:p>
      <w:pPr>
        <w:pStyle w:val="2"/>
        <w:rPr>
          <w:rFonts w:eastAsia="Times New Roman"/>
          <w:lang w:val="en-IN" w:eastAsia="en-IN"/>
        </w:rPr>
      </w:pPr>
      <w:bookmarkStart w:id="0" w:name="_Toc165482068"/>
      <w:r>
        <w:rPr>
          <w:rFonts w:eastAsia="Times New Roman"/>
          <w:lang w:val="en-IN" w:eastAsia="en-IN"/>
        </w:rPr>
        <w:t>Introduc</w:t>
      </w:r>
      <w:r>
        <w:rPr>
          <w:lang w:val="en-IN" w:eastAsia="en-IN"/>
        </w:rPr>
        <w:t>t</w:t>
      </w:r>
      <w:r>
        <w:rPr>
          <w:rFonts w:eastAsia="Times New Roman"/>
          <w:lang w:val="en-IN" w:eastAsia="en-IN"/>
        </w:rPr>
        <w:t>ion</w:t>
      </w:r>
      <w:bookmarkEnd w:id="0"/>
      <w:r>
        <w:rPr>
          <w:rFonts w:eastAsia="Times New Roman"/>
          <w:lang w:val="en-IN" w:eastAsia="en-IN"/>
        </w:rPr>
        <w:t> </w:t>
      </w:r>
    </w:p>
    <w:p>
      <w:pPr>
        <w:spacing w:after="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In the paradigm shift in the business world, it is essential to regulate the business positively in order to reduce the complexities. In this era of globalization, the hospitality and tourism industry most affected by cultural diversity and its effectiveness (Maheshkar, and Sharma, 2018). In this report, the main highlight will be drawn on the fictional 5-star Multicultural hotel and spa located in Germanic Europe specifically in Germany namely “GGH Hotels and Resorts Pvt Ltd '' to analyze the key difference based on business context between the native and the host countries Germany and England respectively. The challenges regarding embracing international leadership will be stated in this report in order to solve the issues and to promote the business in the future.</w:t>
      </w:r>
    </w:p>
    <w:p>
      <w:pPr>
        <w:pStyle w:val="2"/>
        <w:rPr>
          <w:rFonts w:eastAsia="Times New Roman"/>
          <w:lang w:val="en-IN" w:eastAsia="en-IN"/>
        </w:rPr>
      </w:pPr>
      <w:bookmarkStart w:id="1" w:name="_Toc165482069"/>
      <w:r>
        <w:rPr>
          <w:rFonts w:eastAsia="Times New Roman"/>
          <w:lang w:val="en-IN" w:eastAsia="en-IN"/>
        </w:rPr>
        <w:t>Main body</w:t>
      </w:r>
      <w:bookmarkEnd w:id="1"/>
      <w:r>
        <w:rPr>
          <w:rFonts w:eastAsia="Times New Roman"/>
          <w:lang w:val="en-IN" w:eastAsia="en-IN"/>
        </w:rPr>
        <w:t> </w:t>
      </w:r>
    </w:p>
    <w:p>
      <w:pPr>
        <w:spacing w:after="0" w:line="360" w:lineRule="auto"/>
        <w:jc w:val="both"/>
        <w:rPr>
          <w:rFonts w:ascii="Arial" w:hAnsi="Arial" w:eastAsia="Times New Roman" w:cs="Arial"/>
          <w:sz w:val="24"/>
          <w:szCs w:val="24"/>
          <w:lang w:val="en-IN" w:eastAsia="en-IN"/>
        </w:rPr>
      </w:pPr>
      <w:r>
        <w:rPr>
          <w:rFonts w:ascii="Arial" w:hAnsi="Arial" w:eastAsia="Times New Roman" w:cs="Arial"/>
          <w:b/>
          <w:bCs/>
          <w:iCs/>
          <w:color w:val="000000"/>
          <w:sz w:val="24"/>
          <w:szCs w:val="24"/>
          <w:lang w:val="en-IN" w:eastAsia="en-IN"/>
        </w:rPr>
        <w:t>Background of the company </w:t>
      </w:r>
    </w:p>
    <w:p>
      <w:pPr>
        <w:spacing w:after="0" w:line="360" w:lineRule="auto"/>
        <w:jc w:val="both"/>
        <w:rPr>
          <w:rFonts w:ascii="Arial" w:hAnsi="Arial" w:eastAsia="Times New Roman" w:cs="Arial"/>
          <w:sz w:val="24"/>
          <w:szCs w:val="24"/>
          <w:lang w:val="en-IN" w:eastAsia="en-IN"/>
        </w:rPr>
      </w:pPr>
      <w:r>
        <w:rPr>
          <w:rFonts w:ascii="Arial" w:hAnsi="Arial" w:eastAsia="Times New Roman" w:cs="Arial"/>
          <w:i/>
          <w:color w:val="000000"/>
          <w:sz w:val="24"/>
          <w:szCs w:val="24"/>
          <w:lang w:val="en-IN" w:eastAsia="en-IN"/>
        </w:rPr>
        <w:t>“GGH Hotels and Resorts Pvt Ltd''</w:t>
      </w:r>
      <w:r>
        <w:rPr>
          <w:rFonts w:ascii="Arial" w:hAnsi="Arial" w:eastAsia="Times New Roman" w:cs="Arial"/>
          <w:color w:val="000000"/>
          <w:sz w:val="24"/>
          <w:szCs w:val="24"/>
          <w:lang w:val="en-IN" w:eastAsia="en-IN"/>
        </w:rPr>
        <w:t xml:space="preserve"> is an international brand. They are based in the hospitality tourism industry. This company has established its operation to an optimum level within a short span of time. Headquartered in Germanic Europe, this company has to deal with multilingual contexts in order to operate this business according to global standards (</w:t>
      </w:r>
      <w:r>
        <w:rPr>
          <w:rFonts w:ascii="Arial" w:hAnsi="Arial" w:cs="Arial"/>
          <w:iCs/>
          <w:sz w:val="24"/>
          <w:szCs w:val="24"/>
        </w:rPr>
        <w:t xml:space="preserve">Globeproject, </w:t>
      </w:r>
      <w:r>
        <w:rPr>
          <w:rFonts w:ascii="Arial" w:hAnsi="Arial" w:cs="Arial"/>
          <w:sz w:val="24"/>
          <w:szCs w:val="24"/>
        </w:rPr>
        <w:t>(2024</w:t>
      </w:r>
      <w:r>
        <w:rPr>
          <w:rFonts w:ascii="Arial" w:hAnsi="Arial" w:eastAsia="Times New Roman" w:cs="Arial"/>
          <w:color w:val="000000"/>
          <w:sz w:val="24"/>
          <w:szCs w:val="24"/>
          <w:lang w:val="en-IN" w:eastAsia="en-IN"/>
        </w:rPr>
        <w:t>). The hotel chains and operations are highly reliant on its branches like England. In addition to this, the suppliers and materials required to continue the production aspects are maintained by the branches mainly to support the headquarters. In this context, maintaining a healthy operation based on intercultural leadership to understand cultural sensitivity is the main aspect of creating an effective business profile across the globe. In this report, understanding the key differences between the Host country and the native country namely England and Germany respectively will help the authorities of this hotel chain to strengthen the business operations.</w:t>
      </w:r>
    </w:p>
    <w:p>
      <w:pPr>
        <w:spacing w:after="0" w:line="360" w:lineRule="auto"/>
        <w:jc w:val="both"/>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Differences between England and Germany</w:t>
      </w:r>
    </w:p>
    <w:p>
      <w:pPr>
        <w:spacing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England is known for its polite manner and tolerance for communication. This is highly reflected in their business and other aspects of life. Good manners are highly appreciated by individuals belonging to England. Traditional practice is the most preached approach among the individuals of England. They are highly emotional in terms of their beliefs and values. Apart from the positive values, English individuals are more likely to adopt long hours of work life than any other country. Working harder to gain potential results out of business is the most practiced notion among individuals in the UK. </w:t>
      </w:r>
    </w:p>
    <w:p>
      <w:pPr>
        <w:spacing w:before="240"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On the contrary, Germans are direct in terms of communication. Polite or impolite aspects not considered among the Germans and they highly believe in individuality. High regard for privacy is one of the most practiced notions among German individuals. Any individual irrespective of their age and gender does not tolerate invasion of privacy. These customs among the Germans are likely to make them rude, but they also respect punctuality in high regard. In terms of work culture Germans are not a believer of rules and regulations. Long work hours are not accepted among the workers; instead they value individual innovative ideas to promote the business prospects. All these discussed customs and cultures of Germany relied on a strong sense of community and this has made them successful in business operations as well.</w:t>
      </w:r>
    </w:p>
    <w:p>
      <w:pPr>
        <w:spacing w:after="0" w:line="360" w:lineRule="auto"/>
        <w:jc w:val="both"/>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Comparison related to culture and leadership between England and Germany </w:t>
      </w:r>
    </w:p>
    <w:p>
      <w:pPr>
        <w:spacing w:after="0" w:line="360" w:lineRule="auto"/>
        <w:jc w:val="center"/>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drawing>
          <wp:inline distT="0" distB="0" distL="0" distR="0">
            <wp:extent cx="5734050" cy="2486025"/>
            <wp:effectExtent l="19050" t="0" r="0" b="0"/>
            <wp:docPr id="1" name="Picture 1" descr="https://lh7-us.googleusercontent.com/HL8LgCGwqnjv3VJhxvedOmFD-slj8IUafRE33ppAotKf97SIWK-4qtRIOPEJwvVLyjvD9VWTwWr16xdlfQCJGS2WT0Mkwea63GrHMZu90yfVJlomRhKh4ri6ujz3-6ctsLLvdo8RdR9RYWmkTe3pF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7-us.googleusercontent.com/HL8LgCGwqnjv3VJhxvedOmFD-slj8IUafRE33ppAotKf97SIWK-4qtRIOPEJwvVLyjvD9VWTwWr16xdlfQCJGS2WT0Mkwea63GrHMZu90yfVJlomRhKh4ri6ujz3-6ctsLLvdo8RdR9RYWmkTe3pFdc"/>
                    <pic:cNvPicPr>
                      <a:picLocks noChangeAspect="1" noChangeArrowheads="1"/>
                    </pic:cNvPicPr>
                  </pic:nvPicPr>
                  <pic:blipFill>
                    <a:blip r:embed="rId7"/>
                    <a:srcRect/>
                    <a:stretch>
                      <a:fillRect/>
                    </a:stretch>
                  </pic:blipFill>
                  <pic:spPr>
                    <a:xfrm>
                      <a:off x="0" y="0"/>
                      <a:ext cx="5734050" cy="2486025"/>
                    </a:xfrm>
                    <a:prstGeom prst="rect">
                      <a:avLst/>
                    </a:prstGeom>
                    <a:noFill/>
                    <a:ln w="9525">
                      <a:noFill/>
                      <a:miter lim="800000"/>
                      <a:headEnd/>
                      <a:tailEnd/>
                    </a:ln>
                  </pic:spPr>
                </pic:pic>
              </a:graphicData>
            </a:graphic>
          </wp:inline>
        </w:drawing>
      </w:r>
    </w:p>
    <w:p>
      <w:pPr>
        <w:spacing w:after="0" w:line="360" w:lineRule="auto"/>
        <w:jc w:val="center"/>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Figure 1: Cultural Comparison using Hofstede Insights</w:t>
      </w:r>
    </w:p>
    <w:p>
      <w:pPr>
        <w:spacing w:after="0" w:line="360" w:lineRule="auto"/>
        <w:jc w:val="center"/>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Orange Germany</w:t>
      </w:r>
    </w:p>
    <w:p>
      <w:pPr>
        <w:spacing w:after="0" w:line="360" w:lineRule="auto"/>
        <w:jc w:val="center"/>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Blue United Kingdom</w:t>
      </w:r>
    </w:p>
    <w:p>
      <w:pPr>
        <w:spacing w:after="0" w:line="360" w:lineRule="auto"/>
        <w:jc w:val="center"/>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 xml:space="preserve">(Source: </w:t>
      </w:r>
      <w:r>
        <w:fldChar w:fldCharType="begin"/>
      </w:r>
      <w:r>
        <w:instrText xml:space="preserve"> HYPERLINK "https://www.hofstede-insights.com/country-comparison-tool?countries=germany%2Cunited+kingdom" </w:instrText>
      </w:r>
      <w:r>
        <w:fldChar w:fldCharType="separate"/>
      </w:r>
      <w:r>
        <w:rPr>
          <w:rFonts w:ascii="Arial" w:hAnsi="Arial" w:eastAsia="Times New Roman" w:cs="Arial"/>
          <w:color w:val="000000"/>
          <w:sz w:val="24"/>
          <w:szCs w:val="24"/>
          <w:lang w:val="en-IN" w:eastAsia="en-IN"/>
        </w:rPr>
        <w:t>hofstede-insights</w:t>
      </w:r>
      <w:r>
        <w:rPr>
          <w:rFonts w:ascii="Arial" w:hAnsi="Arial" w:eastAsia="Times New Roman" w:cs="Arial"/>
          <w:color w:val="000000"/>
          <w:sz w:val="24"/>
          <w:szCs w:val="24"/>
          <w:lang w:val="en-IN" w:eastAsia="en-IN"/>
        </w:rPr>
        <w:fldChar w:fldCharType="end"/>
      </w:r>
      <w:r>
        <w:rPr>
          <w:rFonts w:ascii="Arial" w:hAnsi="Arial" w:eastAsia="Times New Roman" w:cs="Arial"/>
          <w:color w:val="000000"/>
          <w:sz w:val="24"/>
          <w:szCs w:val="24"/>
          <w:lang w:val="en-IN" w:eastAsia="en-IN"/>
        </w:rPr>
        <w:t>.com, 2024</w:t>
      </w:r>
      <w:r>
        <w:rPr>
          <w:rFonts w:ascii="Arial" w:hAnsi="Arial" w:eastAsia="Times New Roman" w:cs="Arial"/>
          <w:b/>
          <w:bCs/>
          <w:color w:val="000000"/>
          <w:sz w:val="24"/>
          <w:szCs w:val="24"/>
          <w:lang w:val="en-IN" w:eastAsia="en-IN"/>
        </w:rPr>
        <w:t>)</w:t>
      </w:r>
    </w:p>
    <w:p>
      <w:pPr>
        <w:spacing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The distinctive culture is highly observed in terms of British and Germans. The business ideas and activities highly rely on their cultural beliefs and customs that are practiced heavily.</w:t>
      </w:r>
    </w:p>
    <w:p>
      <w:pPr>
        <w:spacing w:before="240"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British individuals are likely to be tolerant of communication and good manners is the most preached notion among them. This particular culture and customs are reflected in their leadership styles also, reflecting the higher indulgence factors under Hofstede's guidance (Hofstede</w:t>
      </w:r>
      <w:r>
        <w:rPr>
          <w:rFonts w:ascii="Arial" w:hAnsi="Arial" w:eastAsia="Times New Roman" w:cs="Arial"/>
          <w:i/>
          <w:iCs/>
          <w:color w:val="000000"/>
          <w:sz w:val="24"/>
          <w:szCs w:val="24"/>
          <w:lang w:val="en-IN" w:eastAsia="en-IN"/>
        </w:rPr>
        <w:t xml:space="preserve"> et al.,</w:t>
      </w:r>
      <w:r>
        <w:rPr>
          <w:rFonts w:ascii="Arial" w:hAnsi="Arial" w:eastAsia="Times New Roman" w:cs="Arial"/>
          <w:color w:val="000000"/>
          <w:sz w:val="24"/>
          <w:szCs w:val="24"/>
          <w:lang w:val="en-IN" w:eastAsia="en-IN"/>
        </w:rPr>
        <w:t xml:space="preserve"> 2010). English individuals who belong in leadership positions are more likely to project generalization than on the performance of the business. According to them, a good manager would likely develop the skills of the team and support them in their career.</w:t>
      </w:r>
    </w:p>
    <w:p>
      <w:pPr>
        <w:spacing w:before="240"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On the other hand, Germanic Europe mainly practices performance over-generalization, and highly emphasizes on the high on Uncertainty avoidance. The manager of any organization belonging to Germanic Europe is likely to check the performance of the business overall rather than the skills development of individual team members. German managers and leaders practiced both autonomy and democratic perception within their organization according to the demands of the business. Management of conflict and bringing positivity to business operations are the only goals of the leaders (Deresky, 2017). In order to implement these perceptions effectively in the business, the leaders collaborate with the team under hierarchical lines. Overall, German punctuality and direct communication highly reflect their leadership's personality.</w:t>
      </w:r>
    </w:p>
    <w:p>
      <w:pPr>
        <w:spacing w:after="0" w:line="360" w:lineRule="auto"/>
        <w:jc w:val="both"/>
        <w:rPr>
          <w:rFonts w:ascii="Arial" w:hAnsi="Arial" w:eastAsia="Times New Roman" w:cs="Arial"/>
          <w:sz w:val="24"/>
          <w:szCs w:val="24"/>
          <w:lang w:val="en-IN" w:eastAsia="en-IN"/>
        </w:rPr>
      </w:pPr>
      <w:r>
        <w:rPr>
          <w:rFonts w:ascii="Arial" w:hAnsi="Arial" w:eastAsia="Times New Roman" w:cs="Arial"/>
          <w:b/>
          <w:bCs/>
          <w:color w:val="000000"/>
          <w:sz w:val="24"/>
          <w:szCs w:val="24"/>
          <w:lang w:val="en-IN" w:eastAsia="en-IN"/>
        </w:rPr>
        <w:t>Challenges of intercultural leadership in the hospitality industry. </w:t>
      </w:r>
    </w:p>
    <w:p>
      <w:pPr>
        <w:spacing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The leadership in this particular hotel namely “GGH Hotels and Resorts Pvt Ltd '' is difficult and creates potential challenges in terms of operating between two distinctive cultures (Hampden-Turner and Trompenaars, 2020). England and Germany are two potential areas where this hotel business can flourish and promote positive contributions to the hospitality industry. Analyses of two different areas of the business, the common conflict that can observe with time are the conflicting values and ethnocentrism. These two common conflicts can observe in the company. British employees are good communicators and value good manners over any circumstances. On the other hand, German employees are direct, and business performance possesses more value than employee satisfaction. These innate differences in their cultures facilitate Ethnocentrism among the workforce located in different places (Bizumic</w:t>
      </w:r>
      <w:r>
        <w:rPr>
          <w:rFonts w:ascii="Arial" w:hAnsi="Arial" w:eastAsia="Times New Roman" w:cs="Arial"/>
          <w:i/>
          <w:iCs/>
          <w:color w:val="000000"/>
          <w:sz w:val="24"/>
          <w:szCs w:val="24"/>
          <w:lang w:val="en-IN" w:eastAsia="en-IN"/>
        </w:rPr>
        <w:t xml:space="preserve"> et al.,</w:t>
      </w:r>
      <w:r>
        <w:rPr>
          <w:rFonts w:ascii="Arial" w:hAnsi="Arial" w:eastAsia="Times New Roman" w:cs="Arial"/>
          <w:color w:val="000000"/>
          <w:sz w:val="24"/>
          <w:szCs w:val="24"/>
          <w:lang w:val="en-IN" w:eastAsia="en-IN"/>
        </w:rPr>
        <w:t xml:space="preserve"> 2021, p. 55).British employees tend to overlook the Germans and their behavior according to their own lenses. As employees belonging to the England branches are relocating to Germany headquarters, there is a huge chance of increased conflicts among the overall workforce.</w:t>
      </w:r>
    </w:p>
    <w:p>
      <w:pPr>
        <w:pStyle w:val="2"/>
        <w:rPr>
          <w:rFonts w:eastAsia="Times New Roman"/>
          <w:lang w:val="en-IN" w:eastAsia="en-IN"/>
        </w:rPr>
      </w:pPr>
      <w:bookmarkStart w:id="2" w:name="_Toc165482070"/>
      <w:r>
        <w:rPr>
          <w:rFonts w:eastAsia="Times New Roman"/>
          <w:lang w:val="en-IN" w:eastAsia="en-IN"/>
        </w:rPr>
        <w:t>Conclusion</w:t>
      </w:r>
      <w:bookmarkEnd w:id="2"/>
      <w:r>
        <w:rPr>
          <w:rFonts w:eastAsia="Times New Roman"/>
          <w:lang w:val="en-IN" w:eastAsia="en-IN"/>
        </w:rPr>
        <w:t> </w:t>
      </w:r>
    </w:p>
    <w:p>
      <w:pPr>
        <w:spacing w:before="240" w:after="240" w:line="360" w:lineRule="auto"/>
        <w:jc w:val="both"/>
        <w:rPr>
          <w:rFonts w:ascii="Arial" w:hAnsi="Arial" w:eastAsia="Times New Roman" w:cs="Arial"/>
          <w:sz w:val="24"/>
          <w:szCs w:val="24"/>
          <w:lang w:val="en-IN" w:eastAsia="en-IN"/>
        </w:rPr>
      </w:pPr>
      <w:r>
        <w:rPr>
          <w:rFonts w:ascii="Arial" w:hAnsi="Arial" w:eastAsia="Times New Roman" w:cs="Arial"/>
          <w:color w:val="000000"/>
          <w:sz w:val="24"/>
          <w:szCs w:val="24"/>
          <w:lang w:val="en-IN" w:eastAsia="en-IN"/>
        </w:rPr>
        <w:t>In conclusion, cultural differences often tend to reduce the sensitivity among humans, but implementation of cultural awareness will facilitate the business workforce with the required skills. This will help them to work amid the differences in values and beliefs between each individual. This will eventually increase the brand standard of any hotel business operating under the radar of the hotels and tourism industry.</w:t>
      </w:r>
      <w:r>
        <w:rPr>
          <w:rFonts w:ascii="Arial" w:hAnsi="Arial" w:eastAsia="Times New Roman" w:cs="Arial"/>
          <w:b/>
          <w:bCs/>
          <w:color w:val="000000"/>
          <w:sz w:val="24"/>
          <w:szCs w:val="24"/>
          <w:lang w:val="en-IN" w:eastAsia="en-IN"/>
        </w:rPr>
        <w:t> </w:t>
      </w:r>
    </w:p>
    <w:p>
      <w:pPr>
        <w:pStyle w:val="2"/>
        <w:rPr>
          <w:rFonts w:eastAsia="Times New Roman"/>
          <w:lang w:val="en-IN" w:eastAsia="en-IN"/>
        </w:rPr>
      </w:pPr>
      <w:bookmarkStart w:id="3" w:name="_Toc165482071"/>
      <w:r>
        <w:rPr>
          <w:rFonts w:eastAsia="Times New Roman"/>
          <w:lang w:val="en-IN" w:eastAsia="en-IN"/>
        </w:rPr>
        <w:t>Recommendation</w:t>
      </w:r>
      <w:bookmarkEnd w:id="3"/>
      <w:r>
        <w:rPr>
          <w:rFonts w:eastAsia="Times New Roman"/>
          <w:lang w:val="en-IN" w:eastAsia="en-IN"/>
        </w:rPr>
        <w:t> </w:t>
      </w:r>
    </w:p>
    <w:p>
      <w:pPr>
        <w:numPr>
          <w:ilvl w:val="0"/>
          <w:numId w:val="1"/>
        </w:numPr>
        <w:spacing w:before="240" w:after="0" w:line="360" w:lineRule="auto"/>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Training the employees who are relocating and present employees in the London branch based on cultural awareness.</w:t>
      </w:r>
    </w:p>
    <w:p>
      <w:pPr>
        <w:numPr>
          <w:ilvl w:val="0"/>
          <w:numId w:val="1"/>
        </w:numPr>
        <w:spacing w:after="0" w:line="360" w:lineRule="auto"/>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Initiating policies that will restrict malpractice based on tolerable cultural sensitivity.</w:t>
      </w:r>
    </w:p>
    <w:p>
      <w:pPr>
        <w:numPr>
          <w:ilvl w:val="0"/>
          <w:numId w:val="2"/>
        </w:numPr>
        <w:spacing w:after="0" w:line="360" w:lineRule="auto"/>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Educating the overall workforce about the importance of brand  image and how lack of cultural sensitivity  can deplete  the reputation of “GGH Hotels and Resorts Pvt Ltd ''.</w:t>
      </w:r>
    </w:p>
    <w:p>
      <w:pPr>
        <w:spacing w:after="240" w:line="360" w:lineRule="auto"/>
        <w:jc w:val="both"/>
        <w:rPr>
          <w:rFonts w:ascii="Arial" w:hAnsi="Arial" w:eastAsia="Times New Roman" w:cs="Arial"/>
          <w:sz w:val="24"/>
          <w:szCs w:val="24"/>
          <w:lang w:val="en-IN" w:eastAsia="en-IN"/>
        </w:rPr>
      </w:pPr>
    </w:p>
    <w:p>
      <w:pPr>
        <w:spacing w:line="360" w:lineRule="auto"/>
        <w:jc w:val="both"/>
        <w:rPr>
          <w:rFonts w:ascii="Arial" w:hAnsi="Arial" w:eastAsia="Times New Roman" w:cs="Arial"/>
          <w:b/>
          <w:bCs/>
          <w:color w:val="000000"/>
          <w:sz w:val="24"/>
          <w:szCs w:val="24"/>
          <w:lang w:val="en-IN" w:eastAsia="en-IN"/>
        </w:rPr>
      </w:pPr>
      <w:r>
        <w:rPr>
          <w:rFonts w:ascii="Arial" w:hAnsi="Arial" w:eastAsia="Times New Roman" w:cs="Arial"/>
          <w:b/>
          <w:bCs/>
          <w:color w:val="000000"/>
          <w:sz w:val="24"/>
          <w:szCs w:val="24"/>
          <w:lang w:val="en-IN" w:eastAsia="en-IN"/>
        </w:rPr>
        <w:br w:type="page"/>
      </w:r>
    </w:p>
    <w:p>
      <w:pPr>
        <w:pStyle w:val="2"/>
        <w:rPr>
          <w:rFonts w:eastAsia="Times New Roman"/>
          <w:lang w:val="en-IN" w:eastAsia="en-IN"/>
        </w:rPr>
      </w:pPr>
      <w:bookmarkStart w:id="4" w:name="_Toc165482072"/>
      <w:r>
        <w:rPr>
          <w:rFonts w:eastAsia="Times New Roman"/>
          <w:lang w:val="en-IN" w:eastAsia="en-IN"/>
        </w:rPr>
        <w:t>References</w:t>
      </w:r>
      <w:bookmarkEnd w:id="4"/>
      <w:r>
        <w:rPr>
          <w:rFonts w:eastAsia="Times New Roman"/>
          <w:lang w:val="en-IN" w:eastAsia="en-IN"/>
        </w:rPr>
        <w:t> </w:t>
      </w:r>
    </w:p>
    <w:p>
      <w:pPr>
        <w:spacing w:line="360" w:lineRule="auto"/>
        <w:ind w:left="360"/>
        <w:jc w:val="both"/>
        <w:rPr>
          <w:rFonts w:ascii="Arial" w:hAnsi="Arial" w:cs="Arial"/>
          <w:sz w:val="24"/>
          <w:szCs w:val="24"/>
        </w:rPr>
      </w:pPr>
      <w:r>
        <w:rPr>
          <w:rFonts w:ascii="Arial" w:hAnsi="Arial" w:eastAsia="Times New Roman" w:cs="Arial"/>
          <w:color w:val="000000"/>
          <w:sz w:val="24"/>
          <w:szCs w:val="24"/>
          <w:lang w:val="en-IN" w:eastAsia="en-IN"/>
        </w:rPr>
        <w:t xml:space="preserve">Bizumic, B., Monaghan, C. and Priest, D., 2021. The return of ethnocentrism. </w:t>
      </w:r>
      <w:r>
        <w:rPr>
          <w:rFonts w:ascii="Arial" w:hAnsi="Arial" w:eastAsia="Times New Roman" w:cs="Arial"/>
          <w:i/>
          <w:iCs/>
          <w:color w:val="000000"/>
          <w:sz w:val="24"/>
          <w:szCs w:val="24"/>
          <w:lang w:val="en-IN" w:eastAsia="en-IN"/>
        </w:rPr>
        <w:t>Political Psychology</w:t>
      </w:r>
      <w:r>
        <w:rPr>
          <w:rFonts w:ascii="Arial" w:hAnsi="Arial" w:eastAsia="Times New Roman" w:cs="Arial"/>
          <w:color w:val="000000"/>
          <w:sz w:val="24"/>
          <w:szCs w:val="24"/>
          <w:lang w:val="en-IN" w:eastAsia="en-IN"/>
        </w:rPr>
        <w:t xml:space="preserve">, </w:t>
      </w:r>
      <w:r>
        <w:rPr>
          <w:rFonts w:ascii="Arial" w:hAnsi="Arial" w:eastAsia="Times New Roman" w:cs="Arial"/>
          <w:i/>
          <w:iCs/>
          <w:color w:val="000000"/>
          <w:sz w:val="24"/>
          <w:szCs w:val="24"/>
          <w:lang w:val="en-IN" w:eastAsia="en-IN"/>
        </w:rPr>
        <w:t>42</w:t>
      </w:r>
      <w:r>
        <w:rPr>
          <w:rFonts w:ascii="Arial" w:hAnsi="Arial" w:eastAsia="Times New Roman" w:cs="Arial"/>
          <w:color w:val="000000"/>
          <w:sz w:val="24"/>
          <w:szCs w:val="24"/>
          <w:lang w:val="en-IN" w:eastAsia="en-IN"/>
        </w:rPr>
        <w:t>, pp.29-73.</w:t>
      </w:r>
      <w:r>
        <w:fldChar w:fldCharType="begin"/>
      </w:r>
      <w:r>
        <w:instrText xml:space="preserve"> HYPERLINK "https://www.academia.edu/download/78917228/Bizumic_et_al_2021_The_Return_of_Ethnocentrism.pdf" </w:instrText>
      </w:r>
      <w:r>
        <w:fldChar w:fldCharType="separate"/>
      </w:r>
      <w:r>
        <w:rPr>
          <w:rFonts w:ascii="Arial" w:hAnsi="Arial" w:eastAsia="Times New Roman" w:cs="Arial"/>
          <w:color w:val="1155CC"/>
          <w:sz w:val="24"/>
          <w:szCs w:val="24"/>
          <w:u w:val="single"/>
          <w:lang w:val="en-IN" w:eastAsia="en-IN"/>
        </w:rPr>
        <w:t>https://www.academia.edu/download/78917228/Bizumic_et_al_2021_The_Return_of_Ethnocentrism.pdf</w:t>
      </w:r>
      <w:r>
        <w:rPr>
          <w:rFonts w:ascii="Arial" w:hAnsi="Arial" w:eastAsia="Times New Roman" w:cs="Arial"/>
          <w:color w:val="1155CC"/>
          <w:sz w:val="24"/>
          <w:szCs w:val="24"/>
          <w:u w:val="single"/>
          <w:lang w:val="en-IN" w:eastAsia="en-IN"/>
        </w:rPr>
        <w:fldChar w:fldCharType="end"/>
      </w:r>
    </w:p>
    <w:p>
      <w:pPr>
        <w:spacing w:after="0" w:line="360" w:lineRule="auto"/>
        <w:ind w:left="360"/>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Deresky, H. 2017 International Management: Managing Across Borders and Cultures: Text and Cases. 9th Ed. Harlow: Pearson Education Ltd.</w:t>
      </w:r>
    </w:p>
    <w:p>
      <w:pPr>
        <w:spacing w:after="0" w:line="360" w:lineRule="auto"/>
        <w:ind w:left="360"/>
        <w:jc w:val="both"/>
        <w:textAlignment w:val="baseline"/>
        <w:rPr>
          <w:rFonts w:ascii="Arial" w:hAnsi="Arial" w:eastAsia="Times New Roman" w:cs="Arial"/>
          <w:color w:val="000000"/>
          <w:sz w:val="24"/>
          <w:szCs w:val="24"/>
          <w:lang w:val="en-IN" w:eastAsia="en-IN"/>
        </w:rPr>
      </w:pPr>
      <w:r>
        <w:rPr>
          <w:rFonts w:ascii="Arial" w:hAnsi="Arial" w:cs="Arial"/>
          <w:iCs/>
          <w:sz w:val="24"/>
          <w:szCs w:val="24"/>
        </w:rPr>
        <w:t>globeproject,</w:t>
      </w:r>
      <w:r>
        <w:rPr>
          <w:rFonts w:ascii="Arial" w:hAnsi="Arial" w:cs="Arial"/>
          <w:sz w:val="24"/>
          <w:szCs w:val="24"/>
        </w:rPr>
        <w:t>2024</w:t>
      </w:r>
      <w:r>
        <w:rPr>
          <w:rFonts w:ascii="Arial" w:hAnsi="Arial" w:cs="Arial"/>
          <w:iCs/>
          <w:sz w:val="24"/>
          <w:szCs w:val="24"/>
        </w:rPr>
        <w:t xml:space="preserve"> Globe Project</w:t>
      </w:r>
      <w:r>
        <w:rPr>
          <w:rFonts w:ascii="Arial" w:hAnsi="Arial" w:cs="Arial"/>
          <w:sz w:val="24"/>
          <w:szCs w:val="24"/>
        </w:rPr>
        <w:t xml:space="preserve"> </w:t>
      </w:r>
      <w:r>
        <w:rPr>
          <w:rFonts w:ascii="Arial" w:hAnsi="Arial" w:cs="Arial"/>
          <w:iCs/>
          <w:sz w:val="24"/>
          <w:szCs w:val="24"/>
        </w:rPr>
        <w:t>GLOBE Project</w:t>
      </w:r>
      <w:r>
        <w:rPr>
          <w:rFonts w:ascii="Arial" w:hAnsi="Arial" w:cs="Arial"/>
          <w:sz w:val="24"/>
          <w:szCs w:val="24"/>
        </w:rPr>
        <w:t xml:space="preserve">. Available at: </w:t>
      </w:r>
      <w:r>
        <w:fldChar w:fldCharType="begin"/>
      </w:r>
      <w:r>
        <w:instrText xml:space="preserve"> HYPERLINK "https://globeproject.com/" \t "_blank" </w:instrText>
      </w:r>
      <w:r>
        <w:fldChar w:fldCharType="separate"/>
      </w:r>
      <w:r>
        <w:rPr>
          <w:rStyle w:val="8"/>
          <w:rFonts w:ascii="Arial" w:hAnsi="Arial" w:cs="Arial"/>
          <w:sz w:val="24"/>
          <w:szCs w:val="24"/>
        </w:rPr>
        <w:t>https://globeproject.com/</w:t>
      </w:r>
      <w:r>
        <w:rPr>
          <w:rStyle w:val="8"/>
          <w:rFonts w:ascii="Arial" w:hAnsi="Arial" w:cs="Arial"/>
          <w:sz w:val="24"/>
          <w:szCs w:val="24"/>
        </w:rPr>
        <w:fldChar w:fldCharType="end"/>
      </w:r>
      <w:r>
        <w:rPr>
          <w:rFonts w:ascii="Arial" w:hAnsi="Arial" w:cs="Arial"/>
          <w:sz w:val="24"/>
          <w:szCs w:val="24"/>
        </w:rPr>
        <w:t xml:space="preserve"> (Accessed: 01 May 2024).</w:t>
      </w:r>
    </w:p>
    <w:p>
      <w:pPr>
        <w:spacing w:after="0" w:line="360" w:lineRule="auto"/>
        <w:ind w:left="360"/>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Hampden-Turner, C. and Trompenaars, F. 2020 Riding the Waves of Culture. 4th Ed. London: John Murray Press.</w:t>
      </w:r>
    </w:p>
    <w:p>
      <w:pPr>
        <w:spacing w:after="0" w:line="360" w:lineRule="auto"/>
        <w:ind w:left="360"/>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Hofstede, G., Hofstede, G.J. and Minkov, M. 2010 Cultures and organizations: software of the mind. 3rd Ed. New York:McGraw-Hill.</w:t>
      </w:r>
    </w:p>
    <w:p>
      <w:pPr>
        <w:spacing w:after="0" w:line="360" w:lineRule="auto"/>
        <w:ind w:left="360"/>
        <w:jc w:val="both"/>
        <w:textAlignment w:val="baseline"/>
        <w:rPr>
          <w:rFonts w:ascii="Arial" w:hAnsi="Arial" w:eastAsia="Times New Roman" w:cs="Arial"/>
          <w:color w:val="000000"/>
          <w:sz w:val="24"/>
          <w:szCs w:val="24"/>
          <w:lang w:val="en-IN" w:eastAsia="en-IN"/>
        </w:rPr>
      </w:pPr>
      <w:r>
        <w:fldChar w:fldCharType="begin"/>
      </w:r>
      <w:r>
        <w:instrText xml:space="preserve"> HYPERLINK "https://www.hofstede-insights.com/country-comparison-tool?countries=germany%2Cunited+kingdom" </w:instrText>
      </w:r>
      <w:r>
        <w:fldChar w:fldCharType="separate"/>
      </w:r>
      <w:r>
        <w:rPr>
          <w:rFonts w:ascii="Arial" w:hAnsi="Arial" w:eastAsia="Times New Roman" w:cs="Arial"/>
          <w:color w:val="000000"/>
          <w:sz w:val="24"/>
          <w:szCs w:val="24"/>
          <w:lang w:val="en-IN" w:eastAsia="en-IN"/>
        </w:rPr>
        <w:t>hofstede-insights</w:t>
      </w:r>
      <w:r>
        <w:rPr>
          <w:rFonts w:ascii="Arial" w:hAnsi="Arial" w:eastAsia="Times New Roman" w:cs="Arial"/>
          <w:color w:val="000000"/>
          <w:sz w:val="24"/>
          <w:szCs w:val="24"/>
          <w:lang w:val="en-IN" w:eastAsia="en-IN"/>
        </w:rPr>
        <w:fldChar w:fldCharType="end"/>
      </w:r>
      <w:r>
        <w:rPr>
          <w:rFonts w:ascii="Arial" w:hAnsi="Arial" w:eastAsia="Times New Roman" w:cs="Arial"/>
          <w:i/>
          <w:iCs/>
          <w:color w:val="000000"/>
          <w:sz w:val="24"/>
          <w:szCs w:val="24"/>
          <w:lang w:val="en-IN" w:eastAsia="en-IN"/>
        </w:rPr>
        <w:t xml:space="preserve">, </w:t>
      </w:r>
      <w:r>
        <w:rPr>
          <w:rFonts w:ascii="Arial" w:hAnsi="Arial" w:eastAsia="Times New Roman" w:cs="Arial"/>
          <w:color w:val="000000"/>
          <w:sz w:val="24"/>
          <w:szCs w:val="24"/>
          <w:lang w:val="en-IN" w:eastAsia="en-IN"/>
        </w:rPr>
        <w:t xml:space="preserve">2024 </w:t>
      </w:r>
      <w:r>
        <w:rPr>
          <w:rFonts w:ascii="Arial" w:hAnsi="Arial" w:eastAsia="Times New Roman" w:cs="Arial"/>
          <w:i/>
          <w:iCs/>
          <w:color w:val="000000"/>
          <w:sz w:val="24"/>
          <w:szCs w:val="24"/>
          <w:lang w:val="en-IN" w:eastAsia="en-IN"/>
        </w:rPr>
        <w:t>Country comparison tool</w:t>
      </w:r>
      <w:r>
        <w:rPr>
          <w:rFonts w:ascii="Arial" w:hAnsi="Arial" w:eastAsia="Times New Roman" w:cs="Arial"/>
          <w:color w:val="000000"/>
          <w:sz w:val="24"/>
          <w:szCs w:val="24"/>
          <w:lang w:val="en-IN" w:eastAsia="en-IN"/>
        </w:rPr>
        <w:t xml:space="preserve"> . </w:t>
      </w:r>
      <w:r>
        <w:fldChar w:fldCharType="begin"/>
      </w:r>
      <w:r>
        <w:instrText xml:space="preserve"> HYPERLINK "https://www.hofstede-insights.com/country-comparison-tool?countries=germany%2Cunited+kingdom" </w:instrText>
      </w:r>
      <w:r>
        <w:fldChar w:fldCharType="separate"/>
      </w:r>
      <w:r>
        <w:rPr>
          <w:rFonts w:ascii="Arial" w:hAnsi="Arial" w:eastAsia="Times New Roman" w:cs="Arial"/>
          <w:color w:val="000000"/>
          <w:sz w:val="24"/>
          <w:szCs w:val="24"/>
          <w:lang w:val="en-IN" w:eastAsia="en-IN"/>
        </w:rPr>
        <w:t>https://www.hofstede-insights.com/country-comparison-tool?countries=germany%2Cunited+kingdom</w:t>
      </w:r>
      <w:r>
        <w:rPr>
          <w:rFonts w:ascii="Arial" w:hAnsi="Arial" w:eastAsia="Times New Roman" w:cs="Arial"/>
          <w:color w:val="000000"/>
          <w:sz w:val="24"/>
          <w:szCs w:val="24"/>
          <w:lang w:val="en-IN" w:eastAsia="en-IN"/>
        </w:rPr>
        <w:fldChar w:fldCharType="end"/>
      </w:r>
      <w:r>
        <w:rPr>
          <w:rFonts w:ascii="Arial" w:hAnsi="Arial" w:eastAsia="Times New Roman" w:cs="Arial"/>
          <w:color w:val="000000"/>
          <w:sz w:val="24"/>
          <w:szCs w:val="24"/>
          <w:lang w:val="en-IN" w:eastAsia="en-IN"/>
        </w:rPr>
        <w:t>.</w:t>
      </w:r>
    </w:p>
    <w:p>
      <w:pPr>
        <w:spacing w:after="0" w:line="360" w:lineRule="auto"/>
        <w:ind w:left="360"/>
        <w:jc w:val="both"/>
        <w:textAlignment w:val="baseline"/>
        <w:rPr>
          <w:rFonts w:ascii="Arial" w:hAnsi="Arial" w:eastAsia="Times New Roman" w:cs="Arial"/>
          <w:color w:val="000000"/>
          <w:sz w:val="24"/>
          <w:szCs w:val="24"/>
          <w:lang w:val="en-IN" w:eastAsia="en-IN"/>
        </w:rPr>
      </w:pPr>
      <w:r>
        <w:rPr>
          <w:rFonts w:ascii="Arial" w:hAnsi="Arial" w:eastAsia="Times New Roman" w:cs="Arial"/>
          <w:color w:val="000000"/>
          <w:sz w:val="24"/>
          <w:szCs w:val="24"/>
          <w:lang w:val="en-IN" w:eastAsia="en-IN"/>
        </w:rPr>
        <w:t>Maheshkar, C. and Sharma, V. 2018 Handbook of Research on Cross-Cultural Business Education. Hershey: IGI Global.</w:t>
      </w:r>
    </w:p>
    <w:p>
      <w:pPr>
        <w:spacing w:after="0" w:line="360" w:lineRule="auto"/>
        <w:ind w:left="360"/>
        <w:jc w:val="both"/>
        <w:textAlignment w:val="baseline"/>
        <w:rPr>
          <w:rFonts w:ascii="Arial" w:hAnsi="Arial" w:eastAsia="Times New Roman" w:cs="Arial"/>
          <w:color w:val="000000"/>
          <w:sz w:val="24"/>
          <w:szCs w:val="24"/>
          <w:lang w:val="en-IN" w:eastAsia="en-IN"/>
        </w:rPr>
      </w:pPr>
    </w:p>
    <w:sectPr>
      <w:footerReference r:id="rId5" w:type="default"/>
      <w:pgSz w:w="11906" w:h="16838"/>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8694759"/>
      <w:docPartObj>
        <w:docPartGallery w:val="AutoText"/>
      </w:docPartObj>
    </w:sdtPr>
    <w:sdtEndPr>
      <w:rPr>
        <w:rFonts w:ascii="Arial" w:hAnsi="Arial" w:cs="Arial"/>
        <w:sz w:val="24"/>
        <w:szCs w:val="24"/>
      </w:rPr>
    </w:sdtEndPr>
    <w:sdtContent>
      <w:p>
        <w:pPr>
          <w:pStyle w:val="6"/>
          <w:jc w:val="right"/>
          <w:rPr>
            <w:rFonts w:ascii="Arial" w:hAnsi="Arial" w:cs="Arial"/>
            <w:sz w:val="24"/>
            <w:szCs w:val="24"/>
          </w:rPr>
        </w:pPr>
        <w:r>
          <w:rPr>
            <w:rFonts w:ascii="Arial" w:hAnsi="Arial" w:cs="Arial"/>
            <w:sz w:val="24"/>
            <w:szCs w:val="24"/>
          </w:rPr>
          <w:fldChar w:fldCharType="begin"/>
        </w:r>
        <w:r>
          <w:rPr>
            <w:rFonts w:ascii="Arial" w:hAnsi="Arial" w:cs="Arial"/>
            <w:sz w:val="24"/>
            <w:szCs w:val="24"/>
          </w:rPr>
          <w:instrText xml:space="preserve"> PAGE   \* MERGEFORMAT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46A7E9A"/>
    <w:multiLevelType w:val="multilevel"/>
    <w:tmpl w:val="346A7E9A"/>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75F91A37"/>
    <w:multiLevelType w:val="multilevel"/>
    <w:tmpl w:val="75F91A3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drawingGridHorizontalSpacing w:val="110"/>
  <w:displayHorizontalDrawingGridEvery w:val="2"/>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07A"/>
    <w:rsid w:val="001076ED"/>
    <w:rsid w:val="00132DD5"/>
    <w:rsid w:val="00213645"/>
    <w:rsid w:val="002A241A"/>
    <w:rsid w:val="0032607A"/>
    <w:rsid w:val="0039226E"/>
    <w:rsid w:val="003E261D"/>
    <w:rsid w:val="00621F63"/>
    <w:rsid w:val="006C560C"/>
    <w:rsid w:val="009740C1"/>
    <w:rsid w:val="00A36986"/>
    <w:rsid w:val="00D10FF0"/>
    <w:rsid w:val="00DB2B4C"/>
    <w:rsid w:val="00DE6EC8"/>
    <w:rsid w:val="00FF7DC4"/>
    <w:rsid w:val="6DF1628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3"/>
    <w:autoRedefine/>
    <w:qFormat/>
    <w:uiPriority w:val="9"/>
    <w:pPr>
      <w:keepNext/>
      <w:keepLines/>
      <w:spacing w:before="480" w:after="0" w:line="360" w:lineRule="auto"/>
      <w:jc w:val="both"/>
      <w:outlineLvl w:val="0"/>
    </w:pPr>
    <w:rPr>
      <w:rFonts w:ascii="Arial" w:hAnsi="Arial" w:eastAsiaTheme="majorEastAsia" w:cstheme="majorBidi"/>
      <w:b/>
      <w:bCs/>
      <w:sz w:val="24"/>
      <w:szCs w:val="28"/>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Balloon Text"/>
    <w:basedOn w:val="1"/>
    <w:link w:val="12"/>
    <w:semiHidden/>
    <w:unhideWhenUsed/>
    <w:uiPriority w:val="99"/>
    <w:pPr>
      <w:spacing w:after="0" w:line="240" w:lineRule="auto"/>
    </w:pPr>
    <w:rPr>
      <w:rFonts w:ascii="Tahoma" w:hAnsi="Tahoma" w:cs="Tahoma"/>
      <w:sz w:val="16"/>
      <w:szCs w:val="16"/>
    </w:rPr>
  </w:style>
  <w:style w:type="paragraph" w:styleId="6">
    <w:name w:val="footer"/>
    <w:basedOn w:val="1"/>
    <w:link w:val="15"/>
    <w:unhideWhenUsed/>
    <w:qFormat/>
    <w:uiPriority w:val="99"/>
    <w:pPr>
      <w:tabs>
        <w:tab w:val="center" w:pos="4513"/>
        <w:tab w:val="right" w:pos="9026"/>
      </w:tabs>
      <w:spacing w:after="0" w:line="240" w:lineRule="auto"/>
    </w:pPr>
  </w:style>
  <w:style w:type="paragraph" w:styleId="7">
    <w:name w:val="header"/>
    <w:basedOn w:val="1"/>
    <w:link w:val="14"/>
    <w:autoRedefine/>
    <w:unhideWhenUsed/>
    <w:uiPriority w:val="99"/>
    <w:pPr>
      <w:tabs>
        <w:tab w:val="center" w:pos="4513"/>
        <w:tab w:val="right" w:pos="9026"/>
      </w:tabs>
      <w:spacing w:after="0" w:line="240" w:lineRule="auto"/>
    </w:pPr>
  </w:style>
  <w:style w:type="character" w:styleId="8">
    <w:name w:val="Hyperlink"/>
    <w:basedOn w:val="3"/>
    <w:unhideWhenUsed/>
    <w:uiPriority w:val="99"/>
    <w:rPr>
      <w:color w:val="0000FF"/>
      <w:u w:val="single"/>
    </w:rPr>
  </w:style>
  <w:style w:type="paragraph" w:styleId="9">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0">
    <w:name w:val="toc 1"/>
    <w:basedOn w:val="1"/>
    <w:next w:val="1"/>
    <w:autoRedefine/>
    <w:unhideWhenUsed/>
    <w:uiPriority w:val="39"/>
    <w:pPr>
      <w:spacing w:after="100"/>
    </w:pPr>
  </w:style>
  <w:style w:type="paragraph" w:styleId="11">
    <w:name w:val="List Paragraph"/>
    <w:basedOn w:val="1"/>
    <w:qFormat/>
    <w:uiPriority w:val="34"/>
    <w:pPr>
      <w:ind w:left="720"/>
      <w:contextualSpacing/>
    </w:pPr>
  </w:style>
  <w:style w:type="character" w:customStyle="1" w:styleId="12">
    <w:name w:val="Balloon Text Char"/>
    <w:basedOn w:val="3"/>
    <w:link w:val="5"/>
    <w:semiHidden/>
    <w:uiPriority w:val="99"/>
    <w:rPr>
      <w:rFonts w:ascii="Tahoma" w:hAnsi="Tahoma" w:cs="Tahoma"/>
      <w:sz w:val="16"/>
      <w:szCs w:val="16"/>
      <w:lang w:val="en-GB"/>
    </w:rPr>
  </w:style>
  <w:style w:type="character" w:customStyle="1" w:styleId="13">
    <w:name w:val="Heading 1 Char"/>
    <w:basedOn w:val="3"/>
    <w:link w:val="2"/>
    <w:uiPriority w:val="9"/>
    <w:rPr>
      <w:rFonts w:ascii="Arial" w:hAnsi="Arial" w:eastAsiaTheme="majorEastAsia" w:cstheme="majorBidi"/>
      <w:b/>
      <w:bCs/>
      <w:sz w:val="24"/>
      <w:szCs w:val="28"/>
      <w:lang w:val="en-GB"/>
    </w:rPr>
  </w:style>
  <w:style w:type="character" w:customStyle="1" w:styleId="14">
    <w:name w:val="Header Char"/>
    <w:basedOn w:val="3"/>
    <w:link w:val="7"/>
    <w:autoRedefine/>
    <w:uiPriority w:val="99"/>
    <w:rPr>
      <w:lang w:val="en-GB"/>
    </w:rPr>
  </w:style>
  <w:style w:type="character" w:customStyle="1" w:styleId="15">
    <w:name w:val="Footer Char"/>
    <w:basedOn w:val="3"/>
    <w:link w:val="6"/>
    <w:uiPriority w:val="99"/>
    <w:rPr>
      <w:lang w:val="en-GB"/>
    </w:rPr>
  </w:style>
  <w:style w:type="paragraph" w:customStyle="1" w:styleId="16">
    <w:name w:val="TOC Heading"/>
    <w:basedOn w:val="2"/>
    <w:next w:val="1"/>
    <w:semiHidden/>
    <w:unhideWhenUsed/>
    <w:qFormat/>
    <w:uiPriority w:val="39"/>
    <w:pPr>
      <w:spacing w:line="276" w:lineRule="auto"/>
      <w:jc w:val="left"/>
      <w:outlineLvl w:val="9"/>
    </w:pPr>
    <w:rPr>
      <w:rFonts w:asciiTheme="majorHAnsi" w:hAnsiTheme="majorHAnsi"/>
      <w:color w:val="376092" w:themeColor="accent1" w:themeShade="BF"/>
      <w:sz w:val="28"/>
      <w:lang w:val="en-US"/>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D9264B-9EF6-4829-A28A-E71828BA66E8}">
  <ds:schemaRefs/>
</ds:datastoreItem>
</file>

<file path=docProps/app.xml><?xml version="1.0" encoding="utf-8"?>
<Properties xmlns="http://schemas.openxmlformats.org/officeDocument/2006/extended-properties" xmlns:vt="http://schemas.openxmlformats.org/officeDocument/2006/docPropsVTypes">
  <Template>Normal</Template>
  <Pages>8</Pages>
  <Words>1495</Words>
  <Characters>8522</Characters>
  <Lines>71</Lines>
  <Paragraphs>19</Paragraphs>
  <TotalTime>0</TotalTime>
  <ScaleCrop>false</ScaleCrop>
  <LinksUpToDate>false</LinksUpToDate>
  <CharactersWithSpaces>9998</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2024-05-01T14:24:00Z</dcterms:created>
  <dc:creator>user</dc:creator>
  <cp:lastModifiedBy>i study</cp:lastModifiedBy>
  <dcterms:modified xsi:type="dcterms:W3CDTF">2024-05-07T15:10:45Z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999281CF63D84643AF7D15688DF2A03B_12</vt:lpwstr>
  </property>
</Properties>
</file>