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1978" w:rsidRDefault="00B8290F" w:rsidP="00B823AA">
      <w:pPr>
        <w:pStyle w:val="Title2"/>
      </w:pPr>
      <w:r>
        <w:t>What were some of the key transformations engendered by the French Revolution, an</w:t>
      </w:r>
      <w:r w:rsidR="00DA68D0">
        <w:t>d</w:t>
      </w:r>
      <w:r>
        <w:t xml:space="preserve"> what was the cultural impact of these transformations?</w:t>
      </w:r>
    </w:p>
    <w:p w:rsidR="0022254C" w:rsidRDefault="0022254C" w:rsidP="00B823AA">
      <w:pPr>
        <w:pStyle w:val="Title2"/>
      </w:pPr>
      <w:r>
        <w:t>Word count: 1960</w:t>
      </w:r>
    </w:p>
    <w:p w:rsidR="004447A3" w:rsidRDefault="004447A3" w:rsidP="004447A3">
      <w:pPr>
        <w:ind w:firstLine="0"/>
        <w:rPr>
          <w:i/>
        </w:rPr>
      </w:pPr>
    </w:p>
    <w:p w:rsidR="00B8290F" w:rsidRDefault="00B8290F" w:rsidP="004447A3">
      <w:pPr>
        <w:ind w:firstLine="0"/>
        <w:rPr>
          <w:i/>
        </w:rPr>
      </w:pPr>
      <w:r>
        <w:rPr>
          <w:i/>
        </w:rPr>
        <w:t>“People have not yet ceased to dispute about the real origin and nature of the event.</w:t>
      </w:r>
      <w:r>
        <w:rPr>
          <w:rStyle w:val="FootnoteReference"/>
          <w:i/>
        </w:rPr>
        <w:footnoteReference w:id="1"/>
      </w:r>
      <w:r>
        <w:rPr>
          <w:i/>
        </w:rPr>
        <w:t>”</w:t>
      </w:r>
    </w:p>
    <w:p w:rsidR="00E81978" w:rsidRDefault="00B8290F" w:rsidP="00B8290F">
      <w:pPr>
        <w:pStyle w:val="ListParagraph"/>
        <w:numPr>
          <w:ilvl w:val="0"/>
          <w:numId w:val="16"/>
        </w:numPr>
        <w:rPr>
          <w:i/>
        </w:rPr>
      </w:pPr>
      <w:r>
        <w:rPr>
          <w:i/>
        </w:rPr>
        <w:t>Lord Acton</w:t>
      </w:r>
      <w:r w:rsidRPr="00B8290F">
        <w:rPr>
          <w:i/>
        </w:rPr>
        <w:t xml:space="preserve"> </w:t>
      </w:r>
    </w:p>
    <w:p w:rsidR="00DB529B" w:rsidRDefault="00DB529B" w:rsidP="00DB529B">
      <w:pPr>
        <w:rPr>
          <w:i/>
        </w:rPr>
      </w:pPr>
    </w:p>
    <w:p w:rsidR="00DB529B" w:rsidRDefault="00DB529B" w:rsidP="00DB529B">
      <w:r>
        <w:t xml:space="preserve">When we consider the nature of any aspect of history, we should first understand that we are not the first to do so. Though our thoughts on an event, person or ideal may be original we were not the first to discuss said event, person or ideal. By realizing we are yet the latest in a line of audiences, we can then use the works and opinions of those previous in a constructive manner. Lord Acton makes this the sole purpose of his first lecture </w:t>
      </w:r>
      <w:r w:rsidR="00DA68D0">
        <w:t>about the</w:t>
      </w:r>
      <w:r>
        <w:t xml:space="preserve"> French Revolution given in 1895 at Cambridge.</w:t>
      </w:r>
    </w:p>
    <w:p w:rsidR="00DB529B" w:rsidRDefault="006C5C5A" w:rsidP="00DB529B">
      <w:r>
        <w:t>This</w:t>
      </w:r>
      <w:r w:rsidR="00DB529B">
        <w:t xml:space="preserve"> in mind, I intend to focus on the French Revolution’s impact on Education.</w:t>
      </w:r>
      <w:r>
        <w:t xml:space="preserve"> Did it in fact even have a lasting effect? Or was it rather influenced by the institutions it lorded over?</w:t>
      </w:r>
    </w:p>
    <w:p w:rsidR="006C5C5A" w:rsidRDefault="006C5C5A" w:rsidP="00DB529B"/>
    <w:p w:rsidR="00E81978" w:rsidRDefault="006C5C5A" w:rsidP="00741ABD">
      <w:pPr>
        <w:pStyle w:val="Heading1"/>
        <w:jc w:val="left"/>
      </w:pPr>
      <w:r>
        <w:t>Education and the Church</w:t>
      </w:r>
    </w:p>
    <w:p w:rsidR="00E221FF" w:rsidRDefault="006C5C5A" w:rsidP="00E221FF">
      <w:r>
        <w:t>A fine place to begin is with the impact of religion on the education systems of p</w:t>
      </w:r>
      <w:r w:rsidR="0046393E">
        <w:t>re-revolution France. As of 1789</w:t>
      </w:r>
      <w:r>
        <w:t xml:space="preserve">, more than 60% of education was carried out by Abbeys, monastic </w:t>
      </w:r>
      <w:r>
        <w:lastRenderedPageBreak/>
        <w:t>orders and other affiliated religious organizations throughout France.</w:t>
      </w:r>
      <w:r>
        <w:rPr>
          <w:rStyle w:val="FootnoteReference"/>
        </w:rPr>
        <w:footnoteReference w:id="2"/>
      </w:r>
      <w:r>
        <w:t xml:space="preserve"> </w:t>
      </w:r>
      <w:r w:rsidR="00E4642F">
        <w:t xml:space="preserve">Beginning with the </w:t>
      </w:r>
      <w:r w:rsidR="00E4642F">
        <w:rPr>
          <w:i/>
        </w:rPr>
        <w:t>Declaration of the Rights of Man and Citizen</w:t>
      </w:r>
      <w:r w:rsidR="00E4642F">
        <w:t xml:space="preserve"> in 1789, we begin to see the influence of religion over education diminished as it denounced all privileged bodies</w:t>
      </w:r>
      <w:r w:rsidR="0007017B">
        <w:t xml:space="preserve"> including the Catholic church</w:t>
      </w:r>
      <w:r w:rsidR="00E4642F">
        <w:t xml:space="preserve"> that stood between the Nation and Citizen, declaring them void of political legitimacy. The irony of the declaration taking many ideas from the work of Abb</w:t>
      </w:r>
      <w:r w:rsidR="00E4642F">
        <w:rPr>
          <w:rFonts w:cstheme="minorHAnsi"/>
        </w:rPr>
        <w:t>é</w:t>
      </w:r>
      <w:r w:rsidR="00E4642F">
        <w:t xml:space="preserve"> S</w:t>
      </w:r>
      <w:r w:rsidR="00E4642F">
        <w:rPr>
          <w:rFonts w:cstheme="minorHAnsi"/>
        </w:rPr>
        <w:t>é</w:t>
      </w:r>
      <w:r w:rsidR="00E4642F">
        <w:t>yes</w:t>
      </w:r>
      <w:r w:rsidR="0007017B">
        <w:t>’ (who was himself an Abbot trying to educate the masses)</w:t>
      </w:r>
      <w:r w:rsidR="00E4642F">
        <w:t xml:space="preserve"> </w:t>
      </w:r>
      <w:r w:rsidR="0007017B">
        <w:t xml:space="preserve">in </w:t>
      </w:r>
      <w:r w:rsidR="00E4642F">
        <w:rPr>
          <w:i/>
        </w:rPr>
        <w:t>What is the Third Estate</w:t>
      </w:r>
      <w:r w:rsidR="00E4642F">
        <w:t xml:space="preserve"> written the year before, is not lost on this. </w:t>
      </w:r>
      <w:r w:rsidR="0007017B" w:rsidRPr="00433C67">
        <w:t>The initial denouncement of these institutions lead to the 1790 Civil Constitution of the Clergy, which place the Bishoprics and Diocese as well as all other church intuitions within France under the direction of the National Assembly. Henceforth the curriculum was to be decided no upon church doctrines and dogma but by a committee of elected officials.</w:t>
      </w:r>
      <w:r w:rsidR="0007017B" w:rsidRPr="00433C67">
        <w:rPr>
          <w:rStyle w:val="FootnoteReference"/>
        </w:rPr>
        <w:footnoteReference w:id="3"/>
      </w:r>
      <w:r w:rsidR="00816DD6" w:rsidRPr="00433C67">
        <w:t xml:space="preserve"> By the end of 1791 it could be said that the education system had been nationalized and standardized. Not surprisingly the main body of educators remained the clergy, though now thy were constitutionally tied to the state not the Pope.</w:t>
      </w:r>
      <w:r w:rsidR="00816DD6" w:rsidRPr="00433C67">
        <w:rPr>
          <w:rStyle w:val="FootnoteReference"/>
        </w:rPr>
        <w:footnoteReference w:id="4"/>
      </w:r>
      <w:r w:rsidR="00433C67" w:rsidRPr="00433C67">
        <w:t xml:space="preserve"> </w:t>
      </w:r>
    </w:p>
    <w:p w:rsidR="00E221FF" w:rsidRDefault="00E221FF" w:rsidP="00E221FF">
      <w:pPr>
        <w:ind w:firstLine="0"/>
        <w:rPr>
          <w:b/>
        </w:rPr>
      </w:pPr>
    </w:p>
    <w:p w:rsidR="00E221FF" w:rsidRDefault="00433C67" w:rsidP="00E221FF">
      <w:pPr>
        <w:ind w:firstLine="0"/>
        <w:rPr>
          <w:b/>
        </w:rPr>
      </w:pPr>
      <w:r w:rsidRPr="00255B8C">
        <w:rPr>
          <w:b/>
        </w:rPr>
        <w:t>Bastille Day</w:t>
      </w:r>
    </w:p>
    <w:p w:rsidR="00E221FF" w:rsidRDefault="00433C67" w:rsidP="00E221FF">
      <w:pPr>
        <w:rPr>
          <w:bCs/>
        </w:rPr>
      </w:pPr>
      <w:r w:rsidRPr="00741ABD">
        <w:rPr>
          <w:bCs/>
        </w:rPr>
        <w:t xml:space="preserve">By </w:t>
      </w:r>
      <w:r>
        <w:rPr>
          <w:bCs/>
        </w:rPr>
        <w:t xml:space="preserve">this point in the development of the French education system under the revolution we should look no just at the laws but at the students themselves. Throughout 1791-92 we find that for Paris at least there have been some rather noteworthy events occur within their universities. </w:t>
      </w:r>
      <w:r>
        <w:rPr>
          <w:bCs/>
        </w:rPr>
        <w:lastRenderedPageBreak/>
        <w:t>Both the Louis-le-Grande and Sorbonne saw their student bodies shrink drastically. The remaining students seem however to be in favour of the revolution as during May of 1791 groups gathered at both institutions to lobby for the remembrance of the Fall of the Bastille in 1789 to be commemorated annually.</w:t>
      </w:r>
      <w:r>
        <w:rPr>
          <w:rStyle w:val="FootnoteReference"/>
          <w:bCs/>
        </w:rPr>
        <w:footnoteReference w:id="5"/>
      </w:r>
      <w:r>
        <w:rPr>
          <w:bCs/>
        </w:rPr>
        <w:t xml:space="preserve"> The significance of this in recent years cannot be understated as Bastille Day is now one of France’s major public holidays. Perhaps the revolutionary young people of Paris are responsible for the creation of France’s favourite holiday.</w:t>
      </w:r>
    </w:p>
    <w:p w:rsidR="00E221FF" w:rsidRDefault="00E221FF" w:rsidP="00E221FF">
      <w:pPr>
        <w:ind w:firstLine="0"/>
        <w:rPr>
          <w:bCs/>
        </w:rPr>
      </w:pPr>
    </w:p>
    <w:p w:rsidR="00E221FF" w:rsidRPr="00E221FF" w:rsidRDefault="00433C67" w:rsidP="00E221FF">
      <w:pPr>
        <w:ind w:firstLine="0"/>
        <w:rPr>
          <w:b/>
        </w:rPr>
      </w:pPr>
      <w:r w:rsidRPr="00E221FF">
        <w:rPr>
          <w:b/>
        </w:rPr>
        <w:t>Closure and Struggle</w:t>
      </w:r>
    </w:p>
    <w:p w:rsidR="00433C67" w:rsidRPr="00E221FF" w:rsidRDefault="00433C67" w:rsidP="00E221FF">
      <w:pPr>
        <w:rPr>
          <w:b/>
        </w:rPr>
      </w:pPr>
      <w:r w:rsidRPr="00E221FF">
        <w:t>The students may have had their glory moment, but from here on out universities suffered greatly. With the assassination of Jean-Paul Marat in July of 1793, the period known as the Terror began. With it came a series of sanctions and acts designed to limit the influence of education. Beginning with the closure of all Theology branches of all Paris institutions that did not conform with the new Jacobin lead government’s views on God. Followed closely by the 1794 closure of the Sorbonne which had stood since AD1257. Many other institutions faced a similar fate. Those that were not closed was their libraries confiscated and their faculties severely diminished.</w:t>
      </w:r>
      <w:r w:rsidRPr="00E221FF">
        <w:rPr>
          <w:rStyle w:val="FootnoteReference"/>
        </w:rPr>
        <w:footnoteReference w:id="6"/>
      </w:r>
    </w:p>
    <w:p w:rsidR="00433C67" w:rsidRDefault="00433C67" w:rsidP="00433C67">
      <w:pPr>
        <w:pStyle w:val="Heading4"/>
        <w:rPr>
          <w:b w:val="0"/>
          <w:i w:val="0"/>
        </w:rPr>
      </w:pPr>
      <w:r w:rsidRPr="00747EF4">
        <w:rPr>
          <w:b w:val="0"/>
          <w:i w:val="0"/>
        </w:rPr>
        <w:lastRenderedPageBreak/>
        <w:t xml:space="preserve"> By mid-1794 France found itself in a predicament, being most problematic in Paris which a survey carried out by the Assembly discovered had approximately 100,000 student aged citizens and only 250 active educators (averaging to 400 students per teacher).</w:t>
      </w:r>
      <w:r w:rsidRPr="00747EF4">
        <w:rPr>
          <w:rStyle w:val="FootnoteReference"/>
          <w:b w:val="0"/>
          <w:i w:val="0"/>
        </w:rPr>
        <w:footnoteReference w:id="7"/>
      </w:r>
      <w:r w:rsidRPr="00747EF4">
        <w:rPr>
          <w:b w:val="0"/>
          <w:i w:val="0"/>
        </w:rPr>
        <w:t xml:space="preserve"> This situation is comparable to a struggle currently being experienced in many schools across Britain, though not to quite the same extent. A series of reforms in the education system leaving schools understaffed, forcing the creation of ‘super-size’ classes. A situation with which many members of the public are not in agreement.</w:t>
      </w:r>
      <w:r w:rsidRPr="00747EF4">
        <w:rPr>
          <w:rStyle w:val="FootnoteReference"/>
          <w:b w:val="0"/>
          <w:i w:val="0"/>
        </w:rPr>
        <w:footnoteReference w:id="8"/>
      </w:r>
      <w:r w:rsidRPr="00747EF4">
        <w:rPr>
          <w:b w:val="0"/>
          <w:i w:val="0"/>
        </w:rPr>
        <w:t xml:space="preserve"> This was also the case in 1794. </w:t>
      </w:r>
      <w:r>
        <w:rPr>
          <w:b w:val="0"/>
          <w:i w:val="0"/>
        </w:rPr>
        <w:t xml:space="preserve">As explained by Duruy in </w:t>
      </w:r>
      <w:r>
        <w:rPr>
          <w:b w:val="0"/>
        </w:rPr>
        <w:t>L’instruction Publique et la Revolution</w:t>
      </w:r>
      <w:r>
        <w:rPr>
          <w:rStyle w:val="FootnoteReference"/>
          <w:b w:val="0"/>
        </w:rPr>
        <w:footnoteReference w:id="9"/>
      </w:r>
      <w:r>
        <w:rPr>
          <w:b w:val="0"/>
        </w:rPr>
        <w:t xml:space="preserve">, </w:t>
      </w:r>
      <w:r>
        <w:rPr>
          <w:b w:val="0"/>
          <w:i w:val="0"/>
        </w:rPr>
        <w:t>the people of Paris were not content with the Assemblies attempts to change the makeup of their society in terms of their education.</w:t>
      </w:r>
    </w:p>
    <w:p w:rsidR="00433C67" w:rsidRDefault="00433C67" w:rsidP="00433C67">
      <w:pPr>
        <w:rPr>
          <w:b/>
          <w:i/>
        </w:rPr>
      </w:pPr>
      <w:r>
        <w:t>This did not stop at schools. The attempts to reeducate the populace required more than just formal education (which by now would be almost impossible with the lack of able teaching bodies). The Government turned to the stage</w:t>
      </w:r>
      <w:r w:rsidRPr="00747EF4">
        <w:rPr>
          <w:b/>
          <w:i/>
        </w:rPr>
        <w:t>.</w:t>
      </w:r>
    </w:p>
    <w:p w:rsidR="00433C67" w:rsidRDefault="00433C67" w:rsidP="00433C67">
      <w:pPr>
        <w:ind w:firstLine="0"/>
        <w:rPr>
          <w:b/>
          <w:i/>
        </w:rPr>
      </w:pPr>
    </w:p>
    <w:p w:rsidR="00433C67" w:rsidRPr="00527881" w:rsidRDefault="00433C67" w:rsidP="00433C67">
      <w:pPr>
        <w:ind w:firstLine="0"/>
        <w:rPr>
          <w:b/>
        </w:rPr>
      </w:pPr>
      <w:r>
        <w:rPr>
          <w:b/>
          <w:i/>
        </w:rPr>
        <w:t xml:space="preserve"> </w:t>
      </w:r>
      <w:r w:rsidRPr="00527881">
        <w:rPr>
          <w:b/>
        </w:rPr>
        <w:t>Educating Through Theatre</w:t>
      </w:r>
    </w:p>
    <w:p w:rsidR="00433C67" w:rsidRDefault="00433C67" w:rsidP="00433C67">
      <w:r>
        <w:rPr>
          <w:i/>
        </w:rPr>
        <w:t>“The revolutionaries wanted to educate this public through entertainment, but first they had wanted a free theatre. This freedom, however resulted in a breakdown of all restraints; caricatures of priests, nuns, and monks, which had been banned from the stage in the old regime… were now prominently displayed as objects of ridicule.”</w:t>
      </w:r>
      <w:r>
        <w:rPr>
          <w:rStyle w:val="FootnoteReference"/>
          <w:i/>
        </w:rPr>
        <w:footnoteReference w:id="10"/>
      </w:r>
      <w:r>
        <w:t xml:space="preserve"> This is highly evident in the amount of anti-clerical satire that dominated the French theatre throughout the revolution and </w:t>
      </w:r>
      <w:r>
        <w:lastRenderedPageBreak/>
        <w:t xml:space="preserve">even afterward. Piere—Jean-Baptiste Desforges’ </w:t>
      </w:r>
      <w:r>
        <w:rPr>
          <w:i/>
        </w:rPr>
        <w:t>Le Sourd, ou L’Aubergepleine (1790)</w:t>
      </w:r>
      <w:r>
        <w:t xml:space="preserve"> is a prime example of the kind of results the revolution achieved in this area, since it is still being performed on stages in France and is a piece studied by dramatists across Europe.</w:t>
      </w:r>
    </w:p>
    <w:p w:rsidR="00433C67" w:rsidRDefault="00433C67" w:rsidP="00433C67">
      <w:r>
        <w:t>Which brings me back to Marat. His influence over the revolution and in recent years is interesting as he was removed from the picture in 1793 but his name has been remembered and in many way</w:t>
      </w:r>
      <w:r w:rsidR="00DA68D0">
        <w:t>s</w:t>
      </w:r>
      <w:r>
        <w:t xml:space="preserve"> </w:t>
      </w:r>
      <w:r w:rsidR="00DA68D0">
        <w:t>commemorated</w:t>
      </w:r>
      <w:r>
        <w:t xml:space="preserve"> over the two centuries since his death. His use of print as a medium to drive the revolution produced some of the most thought-provoking pieces of propaganda of his time. </w:t>
      </w:r>
      <w:r>
        <w:rPr>
          <w:i/>
        </w:rPr>
        <w:t>L’Ami du Peuple</w:t>
      </w:r>
      <w:r>
        <w:t xml:space="preserve"> being his most well-known periodical which is rightly attributed as the cause of the September Massacres and the rise of the Jacobins Club.</w:t>
      </w:r>
      <w:r>
        <w:rPr>
          <w:rStyle w:val="FootnoteReference"/>
        </w:rPr>
        <w:footnoteReference w:id="11"/>
      </w:r>
      <w:r>
        <w:t xml:space="preserve"> </w:t>
      </w:r>
    </w:p>
    <w:p w:rsidR="00433C67" w:rsidRDefault="00433C67" w:rsidP="00433C67">
      <w:r>
        <w:t>Even more curious, is that in recent years, Marat’s name has resurfaced in theatre. Peter Brooke’s Marat/Sade</w:t>
      </w:r>
      <w:r>
        <w:rPr>
          <w:rStyle w:val="FootnoteReference"/>
        </w:rPr>
        <w:footnoteReference w:id="12"/>
      </w:r>
      <w:r>
        <w:t xml:space="preserve"> made spectacle in 1963 by placing the French Revolutionary in scope of a madhouse production directed by Sade (a libertine contemporary to the Revolution) depicting the events preceding the assassination of Jean-Paul Marat. So, we find that almost two hundred years after its initial attempts to reshape theatre, the Revolution is instead being reshaped by theatre. Like Desforges’s work, Brookes to is still in circulation, I having viewed excerpts from </w:t>
      </w:r>
      <w:r>
        <w:rPr>
          <w:i/>
        </w:rPr>
        <w:t xml:space="preserve">Marat/Sade </w:t>
      </w:r>
      <w:r>
        <w:t>performed at Leicester College’s Sue Townsend Theatre in May 2015.</w:t>
      </w:r>
    </w:p>
    <w:p w:rsidR="00433C67" w:rsidRDefault="00433C67" w:rsidP="00433C67">
      <w:pPr>
        <w:ind w:firstLine="0"/>
        <w:rPr>
          <w:b/>
          <w:sz w:val="28"/>
        </w:rPr>
      </w:pPr>
    </w:p>
    <w:p w:rsidR="00433C67" w:rsidRDefault="00433C67" w:rsidP="00433C67">
      <w:pPr>
        <w:ind w:firstLine="0"/>
        <w:rPr>
          <w:b/>
        </w:rPr>
      </w:pPr>
      <w:r>
        <w:rPr>
          <w:b/>
        </w:rPr>
        <w:t>Literature</w:t>
      </w:r>
    </w:p>
    <w:p w:rsidR="00433C67" w:rsidRDefault="00433C67" w:rsidP="00433C67">
      <w:pPr>
        <w:ind w:firstLine="0"/>
      </w:pPr>
      <w:r>
        <w:tab/>
        <w:t xml:space="preserve">As both Marat and Sade new well, literacy was important for making ideas known during the late eighteenth century. Both utilised it extensively. They both showed the government that </w:t>
      </w:r>
      <w:r>
        <w:lastRenderedPageBreak/>
        <w:t>education gave power. If you were to make all men equal like the Declaration of the Rights of Man said they were, then it stood to reason that all men should be able to read and write. Which brings the literature of the time to focus. AS we have already seen, the Assembly had confiscated many of the libraries and it is difficult to teach someone to read without materials to read from. So what kind of literature was left? What was popular for consumption?</w:t>
      </w:r>
    </w:p>
    <w:p w:rsidR="00433C67" w:rsidRDefault="00433C67" w:rsidP="00433C67">
      <w:pPr>
        <w:ind w:firstLine="0"/>
      </w:pPr>
      <w:r>
        <w:t xml:space="preserve">The answer interestingly is a rise in Sadism and the Gothic. Though neither were new during the Revolution having been around since the late 1600s, they made a resurgence. Sade being a known Sadist. The influences of Sade’s writing can still be felt today. The Fact that Sadism is still a genre though now under a different name is a key point. Perhaps writers like Sade are the reason Sadism survived long enough to bring us books like </w:t>
      </w:r>
      <w:r w:rsidRPr="00910D73">
        <w:rPr>
          <w:i/>
        </w:rPr>
        <w:t>50 shades of Grey</w:t>
      </w:r>
      <w:r>
        <w:rPr>
          <w:rStyle w:val="FootnoteReference"/>
          <w:i/>
        </w:rPr>
        <w:footnoteReference w:id="13"/>
      </w:r>
      <w:r>
        <w:rPr>
          <w:i/>
        </w:rPr>
        <w:t>.</w:t>
      </w:r>
      <w:r>
        <w:t xml:space="preserve"> Though the latter is not so depraved as </w:t>
      </w:r>
      <w:r>
        <w:rPr>
          <w:i/>
        </w:rPr>
        <w:t>Justine</w:t>
      </w:r>
      <w:r>
        <w:t>,</w:t>
      </w:r>
      <w:r>
        <w:rPr>
          <w:rStyle w:val="FootnoteReference"/>
        </w:rPr>
        <w:footnoteReference w:id="14"/>
      </w:r>
      <w:r>
        <w:t xml:space="preserve"> is still comparable in modern terms.</w:t>
      </w:r>
    </w:p>
    <w:p w:rsidR="00E81978" w:rsidRDefault="00E81978">
      <w:pPr>
        <w:pStyle w:val="NoSpacing"/>
      </w:pPr>
      <w:bookmarkStart w:id="0" w:name="_GoBack"/>
      <w:bookmarkEnd w:id="0"/>
    </w:p>
    <w:p w:rsidR="00EF5F72" w:rsidRDefault="00910D73" w:rsidP="00527881">
      <w:pPr>
        <w:ind w:firstLine="0"/>
      </w:pPr>
      <w:r>
        <w:rPr>
          <w:i/>
        </w:rPr>
        <w:tab/>
        <w:t>“</w:t>
      </w:r>
      <w:proofErr w:type="gramStart"/>
      <w:r>
        <w:rPr>
          <w:i/>
        </w:rPr>
        <w:t>the</w:t>
      </w:r>
      <w:proofErr w:type="gramEnd"/>
      <w:r>
        <w:rPr>
          <w:i/>
        </w:rPr>
        <w:t xml:space="preserve"> Gothic Novel and Sadism, while predating the </w:t>
      </w:r>
      <w:r w:rsidR="00EF5F72">
        <w:rPr>
          <w:i/>
        </w:rPr>
        <w:t>Revolution… derived another few generations of life from it”</w:t>
      </w:r>
      <w:r w:rsidR="00EF5F72">
        <w:rPr>
          <w:rStyle w:val="FootnoteReference"/>
          <w:i/>
        </w:rPr>
        <w:footnoteReference w:id="15"/>
      </w:r>
      <w:r w:rsidR="00EF5F72">
        <w:rPr>
          <w:i/>
        </w:rPr>
        <w:t xml:space="preserve"> – Paulson</w:t>
      </w:r>
      <w:r w:rsidR="00EF5F72">
        <w:t xml:space="preserve">. </w:t>
      </w:r>
    </w:p>
    <w:p w:rsidR="00E0348C" w:rsidRDefault="00E0348C" w:rsidP="00527881">
      <w:pPr>
        <w:ind w:firstLine="0"/>
      </w:pPr>
    </w:p>
    <w:p w:rsidR="00E0348C" w:rsidRDefault="00E0348C" w:rsidP="00527881">
      <w:pPr>
        <w:ind w:firstLine="0"/>
        <w:rPr>
          <w:b/>
        </w:rPr>
      </w:pPr>
      <w:r>
        <w:rPr>
          <w:b/>
        </w:rPr>
        <w:t>Results?</w:t>
      </w:r>
    </w:p>
    <w:p w:rsidR="00386F31" w:rsidRDefault="00E0348C" w:rsidP="00527881">
      <w:pPr>
        <w:ind w:firstLine="0"/>
      </w:pPr>
      <w:r>
        <w:rPr>
          <w:b/>
        </w:rPr>
        <w:tab/>
      </w:r>
      <w:r>
        <w:t xml:space="preserve">The upshot of all the upheaval caused in the aforementioned areas is this. Much of changes made by the revolutionary leaders between 1789 and 1794 would be done away with under the Napoleonic Regime. The freedom granted to the theatre would be censored </w:t>
      </w:r>
      <w:r w:rsidR="00DA68D0">
        <w:t>extensively</w:t>
      </w:r>
      <w:r w:rsidR="00691ECF">
        <w:t xml:space="preserve"> as would the literature and all other print media</w:t>
      </w:r>
      <w:r>
        <w:t xml:space="preserve">. </w:t>
      </w:r>
      <w:r w:rsidR="00691ECF">
        <w:t xml:space="preserve">The universities would maintain their monopoly, </w:t>
      </w:r>
      <w:r w:rsidR="00691ECF">
        <w:lastRenderedPageBreak/>
        <w:t xml:space="preserve">being reopened by Napoleon. Though they would be subject to government oversight and to a degree censorship. Literature, and by extension creativity could never be curbed, even during the Terror but rather channeled into different areas. One of the farthest-reaching effects likely belongs to the enlightenment which educated many of the writers contemporary to the revolution. As </w:t>
      </w:r>
      <w:r w:rsidR="00661565">
        <w:t>for many years afterward “</w:t>
      </w:r>
      <w:r w:rsidR="00691ECF" w:rsidRPr="00661565">
        <w:rPr>
          <w:i/>
        </w:rPr>
        <w:t>ideology and philo</w:t>
      </w:r>
      <w:r w:rsidR="00661565" w:rsidRPr="00661565">
        <w:rPr>
          <w:i/>
        </w:rPr>
        <w:t>sophy remained at war with Altar and throne</w:t>
      </w:r>
      <w:r w:rsidR="00661565">
        <w:rPr>
          <w:i/>
        </w:rPr>
        <w:t>”</w:t>
      </w:r>
      <w:r w:rsidR="00661565">
        <w:rPr>
          <w:rStyle w:val="FootnoteReference"/>
          <w:i/>
        </w:rPr>
        <w:footnoteReference w:id="16"/>
      </w:r>
      <w:r w:rsidR="00661565">
        <w:t xml:space="preserve">. </w:t>
      </w:r>
    </w:p>
    <w:p w:rsidR="00E0348C" w:rsidRDefault="00661565" w:rsidP="00386F31">
      <w:r>
        <w:t>But even this came to an end by the late 19</w:t>
      </w:r>
      <w:r w:rsidRPr="00661565">
        <w:rPr>
          <w:vertAlign w:val="superscript"/>
        </w:rPr>
        <w:t>th</w:t>
      </w:r>
      <w:r>
        <w:t xml:space="preserve"> century. With the likes of Flaubert poking fun at the Revolution and Enlight</w:t>
      </w:r>
      <w:r w:rsidR="00386F31">
        <w:t>e</w:t>
      </w:r>
      <w:r>
        <w:t xml:space="preserve">nment </w:t>
      </w:r>
      <w:r w:rsidR="00386F31">
        <w:t xml:space="preserve">thinking </w:t>
      </w:r>
      <w:r>
        <w:t xml:space="preserve">with </w:t>
      </w:r>
      <w:r>
        <w:rPr>
          <w:i/>
        </w:rPr>
        <w:t>Madam Bovary</w:t>
      </w:r>
      <w:r>
        <w:rPr>
          <w:rStyle w:val="FootnoteReference"/>
          <w:i/>
        </w:rPr>
        <w:footnoteReference w:id="17"/>
      </w:r>
      <w:r>
        <w:t>,</w:t>
      </w:r>
      <w:r w:rsidR="00386F31">
        <w:t xml:space="preserve"> where by using the metaphor of a medical procedure initially deemed a success is later amputated and disgraced,</w:t>
      </w:r>
      <w:r>
        <w:t xml:space="preserve"> effectively showing the world that about all that was left in French culture from the revolution was a penchant for Satire.</w:t>
      </w:r>
      <w:r w:rsidR="00386F31">
        <w:t xml:space="preserve"> In these aspects at least, the Revolution seems to have run its course.</w:t>
      </w:r>
    </w:p>
    <w:p w:rsidR="00386F31" w:rsidRDefault="00386F31" w:rsidP="00386F31">
      <w:r>
        <w:t>We cannot however say that it did not make a difference in other areas. As many of the political terminology now in use in the English language has direct links to the birth of the 1</w:t>
      </w:r>
      <w:r w:rsidRPr="00386F31">
        <w:rPr>
          <w:vertAlign w:val="superscript"/>
        </w:rPr>
        <w:t>st</w:t>
      </w:r>
      <w:r>
        <w:t xml:space="preserve"> French Republic. In the aspects explored however, </w:t>
      </w:r>
      <w:r w:rsidR="00DA68D0">
        <w:t>the</w:t>
      </w:r>
      <w:r>
        <w:t xml:space="preserve"> Revolution has been shaped by culture, as opposed to culture being shaped by the Revolution.</w:t>
      </w:r>
    </w:p>
    <w:p w:rsidR="00386F31" w:rsidRPr="00661565" w:rsidRDefault="00386F31" w:rsidP="00386F31"/>
    <w:sdt>
      <w:sdtPr>
        <w:rPr>
          <w:rFonts w:asciiTheme="minorHAnsi" w:eastAsiaTheme="minorEastAsia" w:hAnsiTheme="minorHAnsi" w:cstheme="minorBidi"/>
        </w:rPr>
        <w:id w:val="62297111"/>
        <w:docPartObj>
          <w:docPartGallery w:val="Bibliographies"/>
          <w:docPartUnique/>
        </w:docPartObj>
      </w:sdtPr>
      <w:sdtEndPr/>
      <w:sdtContent>
        <w:p w:rsidR="00E81978" w:rsidRDefault="00DA68D0">
          <w:pPr>
            <w:pStyle w:val="SectionTitle"/>
          </w:pPr>
          <w:r>
            <w:rPr>
              <w:rFonts w:asciiTheme="minorHAnsi" w:eastAsiaTheme="minorEastAsia" w:hAnsiTheme="minorHAnsi" w:cstheme="minorBidi"/>
            </w:rPr>
            <w:t>bibliography</w:t>
          </w:r>
        </w:p>
        <w:p w:rsidR="00A82667" w:rsidRDefault="00C31D30" w:rsidP="00106B4D">
          <w:pPr>
            <w:pStyle w:val="Bibliography"/>
            <w:rPr>
              <w:noProof/>
            </w:rPr>
          </w:pPr>
          <w:r>
            <w:fldChar w:fldCharType="begin"/>
          </w:r>
          <w:r>
            <w:instrText xml:space="preserve"> BIBLIOGRAPHY </w:instrText>
          </w:r>
          <w:r>
            <w:fldChar w:fldCharType="separate"/>
          </w:r>
        </w:p>
        <w:p w:rsidR="00A82667" w:rsidRDefault="00C31D30" w:rsidP="00106B4D">
          <w:pPr>
            <w:pStyle w:val="Bibliography"/>
            <w:ind w:left="0" w:firstLine="0"/>
            <w:rPr>
              <w:bCs/>
              <w:noProof/>
            </w:rPr>
          </w:pPr>
          <w:r>
            <w:rPr>
              <w:b/>
              <w:bCs/>
              <w:noProof/>
            </w:rPr>
            <w:fldChar w:fldCharType="end"/>
          </w:r>
          <w:r w:rsidR="00A82667">
            <w:rPr>
              <w:bCs/>
              <w:noProof/>
            </w:rPr>
            <w:t xml:space="preserve">Allain, Earnest. (1882) </w:t>
          </w:r>
          <w:r w:rsidR="00A82667">
            <w:rPr>
              <w:bCs/>
              <w:i/>
              <w:noProof/>
            </w:rPr>
            <w:t>L’Oueve Scolaire de la R</w:t>
          </w:r>
          <w:r w:rsidR="00A82667">
            <w:rPr>
              <w:rFonts w:cstheme="minorHAnsi"/>
              <w:bCs/>
              <w:i/>
              <w:noProof/>
            </w:rPr>
            <w:t>é</w:t>
          </w:r>
          <w:r w:rsidR="00A82667">
            <w:rPr>
              <w:bCs/>
              <w:i/>
              <w:noProof/>
            </w:rPr>
            <w:t>volution 1792-1802</w:t>
          </w:r>
          <w:r w:rsidR="00A82667">
            <w:rPr>
              <w:bCs/>
              <w:noProof/>
            </w:rPr>
            <w:t>, Paris</w:t>
          </w:r>
        </w:p>
      </w:sdtContent>
    </w:sdt>
    <w:p w:rsidR="00A82667" w:rsidRDefault="00106B4D" w:rsidP="00A82667">
      <w:pPr>
        <w:pStyle w:val="FootnoteText"/>
        <w:ind w:firstLine="0"/>
        <w:rPr>
          <w:lang w:val="en-GB"/>
        </w:rPr>
      </w:pPr>
      <w:r>
        <w:rPr>
          <w:lang w:val="en-GB"/>
        </w:rPr>
        <w:t>Bailey. (1978)</w:t>
      </w:r>
      <w:r w:rsidR="00A82667">
        <w:rPr>
          <w:lang w:val="en-GB"/>
        </w:rPr>
        <w:t xml:space="preserve"> </w:t>
      </w:r>
      <w:r w:rsidR="00A82667">
        <w:rPr>
          <w:i/>
          <w:lang w:val="en-GB"/>
        </w:rPr>
        <w:t>French Secondary Education 1763-90</w:t>
      </w:r>
      <w:r w:rsidR="00A82667">
        <w:rPr>
          <w:lang w:val="en-GB"/>
        </w:rPr>
        <w:t>, Philadelphia:</w:t>
      </w:r>
      <w:r>
        <w:rPr>
          <w:lang w:val="en-GB"/>
        </w:rPr>
        <w:t xml:space="preserve"> American Philosophical Society</w:t>
      </w:r>
      <w:r w:rsidR="00A82667">
        <w:rPr>
          <w:lang w:val="en-GB"/>
        </w:rPr>
        <w:t xml:space="preserve"> </w:t>
      </w:r>
    </w:p>
    <w:p w:rsidR="00106B4D" w:rsidRDefault="00106B4D" w:rsidP="00A82667">
      <w:pPr>
        <w:pStyle w:val="FootnoteText"/>
        <w:ind w:firstLine="0"/>
        <w:rPr>
          <w:lang w:val="en-GB"/>
        </w:rPr>
      </w:pPr>
    </w:p>
    <w:p w:rsidR="00106B4D" w:rsidRDefault="00106B4D" w:rsidP="00A82667">
      <w:pPr>
        <w:pStyle w:val="FootnoteText"/>
        <w:ind w:firstLine="0"/>
        <w:rPr>
          <w:lang w:val="en-GB"/>
        </w:rPr>
      </w:pPr>
      <w:r>
        <w:rPr>
          <w:lang w:val="en-GB"/>
        </w:rPr>
        <w:t xml:space="preserve">Brookes, Peter. (1963) </w:t>
      </w:r>
      <w:r>
        <w:rPr>
          <w:i/>
          <w:lang w:val="en-GB"/>
        </w:rPr>
        <w:t>Marat/Sade</w:t>
      </w:r>
      <w:r>
        <w:rPr>
          <w:lang w:val="en-GB"/>
        </w:rPr>
        <w:t>, London</w:t>
      </w:r>
    </w:p>
    <w:p w:rsidR="00106B4D" w:rsidRDefault="00106B4D" w:rsidP="00A82667">
      <w:pPr>
        <w:pStyle w:val="FootnoteText"/>
        <w:ind w:firstLine="0"/>
        <w:rPr>
          <w:lang w:val="en-GB"/>
        </w:rPr>
      </w:pPr>
    </w:p>
    <w:p w:rsidR="00106B4D" w:rsidRDefault="00106B4D" w:rsidP="00A82667">
      <w:pPr>
        <w:pStyle w:val="FootnoteText"/>
        <w:ind w:firstLine="0"/>
        <w:rPr>
          <w:lang w:val="en-GB"/>
        </w:rPr>
      </w:pPr>
      <w:r>
        <w:rPr>
          <w:lang w:val="en-GB"/>
        </w:rPr>
        <w:t>Conner,</w:t>
      </w:r>
      <w:r w:rsidRPr="00106B4D">
        <w:rPr>
          <w:lang w:val="en-GB"/>
        </w:rPr>
        <w:t xml:space="preserve"> </w:t>
      </w:r>
      <w:r>
        <w:rPr>
          <w:lang w:val="en-GB"/>
        </w:rPr>
        <w:t xml:space="preserve">Clifford D. (2012) </w:t>
      </w:r>
      <w:r>
        <w:rPr>
          <w:i/>
          <w:lang w:val="en-GB"/>
        </w:rPr>
        <w:t xml:space="preserve">Jean-pau Marat: Tribune of the French Revolution, </w:t>
      </w:r>
      <w:r>
        <w:rPr>
          <w:lang w:val="en-GB"/>
        </w:rPr>
        <w:t>Pluto Press</w:t>
      </w:r>
    </w:p>
    <w:p w:rsidR="00106B4D" w:rsidRDefault="00106B4D" w:rsidP="00A82667">
      <w:pPr>
        <w:pStyle w:val="FootnoteText"/>
        <w:ind w:firstLine="0"/>
        <w:rPr>
          <w:lang w:val="en-GB"/>
        </w:rPr>
      </w:pPr>
    </w:p>
    <w:p w:rsidR="00106B4D" w:rsidRDefault="00106B4D" w:rsidP="00A82667">
      <w:pPr>
        <w:pStyle w:val="FootnoteText"/>
        <w:ind w:firstLine="0"/>
        <w:rPr>
          <w:lang w:val="en-GB"/>
        </w:rPr>
      </w:pPr>
      <w:r>
        <w:rPr>
          <w:lang w:val="en-GB"/>
        </w:rPr>
        <w:t xml:space="preserve">Dalberg-Acton John E.E.  KCVO DL (1932) </w:t>
      </w:r>
      <w:r w:rsidRPr="00DB529B">
        <w:rPr>
          <w:i/>
          <w:lang w:val="en-GB"/>
        </w:rPr>
        <w:t>Lectures on the French Revolution</w:t>
      </w:r>
      <w:r>
        <w:rPr>
          <w:lang w:val="en-GB"/>
        </w:rPr>
        <w:t>, edited JN Figgs; RV Lawrence, Macmillan &amp; Co. LTD, London.</w:t>
      </w:r>
    </w:p>
    <w:p w:rsidR="00106B4D" w:rsidRDefault="00106B4D" w:rsidP="00A82667">
      <w:pPr>
        <w:pStyle w:val="FootnoteText"/>
        <w:ind w:firstLine="0"/>
        <w:rPr>
          <w:lang w:val="en-GB"/>
        </w:rPr>
      </w:pPr>
    </w:p>
    <w:p w:rsidR="00106B4D" w:rsidRDefault="00106B4D" w:rsidP="00A82667">
      <w:pPr>
        <w:pStyle w:val="FootnoteText"/>
        <w:ind w:firstLine="0"/>
      </w:pPr>
      <w:r>
        <w:rPr>
          <w:lang w:val="en-GB"/>
        </w:rPr>
        <w:t xml:space="preserve">Duruy, Albert. (1882) </w:t>
      </w:r>
      <w:r w:rsidRPr="008C6880">
        <w:rPr>
          <w:i/>
        </w:rPr>
        <w:t>L’</w:t>
      </w:r>
      <w:r w:rsidR="00DA68D0">
        <w:rPr>
          <w:i/>
        </w:rPr>
        <w:t>I</w:t>
      </w:r>
      <w:r w:rsidRPr="008C6880">
        <w:rPr>
          <w:i/>
        </w:rPr>
        <w:t>nstruction Publique et la Revolution</w:t>
      </w:r>
      <w:r>
        <w:rPr>
          <w:i/>
        </w:rPr>
        <w:t>,</w:t>
      </w:r>
      <w:r>
        <w:t xml:space="preserve"> Paris</w:t>
      </w:r>
    </w:p>
    <w:p w:rsidR="00EC0930" w:rsidRDefault="00EC0930" w:rsidP="00A82667">
      <w:pPr>
        <w:pStyle w:val="FootnoteText"/>
        <w:ind w:firstLine="0"/>
      </w:pPr>
    </w:p>
    <w:p w:rsidR="00EC0930" w:rsidRDefault="00EC0930" w:rsidP="00A82667">
      <w:pPr>
        <w:pStyle w:val="FootnoteText"/>
        <w:ind w:firstLine="0"/>
        <w:rPr>
          <w:lang w:val="en-GB"/>
        </w:rPr>
      </w:pPr>
      <w:r>
        <w:rPr>
          <w:lang w:val="en-GB"/>
        </w:rPr>
        <w:t>Flaubert,</w:t>
      </w:r>
      <w:r w:rsidRPr="00EC0930">
        <w:rPr>
          <w:lang w:val="en-GB"/>
        </w:rPr>
        <w:t xml:space="preserve"> </w:t>
      </w:r>
      <w:r>
        <w:rPr>
          <w:lang w:val="en-GB"/>
        </w:rPr>
        <w:t xml:space="preserve">Gustav. (1856) </w:t>
      </w:r>
      <w:r>
        <w:rPr>
          <w:i/>
          <w:lang w:val="en-GB"/>
        </w:rPr>
        <w:t>Madame Bovary,</w:t>
      </w:r>
      <w:r>
        <w:rPr>
          <w:lang w:val="en-GB"/>
        </w:rPr>
        <w:t xml:space="preserve"> Revue de Paris</w:t>
      </w:r>
    </w:p>
    <w:p w:rsidR="00EC0930" w:rsidRDefault="00EC0930" w:rsidP="00A82667">
      <w:pPr>
        <w:pStyle w:val="FootnoteText"/>
        <w:ind w:firstLine="0"/>
        <w:rPr>
          <w:lang w:val="en-GB"/>
        </w:rPr>
      </w:pPr>
    </w:p>
    <w:p w:rsidR="00EC0930" w:rsidRDefault="00EC0930" w:rsidP="00A82667">
      <w:pPr>
        <w:pStyle w:val="FootnoteText"/>
        <w:ind w:firstLine="0"/>
      </w:pPr>
      <w:r>
        <w:t xml:space="preserve">James, E.L. (2011) </w:t>
      </w:r>
      <w:r>
        <w:rPr>
          <w:i/>
        </w:rPr>
        <w:t>50 Shades of Grey,</w:t>
      </w:r>
      <w:r>
        <w:t xml:space="preserve"> Vintage Books</w:t>
      </w:r>
    </w:p>
    <w:p w:rsidR="00A32128" w:rsidRDefault="00A32128" w:rsidP="00A82667">
      <w:pPr>
        <w:pStyle w:val="FootnoteText"/>
        <w:ind w:firstLine="0"/>
      </w:pPr>
    </w:p>
    <w:p w:rsidR="00A32128" w:rsidRDefault="00A32128" w:rsidP="00A82667">
      <w:pPr>
        <w:pStyle w:val="FootnoteText"/>
        <w:ind w:firstLine="0"/>
        <w:rPr>
          <w:lang w:val="en-GB"/>
        </w:rPr>
      </w:pPr>
      <w:r>
        <w:rPr>
          <w:lang w:val="en-GB"/>
        </w:rPr>
        <w:t>Kennedy,</w:t>
      </w:r>
      <w:r w:rsidRPr="00A32128">
        <w:rPr>
          <w:lang w:val="en-GB"/>
        </w:rPr>
        <w:t xml:space="preserve"> </w:t>
      </w:r>
      <w:r>
        <w:rPr>
          <w:lang w:val="en-GB"/>
        </w:rPr>
        <w:t xml:space="preserve">Emmett. (1989) </w:t>
      </w:r>
      <w:r>
        <w:rPr>
          <w:i/>
          <w:lang w:val="en-GB"/>
        </w:rPr>
        <w:t>A Cultural History of the French Revolution</w:t>
      </w:r>
      <w:r>
        <w:rPr>
          <w:lang w:val="en-GB"/>
        </w:rPr>
        <w:t>, Yale University Press</w:t>
      </w:r>
    </w:p>
    <w:p w:rsidR="00A32128" w:rsidRDefault="00A32128" w:rsidP="00A82667">
      <w:pPr>
        <w:pStyle w:val="FootnoteText"/>
        <w:ind w:firstLine="0"/>
        <w:rPr>
          <w:lang w:val="en-GB"/>
        </w:rPr>
      </w:pPr>
    </w:p>
    <w:p w:rsidR="00EC0930" w:rsidRDefault="00A32128" w:rsidP="00A82667">
      <w:pPr>
        <w:pStyle w:val="FootnoteText"/>
        <w:ind w:firstLine="0"/>
        <w:rPr>
          <w:lang w:val="en-GB"/>
        </w:rPr>
      </w:pPr>
      <w:r>
        <w:rPr>
          <w:lang w:val="en-GB"/>
        </w:rPr>
        <w:t>Palmer, R.R. (197</w:t>
      </w:r>
      <w:r w:rsidR="00DA68D0">
        <w:rPr>
          <w:lang w:val="en-GB"/>
        </w:rPr>
        <w:t>) The</w:t>
      </w:r>
      <w:r w:rsidRPr="00716DC1">
        <w:rPr>
          <w:i/>
          <w:lang w:val="en-GB"/>
        </w:rPr>
        <w:t xml:space="preserve"> School of the French Revolution</w:t>
      </w:r>
      <w:r>
        <w:rPr>
          <w:i/>
          <w:lang w:val="en-GB"/>
        </w:rPr>
        <w:t>: A Documentary history of the College of Louis-le-Grande and Its Director Jean-Francois Champagne, 1762-1814,</w:t>
      </w:r>
      <w:r>
        <w:rPr>
          <w:lang w:val="en-GB"/>
        </w:rPr>
        <w:t xml:space="preserve"> Princeton</w:t>
      </w:r>
    </w:p>
    <w:p w:rsidR="00A32128" w:rsidRDefault="00A32128" w:rsidP="00A82667">
      <w:pPr>
        <w:pStyle w:val="FootnoteText"/>
        <w:ind w:firstLine="0"/>
        <w:rPr>
          <w:lang w:val="en-GB"/>
        </w:rPr>
      </w:pPr>
    </w:p>
    <w:p w:rsidR="00A32128" w:rsidRDefault="00A32128" w:rsidP="00A32128">
      <w:pPr>
        <w:pStyle w:val="FootnoteText"/>
        <w:ind w:firstLine="0"/>
        <w:rPr>
          <w:lang w:val="en-GB"/>
        </w:rPr>
      </w:pPr>
      <w:r>
        <w:rPr>
          <w:lang w:val="en-GB"/>
        </w:rPr>
        <w:t xml:space="preserve">Paulson, Ronald. (1983) </w:t>
      </w:r>
      <w:r>
        <w:rPr>
          <w:i/>
          <w:lang w:val="en-GB"/>
        </w:rPr>
        <w:t xml:space="preserve">Representations of Revolution, 1789-1820, </w:t>
      </w:r>
      <w:r>
        <w:rPr>
          <w:lang w:val="en-GB"/>
        </w:rPr>
        <w:t>Newhaven and London</w:t>
      </w:r>
    </w:p>
    <w:p w:rsidR="00A32128" w:rsidRDefault="00A32128" w:rsidP="00A32128">
      <w:pPr>
        <w:pStyle w:val="FootnoteText"/>
        <w:ind w:firstLine="0"/>
        <w:rPr>
          <w:lang w:val="en-GB"/>
        </w:rPr>
      </w:pPr>
    </w:p>
    <w:p w:rsidR="00A32128" w:rsidRPr="00FC7EA7" w:rsidRDefault="00A32128" w:rsidP="00A32128">
      <w:pPr>
        <w:pStyle w:val="FootnoteText"/>
        <w:ind w:firstLine="0"/>
        <w:rPr>
          <w:lang w:val="en-GB"/>
        </w:rPr>
      </w:pPr>
      <w:r>
        <w:rPr>
          <w:lang w:val="en-GB"/>
        </w:rPr>
        <w:t>Pells, Rachael</w:t>
      </w:r>
      <w:r w:rsidR="003629DB">
        <w:rPr>
          <w:lang w:val="en-GB"/>
        </w:rPr>
        <w:t>.</w:t>
      </w:r>
      <w:r>
        <w:rPr>
          <w:lang w:val="en-GB"/>
        </w:rPr>
        <w:t xml:space="preserve"> </w:t>
      </w:r>
      <w:r>
        <w:rPr>
          <w:i/>
          <w:lang w:val="en-GB"/>
        </w:rPr>
        <w:t>the Independent</w:t>
      </w:r>
      <w:r>
        <w:rPr>
          <w:lang w:val="en-GB"/>
        </w:rPr>
        <w:t xml:space="preserve">, </w:t>
      </w:r>
      <w:r w:rsidR="003629DB">
        <w:rPr>
          <w:lang w:val="en-GB"/>
        </w:rPr>
        <w:t>27.07.</w:t>
      </w:r>
      <w:r>
        <w:rPr>
          <w:lang w:val="en-GB"/>
        </w:rPr>
        <w:t>2017.</w:t>
      </w:r>
    </w:p>
    <w:p w:rsidR="00A32128" w:rsidRPr="00EF5F72" w:rsidRDefault="00A32128" w:rsidP="00A32128">
      <w:pPr>
        <w:pStyle w:val="FootnoteText"/>
        <w:ind w:firstLine="0"/>
        <w:rPr>
          <w:lang w:val="en-GB"/>
        </w:rPr>
      </w:pPr>
    </w:p>
    <w:p w:rsidR="00A32128" w:rsidRDefault="003629DB" w:rsidP="00A82667">
      <w:pPr>
        <w:pStyle w:val="FootnoteText"/>
        <w:ind w:firstLine="0"/>
        <w:rPr>
          <w:i/>
          <w:lang w:val="en-GB"/>
        </w:rPr>
      </w:pPr>
      <w:r>
        <w:rPr>
          <w:lang w:val="en-GB"/>
        </w:rPr>
        <w:t>de Sade,</w:t>
      </w:r>
      <w:r w:rsidRPr="003629DB">
        <w:rPr>
          <w:lang w:val="en-GB"/>
        </w:rPr>
        <w:t xml:space="preserve"> </w:t>
      </w:r>
      <w:r>
        <w:rPr>
          <w:lang w:val="en-GB"/>
        </w:rPr>
        <w:t>Marquis. (1791)</w:t>
      </w:r>
      <w:r>
        <w:rPr>
          <w:i/>
          <w:lang w:val="en-GB"/>
        </w:rPr>
        <w:t xml:space="preserve"> Justine/ Le Infortunes de la Vertu</w:t>
      </w:r>
    </w:p>
    <w:p w:rsidR="003629DB" w:rsidRDefault="003629DB" w:rsidP="00A82667">
      <w:pPr>
        <w:pStyle w:val="FootnoteText"/>
        <w:ind w:firstLine="0"/>
        <w:rPr>
          <w:i/>
          <w:lang w:val="en-GB"/>
        </w:rPr>
      </w:pPr>
    </w:p>
    <w:p w:rsidR="003629DB" w:rsidRDefault="003629DB" w:rsidP="00A82667">
      <w:pPr>
        <w:pStyle w:val="FootnoteText"/>
        <w:ind w:firstLine="0"/>
        <w:rPr>
          <w:i/>
          <w:lang w:val="en-GB"/>
        </w:rPr>
      </w:pPr>
      <w:r>
        <w:t xml:space="preserve"> </w:t>
      </w:r>
      <w:r>
        <w:rPr>
          <w:lang w:val="en-GB"/>
        </w:rPr>
        <w:t xml:space="preserve">Weale, Sally.  </w:t>
      </w:r>
      <w:r>
        <w:rPr>
          <w:i/>
          <w:lang w:val="en-GB"/>
        </w:rPr>
        <w:t>the Guardian</w:t>
      </w:r>
      <w:r>
        <w:rPr>
          <w:lang w:val="en-GB"/>
        </w:rPr>
        <w:t>15.1.2016</w:t>
      </w:r>
    </w:p>
    <w:p w:rsidR="003629DB" w:rsidRPr="00816DD6" w:rsidRDefault="003629DB" w:rsidP="00A82667">
      <w:pPr>
        <w:pStyle w:val="FootnoteText"/>
        <w:ind w:firstLine="0"/>
        <w:rPr>
          <w:lang w:val="en-GB"/>
        </w:rPr>
      </w:pPr>
    </w:p>
    <w:p w:rsidR="00E81978" w:rsidRDefault="00E81978" w:rsidP="0007017B">
      <w:pPr>
        <w:pStyle w:val="SectionTitle"/>
        <w:jc w:val="left"/>
      </w:pPr>
    </w:p>
    <w:sectPr w:rsidR="00E81978">
      <w:headerReference w:type="default" r:id="rId8"/>
      <w:headerReference w:type="first" r:id="rId9"/>
      <w:footnotePr>
        <w:pos w:val="beneathText"/>
      </w:footnotePr>
      <w:pgSz w:w="12240" w:h="15840"/>
      <w:pgMar w:top="1440" w:right="1440" w:bottom="1440" w:left="1440" w:header="720" w:footer="720" w:gutter="0"/>
      <w:cols w:space="720"/>
      <w:titlePg/>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5F63" w:rsidRDefault="000B5F63">
      <w:pPr>
        <w:spacing w:line="240" w:lineRule="auto"/>
      </w:pPr>
      <w:r>
        <w:separator/>
      </w:r>
    </w:p>
    <w:p w:rsidR="000B5F63" w:rsidRDefault="000B5F63"/>
  </w:endnote>
  <w:endnote w:type="continuationSeparator" w:id="0">
    <w:p w:rsidR="000B5F63" w:rsidRDefault="000B5F63">
      <w:pPr>
        <w:spacing w:line="240" w:lineRule="auto"/>
      </w:pPr>
      <w:r>
        <w:continuationSeparator/>
      </w:r>
    </w:p>
    <w:p w:rsidR="000B5F63" w:rsidRDefault="000B5F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5F63" w:rsidRDefault="000B5F63">
      <w:pPr>
        <w:spacing w:line="240" w:lineRule="auto"/>
      </w:pPr>
      <w:r>
        <w:separator/>
      </w:r>
    </w:p>
    <w:p w:rsidR="000B5F63" w:rsidRDefault="000B5F63"/>
  </w:footnote>
  <w:footnote w:type="continuationSeparator" w:id="0">
    <w:p w:rsidR="000B5F63" w:rsidRDefault="000B5F63">
      <w:pPr>
        <w:spacing w:line="240" w:lineRule="auto"/>
      </w:pPr>
      <w:r>
        <w:continuationSeparator/>
      </w:r>
    </w:p>
    <w:p w:rsidR="000B5F63" w:rsidRDefault="000B5F63"/>
  </w:footnote>
  <w:footnote w:id="1">
    <w:p w:rsidR="00B8290F" w:rsidRPr="00DB529B" w:rsidRDefault="00B8290F">
      <w:pPr>
        <w:pStyle w:val="FootnoteText"/>
        <w:rPr>
          <w:lang w:val="en-GB"/>
        </w:rPr>
      </w:pPr>
      <w:r>
        <w:rPr>
          <w:rStyle w:val="FootnoteReference"/>
        </w:rPr>
        <w:footnoteRef/>
      </w:r>
      <w:r>
        <w:t xml:space="preserve"> </w:t>
      </w:r>
      <w:r>
        <w:rPr>
          <w:lang w:val="en-GB"/>
        </w:rPr>
        <w:t>John E.E. Dalberg-Acton KCVO DL</w:t>
      </w:r>
      <w:r w:rsidR="00DB529B">
        <w:rPr>
          <w:lang w:val="en-GB"/>
        </w:rPr>
        <w:t xml:space="preserve"> (1834-1902), </w:t>
      </w:r>
      <w:r w:rsidR="00DB529B" w:rsidRPr="00DB529B">
        <w:rPr>
          <w:i/>
          <w:lang w:val="en-GB"/>
        </w:rPr>
        <w:t>Lectures on the French Revolution</w:t>
      </w:r>
      <w:r w:rsidR="00DB529B">
        <w:rPr>
          <w:lang w:val="en-GB"/>
        </w:rPr>
        <w:t xml:space="preserve">, edited JN Figgs; RV Lawrence, Macmillan &amp; Co. LTD, London 1932. (Appendix, p345) </w:t>
      </w:r>
    </w:p>
  </w:footnote>
  <w:footnote w:id="2">
    <w:p w:rsidR="00E4642F" w:rsidRDefault="006C5C5A">
      <w:pPr>
        <w:pStyle w:val="FootnoteText"/>
        <w:rPr>
          <w:lang w:val="en-GB"/>
        </w:rPr>
      </w:pPr>
      <w:r>
        <w:rPr>
          <w:rStyle w:val="FootnoteReference"/>
        </w:rPr>
        <w:footnoteRef/>
      </w:r>
      <w:r>
        <w:t xml:space="preserve"> </w:t>
      </w:r>
      <w:r>
        <w:rPr>
          <w:lang w:val="en-GB"/>
        </w:rPr>
        <w:t>Statistics from surveys carried out by The National Convention in 1793</w:t>
      </w:r>
      <w:r w:rsidR="00716DC1">
        <w:rPr>
          <w:lang w:val="en-GB"/>
        </w:rPr>
        <w:t xml:space="preserve">; Published </w:t>
      </w:r>
      <w:r w:rsidR="00E4642F">
        <w:rPr>
          <w:lang w:val="en-GB"/>
        </w:rPr>
        <w:t>in</w:t>
      </w:r>
      <w:r w:rsidR="00716DC1">
        <w:rPr>
          <w:lang w:val="en-GB"/>
        </w:rPr>
        <w:t xml:space="preserve"> R.R. Palmer, </w:t>
      </w:r>
      <w:r w:rsidR="00716DC1" w:rsidRPr="00716DC1">
        <w:rPr>
          <w:i/>
          <w:lang w:val="en-GB"/>
        </w:rPr>
        <w:t>The School of the French Revolution</w:t>
      </w:r>
      <w:r w:rsidR="00716DC1">
        <w:rPr>
          <w:i/>
          <w:lang w:val="en-GB"/>
        </w:rPr>
        <w:t>: A Documentary history of the College of Louis-le-Grande and Its Director Jean-Francois Champagne, 1762-1814,</w:t>
      </w:r>
      <w:r w:rsidR="00716DC1">
        <w:rPr>
          <w:lang w:val="en-GB"/>
        </w:rPr>
        <w:t xml:space="preserve"> Princeton 1975</w:t>
      </w:r>
    </w:p>
    <w:p w:rsidR="006C5C5A" w:rsidRPr="00716DC1" w:rsidRDefault="00716DC1" w:rsidP="00E4642F">
      <w:pPr>
        <w:pStyle w:val="FootnoteText"/>
        <w:ind w:firstLine="0"/>
        <w:rPr>
          <w:lang w:val="en-GB"/>
        </w:rPr>
      </w:pPr>
      <w:r>
        <w:rPr>
          <w:lang w:val="en-GB"/>
        </w:rPr>
        <w:t>(abbrev;</w:t>
      </w:r>
      <w:r w:rsidR="00E4642F">
        <w:rPr>
          <w:lang w:val="en-GB"/>
        </w:rPr>
        <w:t xml:space="preserve"> </w:t>
      </w:r>
      <w:r>
        <w:rPr>
          <w:lang w:val="en-GB"/>
        </w:rPr>
        <w:t>Palme</w:t>
      </w:r>
      <w:r w:rsidRPr="00716DC1">
        <w:rPr>
          <w:lang w:val="en-GB"/>
        </w:rPr>
        <w:t>r,</w:t>
      </w:r>
      <w:r w:rsidR="00E4642F">
        <w:rPr>
          <w:lang w:val="en-GB"/>
        </w:rPr>
        <w:t xml:space="preserve"> </w:t>
      </w:r>
      <w:r w:rsidRPr="00716DC1">
        <w:rPr>
          <w:i/>
          <w:lang w:val="en-GB"/>
        </w:rPr>
        <w:t>School</w:t>
      </w:r>
      <w:r>
        <w:rPr>
          <w:i/>
          <w:lang w:val="en-GB"/>
        </w:rPr>
        <w:t>/PVCIPCN)</w:t>
      </w:r>
    </w:p>
  </w:footnote>
  <w:footnote w:id="3">
    <w:p w:rsidR="0007017B" w:rsidRPr="0007017B" w:rsidRDefault="0007017B">
      <w:pPr>
        <w:pStyle w:val="FootnoteText"/>
        <w:rPr>
          <w:lang w:val="en-GB"/>
        </w:rPr>
      </w:pPr>
      <w:r>
        <w:rPr>
          <w:rStyle w:val="FootnoteReference"/>
        </w:rPr>
        <w:footnoteRef/>
      </w:r>
      <w:r>
        <w:t xml:space="preserve"> </w:t>
      </w:r>
      <w:r>
        <w:rPr>
          <w:lang w:val="en-GB"/>
        </w:rPr>
        <w:t xml:space="preserve">Emmett Kennedy, </w:t>
      </w:r>
      <w:r>
        <w:rPr>
          <w:i/>
          <w:lang w:val="en-GB"/>
        </w:rPr>
        <w:t>A Cultural History of the French Revolution</w:t>
      </w:r>
      <w:r>
        <w:rPr>
          <w:lang w:val="en-GB"/>
        </w:rPr>
        <w:t>, Yale University Press</w:t>
      </w:r>
      <w:r>
        <w:rPr>
          <w:i/>
          <w:lang w:val="en-GB"/>
        </w:rPr>
        <w:t xml:space="preserve">, </w:t>
      </w:r>
      <w:r>
        <w:rPr>
          <w:lang w:val="en-GB"/>
        </w:rPr>
        <w:t>1989</w:t>
      </w:r>
      <w:r w:rsidR="00802155">
        <w:rPr>
          <w:lang w:val="en-GB"/>
        </w:rPr>
        <w:t>, p.149-50</w:t>
      </w:r>
    </w:p>
  </w:footnote>
  <w:footnote w:id="4">
    <w:p w:rsidR="00816DD6" w:rsidRPr="00816DD6" w:rsidRDefault="00816DD6">
      <w:pPr>
        <w:pStyle w:val="FootnoteText"/>
        <w:rPr>
          <w:lang w:val="en-GB"/>
        </w:rPr>
      </w:pPr>
      <w:r>
        <w:rPr>
          <w:rStyle w:val="FootnoteReference"/>
        </w:rPr>
        <w:footnoteRef/>
      </w:r>
      <w:r>
        <w:t xml:space="preserve"> </w:t>
      </w:r>
      <w:r>
        <w:rPr>
          <w:lang w:val="en-GB"/>
        </w:rPr>
        <w:t xml:space="preserve">Bailey, </w:t>
      </w:r>
      <w:r>
        <w:rPr>
          <w:i/>
          <w:lang w:val="en-GB"/>
        </w:rPr>
        <w:t>French Secondary Education 1763-90</w:t>
      </w:r>
      <w:r>
        <w:rPr>
          <w:lang w:val="en-GB"/>
        </w:rPr>
        <w:t xml:space="preserve">, Philadelphia: American Philosophical Society, 1978 </w:t>
      </w:r>
    </w:p>
  </w:footnote>
  <w:footnote w:id="5">
    <w:p w:rsidR="00433C67" w:rsidRPr="00802155" w:rsidRDefault="00433C67" w:rsidP="00433C67">
      <w:pPr>
        <w:pStyle w:val="FootnoteText"/>
        <w:rPr>
          <w:lang w:val="en-GB"/>
        </w:rPr>
      </w:pPr>
      <w:r>
        <w:rPr>
          <w:rStyle w:val="FootnoteReference"/>
        </w:rPr>
        <w:footnoteRef/>
      </w:r>
      <w:r>
        <w:t xml:space="preserve"> </w:t>
      </w:r>
      <w:r>
        <w:rPr>
          <w:lang w:val="en-GB"/>
        </w:rPr>
        <w:t xml:space="preserve">Kennedy, </w:t>
      </w:r>
      <w:r>
        <w:rPr>
          <w:i/>
          <w:lang w:val="en-GB"/>
        </w:rPr>
        <w:t xml:space="preserve">Cultural History, </w:t>
      </w:r>
      <w:r>
        <w:rPr>
          <w:lang w:val="en-GB"/>
        </w:rPr>
        <w:t>p158</w:t>
      </w:r>
    </w:p>
  </w:footnote>
  <w:footnote w:id="6">
    <w:p w:rsidR="00433C67" w:rsidRPr="00527881" w:rsidRDefault="00433C67" w:rsidP="00433C67">
      <w:pPr>
        <w:pStyle w:val="FootnoteText"/>
        <w:rPr>
          <w:lang w:val="en-GB"/>
        </w:rPr>
      </w:pPr>
      <w:r>
        <w:rPr>
          <w:rStyle w:val="FootnoteReference"/>
        </w:rPr>
        <w:footnoteRef/>
      </w:r>
      <w:r>
        <w:t xml:space="preserve"> </w:t>
      </w:r>
      <w:r>
        <w:rPr>
          <w:lang w:val="en-GB"/>
        </w:rPr>
        <w:t xml:space="preserve">Acton, </w:t>
      </w:r>
      <w:r w:rsidRPr="00FA4B74">
        <w:rPr>
          <w:i/>
          <w:lang w:val="en-GB"/>
        </w:rPr>
        <w:t>Lectures</w:t>
      </w:r>
    </w:p>
  </w:footnote>
  <w:footnote w:id="7">
    <w:p w:rsidR="00433C67" w:rsidRPr="00FA4B74" w:rsidRDefault="00433C67" w:rsidP="00433C67">
      <w:pPr>
        <w:pStyle w:val="FootnoteText"/>
        <w:rPr>
          <w:lang w:val="en-GB"/>
        </w:rPr>
      </w:pPr>
      <w:r>
        <w:rPr>
          <w:rStyle w:val="FootnoteReference"/>
        </w:rPr>
        <w:footnoteRef/>
      </w:r>
      <w:r>
        <w:t xml:space="preserve">Palmer, </w:t>
      </w:r>
      <w:r>
        <w:rPr>
          <w:lang w:val="en-GB"/>
        </w:rPr>
        <w:t>PVCIPCN 6:899-910</w:t>
      </w:r>
    </w:p>
  </w:footnote>
  <w:footnote w:id="8">
    <w:p w:rsidR="00433C67" w:rsidRPr="00FC7EA7" w:rsidRDefault="00433C67" w:rsidP="00433C67">
      <w:pPr>
        <w:pStyle w:val="FootnoteText"/>
        <w:rPr>
          <w:lang w:val="en-GB"/>
        </w:rPr>
      </w:pPr>
      <w:r>
        <w:rPr>
          <w:rStyle w:val="FootnoteReference"/>
        </w:rPr>
        <w:footnoteRef/>
      </w:r>
      <w:r>
        <w:t xml:space="preserve"> The concept and utility of supersized classes is explored by education correspondents from several news agencies across Britain, notably; </w:t>
      </w:r>
      <w:r>
        <w:rPr>
          <w:lang w:val="en-GB"/>
        </w:rPr>
        <w:t xml:space="preserve">Sally Weale, </w:t>
      </w:r>
      <w:r>
        <w:rPr>
          <w:i/>
          <w:lang w:val="en-GB"/>
        </w:rPr>
        <w:t>the Guardian</w:t>
      </w:r>
      <w:r>
        <w:rPr>
          <w:lang w:val="en-GB"/>
        </w:rPr>
        <w:t xml:space="preserve">, January 2016, and Rachael Pells, </w:t>
      </w:r>
      <w:r>
        <w:rPr>
          <w:i/>
          <w:lang w:val="en-GB"/>
        </w:rPr>
        <w:t>the Independent</w:t>
      </w:r>
      <w:r>
        <w:rPr>
          <w:lang w:val="en-GB"/>
        </w:rPr>
        <w:t>, July 2017.</w:t>
      </w:r>
    </w:p>
  </w:footnote>
  <w:footnote w:id="9">
    <w:p w:rsidR="00433C67" w:rsidRPr="008C6880" w:rsidRDefault="00433C67" w:rsidP="00433C67">
      <w:pPr>
        <w:pStyle w:val="FootnoteText"/>
        <w:rPr>
          <w:lang w:val="en-GB"/>
        </w:rPr>
      </w:pPr>
      <w:r>
        <w:rPr>
          <w:rStyle w:val="FootnoteReference"/>
        </w:rPr>
        <w:footnoteRef/>
      </w:r>
      <w:r>
        <w:t xml:space="preserve"> </w:t>
      </w:r>
      <w:r>
        <w:rPr>
          <w:lang w:val="en-GB"/>
        </w:rPr>
        <w:t xml:space="preserve">Albert Duruy, </w:t>
      </w:r>
      <w:r w:rsidRPr="008C6880">
        <w:rPr>
          <w:i/>
        </w:rPr>
        <w:t>L’</w:t>
      </w:r>
      <w:r w:rsidR="00DA68D0">
        <w:rPr>
          <w:i/>
        </w:rPr>
        <w:t>I</w:t>
      </w:r>
      <w:r w:rsidRPr="008C6880">
        <w:rPr>
          <w:i/>
        </w:rPr>
        <w:t>nstruction Publique et la Revolution</w:t>
      </w:r>
      <w:r>
        <w:rPr>
          <w:i/>
        </w:rPr>
        <w:t>,</w:t>
      </w:r>
      <w:r>
        <w:t xml:space="preserve"> Paris 1882</w:t>
      </w:r>
    </w:p>
  </w:footnote>
  <w:footnote w:id="10">
    <w:p w:rsidR="00433C67" w:rsidRPr="000671A2" w:rsidRDefault="00433C67" w:rsidP="00433C67">
      <w:pPr>
        <w:pStyle w:val="FootnoteText"/>
        <w:rPr>
          <w:lang w:val="en-GB"/>
        </w:rPr>
      </w:pPr>
      <w:r>
        <w:rPr>
          <w:rStyle w:val="FootnoteReference"/>
        </w:rPr>
        <w:footnoteRef/>
      </w:r>
      <w:r>
        <w:t xml:space="preserve"> </w:t>
      </w:r>
      <w:r>
        <w:rPr>
          <w:lang w:val="en-GB"/>
        </w:rPr>
        <w:t xml:space="preserve">Kennedy, </w:t>
      </w:r>
      <w:r>
        <w:rPr>
          <w:i/>
          <w:lang w:val="en-GB"/>
        </w:rPr>
        <w:t xml:space="preserve">Cultural History, </w:t>
      </w:r>
      <w:r>
        <w:rPr>
          <w:lang w:val="en-GB"/>
        </w:rPr>
        <w:t>p 362</w:t>
      </w:r>
    </w:p>
  </w:footnote>
  <w:footnote w:id="11">
    <w:p w:rsidR="00433C67" w:rsidRPr="00792793" w:rsidRDefault="00433C67" w:rsidP="00433C67">
      <w:pPr>
        <w:pStyle w:val="FootnoteText"/>
        <w:rPr>
          <w:lang w:val="en-GB"/>
        </w:rPr>
      </w:pPr>
      <w:r>
        <w:rPr>
          <w:rStyle w:val="FootnoteReference"/>
        </w:rPr>
        <w:footnoteRef/>
      </w:r>
      <w:r>
        <w:t xml:space="preserve"> </w:t>
      </w:r>
      <w:r>
        <w:rPr>
          <w:lang w:val="en-GB"/>
        </w:rPr>
        <w:t xml:space="preserve">Clifford D. Conner, </w:t>
      </w:r>
      <w:r>
        <w:rPr>
          <w:i/>
          <w:lang w:val="en-GB"/>
        </w:rPr>
        <w:t xml:space="preserve">Jean-pau Marat: Tribune of the French Revolution, </w:t>
      </w:r>
      <w:r>
        <w:rPr>
          <w:lang w:val="en-GB"/>
        </w:rPr>
        <w:t>Pluto Press 2012</w:t>
      </w:r>
    </w:p>
  </w:footnote>
  <w:footnote w:id="12">
    <w:p w:rsidR="00433C67" w:rsidRPr="00CB00FF" w:rsidRDefault="00433C67" w:rsidP="00433C67">
      <w:pPr>
        <w:pStyle w:val="FootnoteText"/>
        <w:rPr>
          <w:lang w:val="en-GB"/>
        </w:rPr>
      </w:pPr>
      <w:r>
        <w:rPr>
          <w:rStyle w:val="FootnoteReference"/>
        </w:rPr>
        <w:footnoteRef/>
      </w:r>
      <w:r>
        <w:t xml:space="preserve"> </w:t>
      </w:r>
      <w:r>
        <w:rPr>
          <w:lang w:val="en-GB"/>
        </w:rPr>
        <w:t xml:space="preserve">Peter Brookes, </w:t>
      </w:r>
      <w:r>
        <w:rPr>
          <w:i/>
          <w:lang w:val="en-GB"/>
        </w:rPr>
        <w:t>Marat/Sade</w:t>
      </w:r>
      <w:r>
        <w:rPr>
          <w:lang w:val="en-GB"/>
        </w:rPr>
        <w:t>, London 1963</w:t>
      </w:r>
    </w:p>
  </w:footnote>
  <w:footnote w:id="13">
    <w:p w:rsidR="00433C67" w:rsidRPr="00910D73" w:rsidRDefault="00433C67" w:rsidP="00433C67">
      <w:pPr>
        <w:pStyle w:val="FootnoteText"/>
        <w:rPr>
          <w:lang w:val="en-GB"/>
        </w:rPr>
      </w:pPr>
      <w:r>
        <w:rPr>
          <w:rStyle w:val="FootnoteReference"/>
        </w:rPr>
        <w:footnoteRef/>
      </w:r>
      <w:r>
        <w:t xml:space="preserve"> E.</w:t>
      </w:r>
      <w:r w:rsidR="00DA68D0">
        <w:t>L. James</w:t>
      </w:r>
      <w:r>
        <w:t xml:space="preserve">, </w:t>
      </w:r>
      <w:r>
        <w:rPr>
          <w:i/>
        </w:rPr>
        <w:t>50 Shades of Grey,</w:t>
      </w:r>
      <w:r>
        <w:t xml:space="preserve"> Vintage Books, 2011</w:t>
      </w:r>
    </w:p>
  </w:footnote>
  <w:footnote w:id="14">
    <w:p w:rsidR="00433C67" w:rsidRPr="00910D73" w:rsidRDefault="00433C67" w:rsidP="00433C67">
      <w:pPr>
        <w:pStyle w:val="FootnoteText"/>
        <w:rPr>
          <w:lang w:val="en-GB"/>
        </w:rPr>
      </w:pPr>
      <w:r>
        <w:rPr>
          <w:rStyle w:val="FootnoteReference"/>
        </w:rPr>
        <w:footnoteRef/>
      </w:r>
      <w:r>
        <w:t xml:space="preserve"> </w:t>
      </w:r>
      <w:r>
        <w:rPr>
          <w:lang w:val="en-GB"/>
        </w:rPr>
        <w:t>Marquis de Sade,</w:t>
      </w:r>
      <w:r>
        <w:rPr>
          <w:i/>
          <w:lang w:val="en-GB"/>
        </w:rPr>
        <w:t xml:space="preserve"> Justine/ Le Infortunes de la Vertu,</w:t>
      </w:r>
      <w:r>
        <w:rPr>
          <w:lang w:val="en-GB"/>
        </w:rPr>
        <w:t xml:space="preserve"> 1791</w:t>
      </w:r>
    </w:p>
  </w:footnote>
  <w:footnote w:id="15">
    <w:p w:rsidR="00EF5F72" w:rsidRPr="00EF5F72" w:rsidRDefault="00EF5F72">
      <w:pPr>
        <w:pStyle w:val="FootnoteText"/>
        <w:rPr>
          <w:lang w:val="en-GB"/>
        </w:rPr>
      </w:pPr>
      <w:r>
        <w:rPr>
          <w:rStyle w:val="FootnoteReference"/>
        </w:rPr>
        <w:footnoteRef/>
      </w:r>
      <w:r>
        <w:t xml:space="preserve"> </w:t>
      </w:r>
      <w:r>
        <w:rPr>
          <w:lang w:val="en-GB"/>
        </w:rPr>
        <w:t xml:space="preserve">Ronald Paulson, </w:t>
      </w:r>
      <w:r>
        <w:rPr>
          <w:i/>
          <w:lang w:val="en-GB"/>
        </w:rPr>
        <w:t xml:space="preserve">Representations of Revolution, 1789-1820, </w:t>
      </w:r>
      <w:r>
        <w:rPr>
          <w:lang w:val="en-GB"/>
        </w:rPr>
        <w:t>Newhaven and London, 1983</w:t>
      </w:r>
    </w:p>
  </w:footnote>
  <w:footnote w:id="16">
    <w:p w:rsidR="00661565" w:rsidRPr="00661565" w:rsidRDefault="00661565">
      <w:pPr>
        <w:pStyle w:val="FootnoteText"/>
        <w:rPr>
          <w:lang w:val="en-GB"/>
        </w:rPr>
      </w:pPr>
      <w:r>
        <w:rPr>
          <w:rStyle w:val="FootnoteReference"/>
        </w:rPr>
        <w:footnoteRef/>
      </w:r>
      <w:r>
        <w:t xml:space="preserve"> </w:t>
      </w:r>
      <w:r>
        <w:rPr>
          <w:lang w:val="en-GB"/>
        </w:rPr>
        <w:t xml:space="preserve">Kennedy, </w:t>
      </w:r>
      <w:r>
        <w:rPr>
          <w:i/>
          <w:lang w:val="en-GB"/>
        </w:rPr>
        <w:t>Cultural History</w:t>
      </w:r>
      <w:r>
        <w:rPr>
          <w:lang w:val="en-GB"/>
        </w:rPr>
        <w:t>, p 381</w:t>
      </w:r>
    </w:p>
  </w:footnote>
  <w:footnote w:id="17">
    <w:p w:rsidR="00661565" w:rsidRPr="00661565" w:rsidRDefault="00661565">
      <w:pPr>
        <w:pStyle w:val="FootnoteText"/>
        <w:rPr>
          <w:lang w:val="en-GB"/>
        </w:rPr>
      </w:pPr>
      <w:r>
        <w:rPr>
          <w:rStyle w:val="FootnoteReference"/>
        </w:rPr>
        <w:footnoteRef/>
      </w:r>
      <w:r>
        <w:t xml:space="preserve"> </w:t>
      </w:r>
      <w:r>
        <w:rPr>
          <w:lang w:val="en-GB"/>
        </w:rPr>
        <w:t xml:space="preserve">Gustav Flaubert, </w:t>
      </w:r>
      <w:r>
        <w:rPr>
          <w:i/>
          <w:lang w:val="en-GB"/>
        </w:rPr>
        <w:t>Madame Bovary,</w:t>
      </w:r>
      <w:r>
        <w:rPr>
          <w:lang w:val="en-GB"/>
        </w:rPr>
        <w:t xml:space="preserve"> Revue de Paris, 1856</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1978" w:rsidRDefault="000B5F63">
    <w:pPr>
      <w:pStyle w:val="Header"/>
    </w:pPr>
    <w:sdt>
      <w:sdtPr>
        <w:rPr>
          <w:rStyle w:val="Strong"/>
        </w:rPr>
        <w:alias w:val="Running head"/>
        <w:tag w:val=""/>
        <w:id w:val="12739865"/>
        <w:placeholder>
          <w:docPart w:val="FF387E3A44784A409F165D92E28F582B"/>
        </w:placeholder>
        <w:showingPlcHdr/>
        <w:dataBinding w:prefixMappings="xmlns:ns0='http://schemas.microsoft.com/office/2006/coverPageProps' " w:xpath="/ns0:CoverPageProperties[1]/ns0:Abstract[1]" w:storeItemID="{55AF091B-3C7A-41E3-B477-F2FDAA23CFDA}"/>
        <w15:appearance w15:val="hidden"/>
        <w:text/>
      </w:sdtPr>
      <w:sdtEndPr>
        <w:rPr>
          <w:rStyle w:val="DefaultParagraphFont"/>
          <w:caps w:val="0"/>
        </w:rPr>
      </w:sdtEndPr>
      <w:sdtContent>
        <w:r w:rsidR="00C0601E">
          <w:rPr>
            <w:rStyle w:val="Strong"/>
          </w:rPr>
          <w:t>[Shortened Title up to 50 Characters]</w:t>
        </w:r>
      </w:sdtContent>
    </w:sdt>
    <w:r w:rsidR="005D3A03">
      <w:rPr>
        <w:rStyle w:val="Strong"/>
      </w:rPr>
      <w:ptab w:relativeTo="margin" w:alignment="right" w:leader="none"/>
    </w:r>
    <w:r w:rsidR="005D3A03">
      <w:rPr>
        <w:rStyle w:val="Strong"/>
      </w:rPr>
      <w:fldChar w:fldCharType="begin"/>
    </w:r>
    <w:r w:rsidR="005D3A03">
      <w:rPr>
        <w:rStyle w:val="Strong"/>
      </w:rPr>
      <w:instrText xml:space="preserve"> PAGE   \* MERGEFORMAT </w:instrText>
    </w:r>
    <w:r w:rsidR="005D3A03">
      <w:rPr>
        <w:rStyle w:val="Strong"/>
      </w:rPr>
      <w:fldChar w:fldCharType="separate"/>
    </w:r>
    <w:r w:rsidR="00BA3B6F">
      <w:rPr>
        <w:rStyle w:val="Strong"/>
        <w:noProof/>
      </w:rPr>
      <w:t>9</w:t>
    </w:r>
    <w:r w:rsidR="005D3A03">
      <w:rPr>
        <w:rStyle w:val="Strong"/>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1978" w:rsidRDefault="005D3A03">
    <w:pPr>
      <w:pStyle w:val="Header"/>
      <w:rPr>
        <w:rStyle w:val="Strong"/>
      </w:rPr>
    </w:pPr>
    <w:r>
      <w:rPr>
        <w:rStyle w:val="Strong"/>
      </w:rPr>
      <w:ptab w:relativeTo="margin" w:alignment="right" w:leader="none"/>
    </w:r>
    <w:r>
      <w:rPr>
        <w:rStyle w:val="Strong"/>
      </w:rPr>
      <w:fldChar w:fldCharType="begin"/>
    </w:r>
    <w:r>
      <w:rPr>
        <w:rStyle w:val="Strong"/>
      </w:rPr>
      <w:instrText xml:space="preserve"> PAGE   \* MERGEFORMAT </w:instrText>
    </w:r>
    <w:r>
      <w:rPr>
        <w:rStyle w:val="Strong"/>
      </w:rPr>
      <w:fldChar w:fldCharType="separate"/>
    </w:r>
    <w:r w:rsidR="00BA3B6F">
      <w:rPr>
        <w:rStyle w:val="Strong"/>
        <w:noProof/>
      </w:rPr>
      <w:t>1</w:t>
    </w:r>
    <w:r>
      <w:rPr>
        <w:rStyle w:val="Strong"/>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15:restartNumberingAfterBreak="0">
    <w:nsid w:val="4A5A1099"/>
    <w:multiLevelType w:val="multilevel"/>
    <w:tmpl w:val="4268E1E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54B27D0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6D702056"/>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7273740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5EC30A7"/>
    <w:multiLevelType w:val="hybridMultilevel"/>
    <w:tmpl w:val="548A8846"/>
    <w:lvl w:ilvl="0" w:tplc="EEBC661A">
      <w:numFmt w:val="bullet"/>
      <w:lvlText w:val="-"/>
      <w:lvlJc w:val="left"/>
      <w:pPr>
        <w:ind w:left="1800" w:hanging="360"/>
      </w:pPr>
      <w:rPr>
        <w:rFonts w:ascii="Times New Roman" w:eastAsiaTheme="minorEastAsia" w:hAnsi="Times New Roman" w:cs="Times New Roman"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lvlOverride w:ilvl="0">
      <w:startOverride w:val="1"/>
    </w:lvlOverride>
  </w:num>
  <w:num w:numId="12">
    <w:abstractNumId w:val="13"/>
  </w:num>
  <w:num w:numId="13">
    <w:abstractNumId w:val="11"/>
  </w:num>
  <w:num w:numId="14">
    <w:abstractNumId w:val="10"/>
  </w:num>
  <w:num w:numId="15">
    <w:abstractNumId w:val="12"/>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hdrShapeDefaults>
    <o:shapedefaults v:ext="edit" spidmax="2049"/>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250"/>
    <w:rsid w:val="000671A2"/>
    <w:rsid w:val="0007017B"/>
    <w:rsid w:val="000B5F63"/>
    <w:rsid w:val="000D3F41"/>
    <w:rsid w:val="00106B4D"/>
    <w:rsid w:val="002148E0"/>
    <w:rsid w:val="0022254C"/>
    <w:rsid w:val="00255B8C"/>
    <w:rsid w:val="002C49FA"/>
    <w:rsid w:val="00355DCA"/>
    <w:rsid w:val="003629DB"/>
    <w:rsid w:val="00386F31"/>
    <w:rsid w:val="003E3FAB"/>
    <w:rsid w:val="00433C67"/>
    <w:rsid w:val="004447A3"/>
    <w:rsid w:val="0046393E"/>
    <w:rsid w:val="004F75D3"/>
    <w:rsid w:val="00527881"/>
    <w:rsid w:val="00551A02"/>
    <w:rsid w:val="005534FA"/>
    <w:rsid w:val="005D3A03"/>
    <w:rsid w:val="006508F7"/>
    <w:rsid w:val="00661565"/>
    <w:rsid w:val="00691ECF"/>
    <w:rsid w:val="006C5C5A"/>
    <w:rsid w:val="00716DC1"/>
    <w:rsid w:val="00741ABD"/>
    <w:rsid w:val="00747EF4"/>
    <w:rsid w:val="00792793"/>
    <w:rsid w:val="008002C0"/>
    <w:rsid w:val="00802155"/>
    <w:rsid w:val="00816DD6"/>
    <w:rsid w:val="008A65C0"/>
    <w:rsid w:val="008C5323"/>
    <w:rsid w:val="008C6880"/>
    <w:rsid w:val="00910D73"/>
    <w:rsid w:val="009A6A3B"/>
    <w:rsid w:val="00A32128"/>
    <w:rsid w:val="00A82667"/>
    <w:rsid w:val="00AA1250"/>
    <w:rsid w:val="00B27E70"/>
    <w:rsid w:val="00B823AA"/>
    <w:rsid w:val="00B8290F"/>
    <w:rsid w:val="00BA3B6F"/>
    <w:rsid w:val="00BA45DB"/>
    <w:rsid w:val="00BF4184"/>
    <w:rsid w:val="00C0601E"/>
    <w:rsid w:val="00C31D30"/>
    <w:rsid w:val="00CB00FF"/>
    <w:rsid w:val="00CD6E39"/>
    <w:rsid w:val="00CF6E91"/>
    <w:rsid w:val="00D85B68"/>
    <w:rsid w:val="00DA68D0"/>
    <w:rsid w:val="00DB529B"/>
    <w:rsid w:val="00E0348C"/>
    <w:rsid w:val="00E15991"/>
    <w:rsid w:val="00E221FF"/>
    <w:rsid w:val="00E4642F"/>
    <w:rsid w:val="00E6004D"/>
    <w:rsid w:val="00E81978"/>
    <w:rsid w:val="00EC0930"/>
    <w:rsid w:val="00EF5F72"/>
    <w:rsid w:val="00F379B7"/>
    <w:rsid w:val="00F525FA"/>
    <w:rsid w:val="00FA4B74"/>
    <w:rsid w:val="00FC7EA7"/>
    <w:rsid w:val="00FF2002"/>
    <w:rsid w:val="00FF69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150DE6"/>
  <w15:chartTrackingRefBased/>
  <w15:docId w15:val="{C7A5B064-42C0-41B3-B3E0-76A285DB0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3"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8"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3F41"/>
    <w:rPr>
      <w:kern w:val="24"/>
    </w:rPr>
  </w:style>
  <w:style w:type="paragraph" w:styleId="Heading1">
    <w:name w:val="heading 1"/>
    <w:basedOn w:val="Normal"/>
    <w:next w:val="Normal"/>
    <w:link w:val="Heading1Char"/>
    <w:uiPriority w:val="9"/>
    <w:qFormat/>
    <w:rsid w:val="009A6A3B"/>
    <w:pPr>
      <w:keepNext/>
      <w:keepLines/>
      <w:ind w:firstLine="0"/>
      <w:jc w:val="center"/>
      <w:outlineLvl w:val="0"/>
    </w:pPr>
    <w:rPr>
      <w:rFonts w:asciiTheme="majorHAnsi" w:eastAsiaTheme="majorEastAsia" w:hAnsiTheme="majorHAnsi" w:cstheme="majorBidi"/>
      <w:b/>
      <w:bCs/>
    </w:rPr>
  </w:style>
  <w:style w:type="paragraph" w:styleId="Heading2">
    <w:name w:val="heading 2"/>
    <w:basedOn w:val="Normal"/>
    <w:next w:val="Normal"/>
    <w:link w:val="Heading2Char"/>
    <w:uiPriority w:val="4"/>
    <w:unhideWhenUsed/>
    <w:qFormat/>
    <w:rsid w:val="009A6A3B"/>
    <w:pPr>
      <w:keepNext/>
      <w:keepLines/>
      <w:ind w:firstLine="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4"/>
    <w:unhideWhenUsed/>
    <w:qFormat/>
    <w:rsid w:val="00C31D30"/>
    <w:pPr>
      <w:keepNext/>
      <w:keepLines/>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4"/>
    <w:unhideWhenUsed/>
    <w:qFormat/>
    <w:rsid w:val="00C31D30"/>
    <w:pPr>
      <w:keepNext/>
      <w:keepLines/>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4"/>
    <w:unhideWhenUsed/>
    <w:qFormat/>
    <w:rsid w:val="00C31D30"/>
    <w:pPr>
      <w:keepNext/>
      <w:keepLines/>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semiHidden/>
    <w:qFormat/>
    <w:rsid w:val="009A6A3B"/>
    <w:pPr>
      <w:keepNext/>
      <w:keepLines/>
      <w:spacing w:before="40"/>
      <w:ind w:firstLine="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uiPriority w:val="9"/>
    <w:semiHidden/>
    <w:qFormat/>
    <w:rsid w:val="009A6A3B"/>
    <w:pPr>
      <w:keepNext/>
      <w:keepLines/>
      <w:spacing w:before="40"/>
      <w:ind w:firstLine="0"/>
      <w:outlineLvl w:val="6"/>
    </w:pPr>
    <w:rPr>
      <w:rFonts w:asciiTheme="majorHAnsi" w:eastAsiaTheme="majorEastAsia" w:hAnsiTheme="majorHAnsi" w:cstheme="majorBidi"/>
      <w:i/>
      <w:iCs/>
      <w:color w:val="6E6E6E" w:themeColor="accent1" w:themeShade="7F"/>
    </w:rPr>
  </w:style>
  <w:style w:type="paragraph" w:styleId="Heading8">
    <w:name w:val="heading 8"/>
    <w:basedOn w:val="Normal"/>
    <w:next w:val="Normal"/>
    <w:link w:val="Heading8Char"/>
    <w:uiPriority w:val="9"/>
    <w:semiHidden/>
    <w:qFormat/>
    <w:rsid w:val="009A6A3B"/>
    <w:pPr>
      <w:keepNext/>
      <w:keepLines/>
      <w:spacing w:before="40"/>
      <w:ind w:firstLine="0"/>
      <w:outlineLvl w:val="7"/>
    </w:pPr>
    <w:rPr>
      <w:rFonts w:asciiTheme="majorHAnsi" w:eastAsiaTheme="majorEastAsia" w:hAnsiTheme="majorHAnsi" w:cstheme="majorBidi"/>
      <w:color w:val="272727" w:themeColor="text1" w:themeTint="D8"/>
      <w:sz w:val="22"/>
      <w:szCs w:val="21"/>
    </w:rPr>
  </w:style>
  <w:style w:type="paragraph" w:styleId="Heading9">
    <w:name w:val="heading 9"/>
    <w:basedOn w:val="Normal"/>
    <w:next w:val="Normal"/>
    <w:link w:val="Heading9Char"/>
    <w:uiPriority w:val="9"/>
    <w:semiHidden/>
    <w:qFormat/>
    <w:rsid w:val="009A6A3B"/>
    <w:pPr>
      <w:keepNext/>
      <w:keepLines/>
      <w:spacing w:before="40"/>
      <w:ind w:firstLine="0"/>
      <w:outlineLvl w:val="8"/>
    </w:pPr>
    <w:rPr>
      <w:rFonts w:asciiTheme="majorHAnsi" w:eastAsiaTheme="majorEastAsia" w:hAnsiTheme="majorHAnsi" w:cstheme="majorBidi"/>
      <w:i/>
      <w:iCs/>
      <w:color w:val="272727" w:themeColor="text1" w:themeTint="D8"/>
      <w:sz w:val="22"/>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uiPriority w:val="2"/>
    <w:qFormat/>
    <w:pPr>
      <w:pageBreakBefore/>
      <w:ind w:firstLine="0"/>
      <w:jc w:val="center"/>
      <w:outlineLvl w:val="0"/>
    </w:pPr>
    <w:rPr>
      <w:rFonts w:asciiTheme="majorHAnsi" w:eastAsiaTheme="majorEastAsia" w:hAnsiTheme="majorHAnsi" w:cstheme="majorBidi"/>
    </w:rPr>
  </w:style>
  <w:style w:type="paragraph" w:styleId="Header">
    <w:name w:val="header"/>
    <w:basedOn w:val="Normal"/>
    <w:link w:val="HeaderChar"/>
    <w:uiPriority w:val="99"/>
    <w:unhideWhenUsed/>
    <w:qFormat/>
    <w:pPr>
      <w:spacing w:line="240" w:lineRule="auto"/>
      <w:ind w:firstLine="0"/>
    </w:pPr>
  </w:style>
  <w:style w:type="character" w:customStyle="1" w:styleId="HeaderChar">
    <w:name w:val="Header Char"/>
    <w:basedOn w:val="DefaultParagraphFont"/>
    <w:link w:val="Header"/>
    <w:uiPriority w:val="99"/>
    <w:rPr>
      <w:kern w:val="24"/>
    </w:rPr>
  </w:style>
  <w:style w:type="character" w:styleId="Strong">
    <w:name w:val="Strong"/>
    <w:basedOn w:val="DefaultParagraphFont"/>
    <w:uiPriority w:val="22"/>
    <w:unhideWhenUsed/>
    <w:qFormat/>
    <w:rPr>
      <w:b w:val="0"/>
      <w:bCs w:val="0"/>
      <w:caps/>
      <w:smallCaps w:val="0"/>
    </w:rPr>
  </w:style>
  <w:style w:type="character" w:styleId="PlaceholderText">
    <w:name w:val="Placeholder Text"/>
    <w:basedOn w:val="DefaultParagraphFont"/>
    <w:uiPriority w:val="99"/>
    <w:semiHidden/>
    <w:rsid w:val="005D3A03"/>
    <w:rPr>
      <w:color w:val="404040" w:themeColor="text1" w:themeTint="BF"/>
    </w:rPr>
  </w:style>
  <w:style w:type="paragraph" w:styleId="NoSpacing">
    <w:name w:val="No Spacing"/>
    <w:aliases w:val="No Indent"/>
    <w:uiPriority w:val="3"/>
    <w:qFormat/>
    <w:pPr>
      <w:ind w:firstLine="0"/>
    </w:pPr>
  </w:style>
  <w:style w:type="character" w:customStyle="1" w:styleId="Heading1Char">
    <w:name w:val="Heading 1 Char"/>
    <w:basedOn w:val="DefaultParagraphFont"/>
    <w:link w:val="Heading1"/>
    <w:uiPriority w:val="9"/>
    <w:rPr>
      <w:rFonts w:asciiTheme="majorHAnsi" w:eastAsiaTheme="majorEastAsia" w:hAnsiTheme="majorHAnsi" w:cstheme="majorBidi"/>
      <w:b/>
      <w:bCs/>
      <w:kern w:val="24"/>
    </w:rPr>
  </w:style>
  <w:style w:type="character" w:customStyle="1" w:styleId="Heading2Char">
    <w:name w:val="Heading 2 Char"/>
    <w:basedOn w:val="DefaultParagraphFont"/>
    <w:link w:val="Heading2"/>
    <w:uiPriority w:val="4"/>
    <w:rPr>
      <w:rFonts w:asciiTheme="majorHAnsi" w:eastAsiaTheme="majorEastAsia" w:hAnsiTheme="majorHAnsi" w:cstheme="majorBidi"/>
      <w:b/>
      <w:bCs/>
      <w:kern w:val="24"/>
    </w:rPr>
  </w:style>
  <w:style w:type="paragraph" w:styleId="Title">
    <w:name w:val="Title"/>
    <w:basedOn w:val="Normal"/>
    <w:link w:val="TitleChar"/>
    <w:qFormat/>
    <w:pPr>
      <w:spacing w:before="2400"/>
      <w:ind w:firstLine="0"/>
      <w:contextualSpacing/>
      <w:jc w:val="center"/>
    </w:pPr>
    <w:rPr>
      <w:rFonts w:asciiTheme="majorHAnsi" w:eastAsiaTheme="majorEastAsia" w:hAnsiTheme="majorHAnsi" w:cstheme="majorBidi"/>
    </w:rPr>
  </w:style>
  <w:style w:type="character" w:customStyle="1" w:styleId="TitleChar">
    <w:name w:val="Title Char"/>
    <w:basedOn w:val="DefaultParagraphFont"/>
    <w:link w:val="Title"/>
    <w:rsid w:val="008C5323"/>
    <w:rPr>
      <w:rFonts w:asciiTheme="majorHAnsi" w:eastAsiaTheme="majorEastAsia" w:hAnsiTheme="majorHAnsi" w:cstheme="majorBidi"/>
      <w:kern w:val="24"/>
    </w:rPr>
  </w:style>
  <w:style w:type="character" w:styleId="Emphasis">
    <w:name w:val="Emphasis"/>
    <w:basedOn w:val="DefaultParagraphFont"/>
    <w:uiPriority w:val="4"/>
    <w:unhideWhenUsed/>
    <w:qFormat/>
    <w:rPr>
      <w:i/>
      <w:iCs/>
    </w:rPr>
  </w:style>
  <w:style w:type="character" w:customStyle="1" w:styleId="Heading3Char">
    <w:name w:val="Heading 3 Char"/>
    <w:basedOn w:val="DefaultParagraphFont"/>
    <w:link w:val="Heading3"/>
    <w:uiPriority w:val="4"/>
    <w:rsid w:val="00C31D30"/>
    <w:rPr>
      <w:rFonts w:asciiTheme="majorHAnsi" w:eastAsiaTheme="majorEastAsia" w:hAnsiTheme="majorHAnsi" w:cstheme="majorBidi"/>
      <w:b/>
      <w:bCs/>
      <w:kern w:val="24"/>
    </w:rPr>
  </w:style>
  <w:style w:type="character" w:customStyle="1" w:styleId="Heading4Char">
    <w:name w:val="Heading 4 Char"/>
    <w:basedOn w:val="DefaultParagraphFont"/>
    <w:link w:val="Heading4"/>
    <w:uiPriority w:val="4"/>
    <w:rsid w:val="00C31D30"/>
    <w:rPr>
      <w:rFonts w:asciiTheme="majorHAnsi" w:eastAsiaTheme="majorEastAsia" w:hAnsiTheme="majorHAnsi" w:cstheme="majorBidi"/>
      <w:b/>
      <w:bCs/>
      <w:i/>
      <w:iCs/>
      <w:kern w:val="24"/>
    </w:rPr>
  </w:style>
  <w:style w:type="character" w:customStyle="1" w:styleId="Heading5Char">
    <w:name w:val="Heading 5 Char"/>
    <w:basedOn w:val="DefaultParagraphFont"/>
    <w:link w:val="Heading5"/>
    <w:uiPriority w:val="4"/>
    <w:rsid w:val="00C31D30"/>
    <w:rPr>
      <w:rFonts w:asciiTheme="majorHAnsi" w:eastAsiaTheme="majorEastAsia" w:hAnsiTheme="majorHAnsi" w:cstheme="majorBidi"/>
      <w:i/>
      <w:iCs/>
      <w:kern w:val="24"/>
    </w:rPr>
  </w:style>
  <w:style w:type="paragraph" w:styleId="BalloonText">
    <w:name w:val="Balloon Text"/>
    <w:basedOn w:val="Normal"/>
    <w:link w:val="BalloonTextChar"/>
    <w:uiPriority w:val="99"/>
    <w:semiHidden/>
    <w:unhideWhenUsed/>
    <w:rsid w:val="00FF2002"/>
    <w:pPr>
      <w:spacing w:line="240" w:lineRule="auto"/>
      <w:ind w:firstLine="0"/>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FF2002"/>
    <w:rPr>
      <w:rFonts w:ascii="Segoe UI" w:hAnsi="Segoe UI" w:cs="Segoe UI"/>
      <w:kern w:val="24"/>
      <w:sz w:val="22"/>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rsid w:val="009A6A3B"/>
    <w:pPr>
      <w:pBdr>
        <w:top w:val="single" w:sz="2" w:space="10" w:color="595959" w:themeColor="text1" w:themeTint="A6" w:shadow="1"/>
        <w:left w:val="single" w:sz="2" w:space="10" w:color="595959" w:themeColor="text1" w:themeTint="A6" w:shadow="1"/>
        <w:bottom w:val="single" w:sz="2" w:space="10" w:color="595959" w:themeColor="text1" w:themeTint="A6" w:shadow="1"/>
        <w:right w:val="single" w:sz="2" w:space="10" w:color="595959" w:themeColor="text1" w:themeTint="A6" w:shadow="1"/>
      </w:pBdr>
      <w:ind w:left="1152" w:right="1152" w:firstLine="0"/>
    </w:pPr>
    <w:rPr>
      <w:i/>
      <w:iCs/>
      <w:color w:val="595959" w:themeColor="text1" w:themeTint="A6"/>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rsid w:val="00FF2002"/>
    <w:pPr>
      <w:spacing w:after="120"/>
      <w:ind w:firstLine="0"/>
    </w:pPr>
    <w:rPr>
      <w:sz w:val="22"/>
      <w:szCs w:val="16"/>
    </w:rPr>
  </w:style>
  <w:style w:type="character" w:customStyle="1" w:styleId="BodyText3Char">
    <w:name w:val="Body Text 3 Char"/>
    <w:basedOn w:val="DefaultParagraphFont"/>
    <w:link w:val="BodyText3"/>
    <w:uiPriority w:val="99"/>
    <w:semiHidden/>
    <w:rsid w:val="00FF2002"/>
    <w:rPr>
      <w:kern w:val="24"/>
      <w:sz w:val="22"/>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rsid w:val="00FF2002"/>
    <w:pPr>
      <w:spacing w:after="120"/>
      <w:ind w:left="360" w:firstLine="0"/>
    </w:pPr>
    <w:rPr>
      <w:sz w:val="22"/>
      <w:szCs w:val="16"/>
    </w:rPr>
  </w:style>
  <w:style w:type="character" w:customStyle="1" w:styleId="BodyTextIndent3Char">
    <w:name w:val="Body Text Indent 3 Char"/>
    <w:basedOn w:val="DefaultParagraphFont"/>
    <w:link w:val="BodyTextIndent3"/>
    <w:uiPriority w:val="99"/>
    <w:semiHidden/>
    <w:rsid w:val="00FF2002"/>
    <w:rPr>
      <w:kern w:val="24"/>
      <w:sz w:val="22"/>
      <w:szCs w:val="16"/>
    </w:rPr>
  </w:style>
  <w:style w:type="paragraph" w:styleId="Caption">
    <w:name w:val="caption"/>
    <w:basedOn w:val="Normal"/>
    <w:next w:val="Normal"/>
    <w:uiPriority w:val="35"/>
    <w:semiHidden/>
    <w:unhideWhenUsed/>
    <w:qFormat/>
    <w:rsid w:val="00FF2002"/>
    <w:pPr>
      <w:spacing w:after="200" w:line="240" w:lineRule="auto"/>
      <w:ind w:firstLine="0"/>
    </w:pPr>
    <w:rPr>
      <w:i/>
      <w:iCs/>
      <w:color w:val="000000" w:themeColor="text2"/>
      <w:sz w:val="22"/>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rsid w:val="00FF2002"/>
    <w:pPr>
      <w:spacing w:line="240" w:lineRule="auto"/>
      <w:ind w:firstLine="0"/>
    </w:pPr>
    <w:rPr>
      <w:sz w:val="22"/>
      <w:szCs w:val="20"/>
    </w:rPr>
  </w:style>
  <w:style w:type="character" w:customStyle="1" w:styleId="CommentTextChar">
    <w:name w:val="Comment Text Char"/>
    <w:basedOn w:val="DefaultParagraphFont"/>
    <w:link w:val="CommentText"/>
    <w:uiPriority w:val="99"/>
    <w:semiHidden/>
    <w:rsid w:val="00FF2002"/>
    <w:rPr>
      <w:kern w:val="24"/>
      <w:sz w:val="22"/>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rsid w:val="00FF2002"/>
    <w:pPr>
      <w:spacing w:line="240" w:lineRule="auto"/>
      <w:ind w:firstLine="0"/>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FF2002"/>
    <w:rPr>
      <w:rFonts w:ascii="Segoe UI" w:hAnsi="Segoe UI" w:cs="Segoe UI"/>
      <w:kern w:val="24"/>
      <w:sz w:val="22"/>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rsid w:val="00FF2002"/>
    <w:pPr>
      <w:spacing w:line="240" w:lineRule="auto"/>
    </w:pPr>
    <w:rPr>
      <w:sz w:val="22"/>
      <w:szCs w:val="20"/>
    </w:rPr>
  </w:style>
  <w:style w:type="character" w:customStyle="1" w:styleId="FootnoteTextChar">
    <w:name w:val="Footnote Text Char"/>
    <w:basedOn w:val="DefaultParagraphFont"/>
    <w:link w:val="FootnoteText"/>
    <w:uiPriority w:val="99"/>
    <w:semiHidden/>
    <w:rsid w:val="00FF2002"/>
    <w:rPr>
      <w:kern w:val="24"/>
      <w:sz w:val="22"/>
      <w:szCs w:val="20"/>
    </w:rPr>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rsid w:val="00FF2002"/>
    <w:pPr>
      <w:spacing w:line="240" w:lineRule="auto"/>
      <w:ind w:firstLine="0"/>
    </w:pPr>
    <w:rPr>
      <w:rFonts w:asciiTheme="majorHAnsi" w:eastAsiaTheme="majorEastAsia" w:hAnsiTheme="majorHAnsi" w:cstheme="majorBidi"/>
      <w:sz w:val="22"/>
      <w:szCs w:val="20"/>
    </w:rPr>
  </w:style>
  <w:style w:type="paragraph" w:styleId="Footer">
    <w:name w:val="footer"/>
    <w:basedOn w:val="Normal"/>
    <w:link w:val="FooterChar"/>
    <w:uiPriority w:val="99"/>
    <w:unhideWhenUsed/>
    <w:rsid w:val="008002C0"/>
    <w:pPr>
      <w:spacing w:line="240" w:lineRule="auto"/>
      <w:ind w:firstLine="0"/>
    </w:pPr>
  </w:style>
  <w:style w:type="character" w:customStyle="1" w:styleId="FooterChar">
    <w:name w:val="Footer Char"/>
    <w:basedOn w:val="DefaultParagraphFont"/>
    <w:link w:val="Footer"/>
    <w:uiPriority w:val="99"/>
    <w:rsid w:val="008002C0"/>
    <w:rPr>
      <w:kern w:val="24"/>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sid w:val="00FF2002"/>
    <w:rPr>
      <w:rFonts w:asciiTheme="majorHAnsi" w:eastAsiaTheme="majorEastAsia" w:hAnsiTheme="majorHAnsi" w:cstheme="majorBidi"/>
      <w:color w:val="272727" w:themeColor="text1" w:themeTint="D8"/>
      <w:kern w:val="24"/>
      <w:sz w:val="22"/>
      <w:szCs w:val="21"/>
    </w:rPr>
  </w:style>
  <w:style w:type="character" w:customStyle="1" w:styleId="Heading9Char">
    <w:name w:val="Heading 9 Char"/>
    <w:basedOn w:val="DefaultParagraphFont"/>
    <w:link w:val="Heading9"/>
    <w:uiPriority w:val="9"/>
    <w:semiHidden/>
    <w:rsid w:val="00FF2002"/>
    <w:rPr>
      <w:rFonts w:asciiTheme="majorHAnsi" w:eastAsiaTheme="majorEastAsia" w:hAnsiTheme="majorHAnsi" w:cstheme="majorBidi"/>
      <w:i/>
      <w:iCs/>
      <w:color w:val="272727" w:themeColor="text1" w:themeTint="D8"/>
      <w:kern w:val="24"/>
      <w:sz w:val="22"/>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rsid w:val="00FF2002"/>
    <w:pPr>
      <w:spacing w:line="240" w:lineRule="auto"/>
      <w:ind w:firstLine="0"/>
    </w:pPr>
    <w:rPr>
      <w:rFonts w:ascii="Consolas" w:hAnsi="Consolas" w:cs="Consolas"/>
      <w:sz w:val="22"/>
      <w:szCs w:val="20"/>
    </w:rPr>
  </w:style>
  <w:style w:type="character" w:customStyle="1" w:styleId="HTMLPreformattedChar">
    <w:name w:val="HTML Preformatted Char"/>
    <w:basedOn w:val="DefaultParagraphFont"/>
    <w:link w:val="HTMLPreformatted"/>
    <w:uiPriority w:val="99"/>
    <w:semiHidden/>
    <w:rsid w:val="00FF2002"/>
    <w:rPr>
      <w:rFonts w:ascii="Consolas" w:hAnsi="Consolas" w:cs="Consolas"/>
      <w:kern w:val="24"/>
      <w:sz w:val="22"/>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rsid w:val="005D3A03"/>
    <w:pPr>
      <w:pBdr>
        <w:top w:val="single" w:sz="4" w:space="10" w:color="404040" w:themeColor="text1" w:themeTint="BF"/>
        <w:bottom w:val="single" w:sz="4" w:space="10" w:color="404040" w:themeColor="text1" w:themeTint="BF"/>
      </w:pBdr>
      <w:spacing w:before="360" w:after="360"/>
      <w:ind w:left="864" w:right="864" w:firstLine="0"/>
      <w:jc w:val="center"/>
    </w:pPr>
    <w:rPr>
      <w:i/>
      <w:iCs/>
      <w:color w:val="404040" w:themeColor="text1" w:themeTint="BF"/>
    </w:rPr>
  </w:style>
  <w:style w:type="character" w:customStyle="1" w:styleId="IntenseQuoteChar">
    <w:name w:val="Intense Quote Char"/>
    <w:basedOn w:val="DefaultParagraphFont"/>
    <w:link w:val="IntenseQuote"/>
    <w:uiPriority w:val="30"/>
    <w:semiHidden/>
    <w:rsid w:val="005D3A03"/>
    <w:rPr>
      <w:i/>
      <w:iCs/>
      <w:color w:val="404040" w:themeColor="text1" w:themeTint="BF"/>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unhideWhenUsed/>
    <w:qFormat/>
    <w:pPr>
      <w:ind w:left="720" w:firstLine="0"/>
      <w:contextualSpacing/>
    </w:pPr>
  </w:style>
  <w:style w:type="paragraph" w:styleId="MacroText">
    <w:name w:val="macro"/>
    <w:link w:val="MacroTextChar"/>
    <w:uiPriority w:val="99"/>
    <w:semiHidden/>
    <w:unhideWhenUsed/>
    <w:rsid w:val="00FF2002"/>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2"/>
      <w:szCs w:val="20"/>
    </w:rPr>
  </w:style>
  <w:style w:type="character" w:customStyle="1" w:styleId="MacroTextChar">
    <w:name w:val="Macro Text Char"/>
    <w:basedOn w:val="DefaultParagraphFont"/>
    <w:link w:val="MacroText"/>
    <w:uiPriority w:val="99"/>
    <w:semiHidden/>
    <w:rsid w:val="00FF2002"/>
    <w:rPr>
      <w:rFonts w:ascii="Consolas" w:hAnsi="Consolas" w:cs="Consolas"/>
      <w:kern w:val="24"/>
      <w:sz w:val="22"/>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rsid w:val="00FF2002"/>
    <w:pPr>
      <w:spacing w:line="240" w:lineRule="auto"/>
      <w:ind w:firstLine="0"/>
    </w:pPr>
    <w:rPr>
      <w:rFonts w:ascii="Consolas" w:hAnsi="Consolas" w:cs="Consolas"/>
      <w:sz w:val="22"/>
      <w:szCs w:val="21"/>
    </w:rPr>
  </w:style>
  <w:style w:type="character" w:customStyle="1" w:styleId="PlainTextChar">
    <w:name w:val="Plain Text Char"/>
    <w:basedOn w:val="DefaultParagraphFont"/>
    <w:link w:val="PlainText"/>
    <w:uiPriority w:val="99"/>
    <w:semiHidden/>
    <w:rsid w:val="00FF2002"/>
    <w:rPr>
      <w:rFonts w:ascii="Consolas" w:hAnsi="Consolas" w:cs="Consolas"/>
      <w:kern w:val="24"/>
      <w:sz w:val="22"/>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rPr>
      <w:kern w:val="24"/>
    </w:r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5"/>
    <w:unhideWhenUsed/>
    <w:qFormat/>
    <w:rPr>
      <w:vertAlign w:val="superscript"/>
    </w:rPr>
  </w:style>
  <w:style w:type="table" w:customStyle="1" w:styleId="APAReport">
    <w:name w:val="APA Report"/>
    <w:basedOn w:val="TableNormal"/>
    <w:uiPriority w:val="99"/>
    <w:rsid w:val="00BF4184"/>
    <w:pPr>
      <w:spacing w:line="240" w:lineRule="auto"/>
      <w:ind w:firstLine="0"/>
    </w:pPr>
    <w:tblPr>
      <w:tblBorders>
        <w:top w:val="single" w:sz="12" w:space="0" w:color="auto"/>
        <w:bottom w:val="single" w:sz="12" w:space="0" w:color="auto"/>
      </w:tblBorders>
    </w:tblPr>
    <w:tblStylePr w:type="firstRow">
      <w:rPr>
        <w:rFonts w:asciiTheme="majorHAnsi" w:hAnsiTheme="majorHAnsi"/>
      </w:rPr>
      <w:tblPr/>
      <w:trPr>
        <w:tblHeader/>
      </w:tr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39"/>
    <w:qFormat/>
    <w:pPr>
      <w:spacing w:before="240"/>
      <w:ind w:firstLine="0"/>
      <w:contextualSpacing/>
    </w:pPr>
  </w:style>
  <w:style w:type="table" w:styleId="PlainTable1">
    <w:name w:val="Plain Table 1"/>
    <w:basedOn w:val="TableNormal"/>
    <w:uiPriority w:val="41"/>
    <w:rsid w:val="00E6004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FF2002"/>
    <w:rPr>
      <w:sz w:val="22"/>
      <w:szCs w:val="16"/>
    </w:rPr>
  </w:style>
  <w:style w:type="paragraph" w:styleId="EndnoteText">
    <w:name w:val="endnote text"/>
    <w:basedOn w:val="Normal"/>
    <w:link w:val="EndnoteTextChar"/>
    <w:uiPriority w:val="99"/>
    <w:semiHidden/>
    <w:unhideWhenUsed/>
    <w:qFormat/>
    <w:rsid w:val="00FF2002"/>
    <w:pPr>
      <w:spacing w:line="240" w:lineRule="auto"/>
    </w:pPr>
    <w:rPr>
      <w:sz w:val="22"/>
      <w:szCs w:val="20"/>
    </w:rPr>
  </w:style>
  <w:style w:type="character" w:customStyle="1" w:styleId="EndnoteTextChar">
    <w:name w:val="Endnote Text Char"/>
    <w:basedOn w:val="DefaultParagraphFont"/>
    <w:link w:val="EndnoteText"/>
    <w:uiPriority w:val="99"/>
    <w:semiHidden/>
    <w:rsid w:val="00FF2002"/>
    <w:rPr>
      <w:kern w:val="24"/>
      <w:sz w:val="22"/>
      <w:szCs w:val="20"/>
    </w:rPr>
  </w:style>
  <w:style w:type="character" w:styleId="HTMLCode">
    <w:name w:val="HTML Code"/>
    <w:basedOn w:val="DefaultParagraphFont"/>
    <w:uiPriority w:val="99"/>
    <w:semiHidden/>
    <w:unhideWhenUsed/>
    <w:rsid w:val="00FF2002"/>
    <w:rPr>
      <w:rFonts w:ascii="Consolas" w:hAnsi="Consolas"/>
      <w:sz w:val="22"/>
      <w:szCs w:val="20"/>
    </w:rPr>
  </w:style>
  <w:style w:type="character" w:styleId="HTMLKeyboard">
    <w:name w:val="HTML Keyboard"/>
    <w:basedOn w:val="DefaultParagraphFont"/>
    <w:uiPriority w:val="99"/>
    <w:semiHidden/>
    <w:unhideWhenUsed/>
    <w:rsid w:val="00FF2002"/>
    <w:rPr>
      <w:rFonts w:ascii="Consolas" w:hAnsi="Consolas"/>
      <w:sz w:val="22"/>
      <w:szCs w:val="20"/>
    </w:rPr>
  </w:style>
  <w:style w:type="character" w:styleId="HTMLTypewriter">
    <w:name w:val="HTML Typewriter"/>
    <w:basedOn w:val="DefaultParagraphFont"/>
    <w:uiPriority w:val="99"/>
    <w:semiHidden/>
    <w:unhideWhenUsed/>
    <w:rsid w:val="00FF2002"/>
    <w:rPr>
      <w:rFonts w:ascii="Consolas" w:hAnsi="Consolas"/>
      <w:sz w:val="22"/>
      <w:szCs w:val="20"/>
    </w:rPr>
  </w:style>
  <w:style w:type="character" w:styleId="IntenseEmphasis">
    <w:name w:val="Intense Emphasis"/>
    <w:basedOn w:val="DefaultParagraphFont"/>
    <w:uiPriority w:val="21"/>
    <w:semiHidden/>
    <w:unhideWhenUsed/>
    <w:qFormat/>
    <w:rsid w:val="005D3A03"/>
    <w:rPr>
      <w:i/>
      <w:iCs/>
      <w:color w:val="373737" w:themeColor="accent1" w:themeShade="40"/>
    </w:rPr>
  </w:style>
  <w:style w:type="character" w:styleId="IntenseReference">
    <w:name w:val="Intense Reference"/>
    <w:basedOn w:val="DefaultParagraphFont"/>
    <w:uiPriority w:val="32"/>
    <w:semiHidden/>
    <w:unhideWhenUsed/>
    <w:qFormat/>
    <w:rsid w:val="00BA45DB"/>
    <w:rPr>
      <w:b/>
      <w:bCs/>
      <w:caps w:val="0"/>
      <w:smallCaps/>
      <w:color w:val="595959" w:themeColor="text1" w:themeTint="A6"/>
      <w:spacing w:val="5"/>
    </w:rPr>
  </w:style>
  <w:style w:type="paragraph" w:styleId="TOCHeading">
    <w:name w:val="TOC Heading"/>
    <w:basedOn w:val="Heading1"/>
    <w:next w:val="Normal"/>
    <w:uiPriority w:val="39"/>
    <w:semiHidden/>
    <w:unhideWhenUsed/>
    <w:qFormat/>
    <w:rsid w:val="009A6A3B"/>
    <w:pPr>
      <w:spacing w:before="240"/>
      <w:ind w:firstLine="720"/>
      <w:jc w:val="left"/>
      <w:outlineLvl w:val="9"/>
    </w:pPr>
    <w:rPr>
      <w:bCs w:val="0"/>
      <w:szCs w:val="32"/>
    </w:rPr>
  </w:style>
  <w:style w:type="character" w:styleId="FollowedHyperlink">
    <w:name w:val="FollowedHyperlink"/>
    <w:basedOn w:val="DefaultParagraphFont"/>
    <w:uiPriority w:val="99"/>
    <w:semiHidden/>
    <w:unhideWhenUsed/>
    <w:rsid w:val="009A6A3B"/>
    <w:rPr>
      <w:color w:val="595959" w:themeColor="text1" w:themeTint="A6"/>
      <w:u w:val="single"/>
    </w:rPr>
  </w:style>
  <w:style w:type="paragraph" w:customStyle="1" w:styleId="Title2">
    <w:name w:val="Title 2"/>
    <w:basedOn w:val="Normal"/>
    <w:uiPriority w:val="1"/>
    <w:qFormat/>
    <w:rsid w:val="00B823AA"/>
    <w:pPr>
      <w:ind w:firstLine="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600749">
      <w:bodyDiv w:val="1"/>
      <w:marLeft w:val="0"/>
      <w:marRight w:val="0"/>
      <w:marTop w:val="0"/>
      <w:marBottom w:val="0"/>
      <w:divBdr>
        <w:top w:val="none" w:sz="0" w:space="0" w:color="auto"/>
        <w:left w:val="none" w:sz="0" w:space="0" w:color="auto"/>
        <w:bottom w:val="none" w:sz="0" w:space="0" w:color="auto"/>
        <w:right w:val="none" w:sz="0" w:space="0" w:color="auto"/>
      </w:divBdr>
    </w:div>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856650745">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113934916">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687831046">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913347240">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 w:id="2105569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ezMa\AppData\Roaming\Microsoft\Templates\APA%20style%20report%20(6th%20editio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F387E3A44784A409F165D92E28F582B"/>
        <w:category>
          <w:name w:val="General"/>
          <w:gallery w:val="placeholder"/>
        </w:category>
        <w:types>
          <w:type w:val="bbPlcHdr"/>
        </w:types>
        <w:behaviors>
          <w:behavior w:val="content"/>
        </w:behaviors>
        <w:guid w:val="{4A9C3187-8FC2-444C-B719-36BB2E764154}"/>
      </w:docPartPr>
      <w:docPartBody>
        <w:p w:rsidR="00C438AD" w:rsidRDefault="0017669E">
          <w:pPr>
            <w:pStyle w:val="FF387E3A44784A409F165D92E28F582B"/>
          </w:pPr>
          <w:r w:rsidRPr="005D3A03">
            <w:t>Figures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69E"/>
    <w:rsid w:val="000D3830"/>
    <w:rsid w:val="0017669E"/>
    <w:rsid w:val="00C438AD"/>
    <w:rsid w:val="00D933B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4"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9CDA63AF2614071BB2BDE14123798C4">
    <w:name w:val="49CDA63AF2614071BB2BDE14123798C4"/>
  </w:style>
  <w:style w:type="paragraph" w:customStyle="1" w:styleId="D05732B388A24A5AAA3C23A1AA8246EA">
    <w:name w:val="D05732B388A24A5AAA3C23A1AA8246EA"/>
  </w:style>
  <w:style w:type="paragraph" w:customStyle="1" w:styleId="61E094B69FBF47F386789016A0060A1A">
    <w:name w:val="61E094B69FBF47F386789016A0060A1A"/>
  </w:style>
  <w:style w:type="paragraph" w:customStyle="1" w:styleId="ED6ACB765DDC4CF5ACEAF81C7F91E27F">
    <w:name w:val="ED6ACB765DDC4CF5ACEAF81C7F91E27F"/>
  </w:style>
  <w:style w:type="paragraph" w:customStyle="1" w:styleId="B79F706E351D4B15986BBD3849EA7833">
    <w:name w:val="B79F706E351D4B15986BBD3849EA7833"/>
  </w:style>
  <w:style w:type="paragraph" w:customStyle="1" w:styleId="23397B08ED094F11A0DECBFB0A767209">
    <w:name w:val="23397B08ED094F11A0DECBFB0A767209"/>
  </w:style>
  <w:style w:type="character" w:styleId="Emphasis">
    <w:name w:val="Emphasis"/>
    <w:basedOn w:val="DefaultParagraphFont"/>
    <w:uiPriority w:val="4"/>
    <w:unhideWhenUsed/>
    <w:qFormat/>
    <w:rPr>
      <w:i/>
      <w:iCs/>
    </w:rPr>
  </w:style>
  <w:style w:type="paragraph" w:customStyle="1" w:styleId="A56AE77C260249F9A9552362AC2A9962">
    <w:name w:val="A56AE77C260249F9A9552362AC2A9962"/>
  </w:style>
  <w:style w:type="paragraph" w:customStyle="1" w:styleId="C691C7C6FFAF4F12AADD74CA0302C3C9">
    <w:name w:val="C691C7C6FFAF4F12AADD74CA0302C3C9"/>
  </w:style>
  <w:style w:type="paragraph" w:customStyle="1" w:styleId="74DCD98348894A69B1995C3D43C383EC">
    <w:name w:val="74DCD98348894A69B1995C3D43C383EC"/>
  </w:style>
  <w:style w:type="paragraph" w:customStyle="1" w:styleId="80C4D401EDF04C3B807DA59EECF10980">
    <w:name w:val="80C4D401EDF04C3B807DA59EECF10980"/>
  </w:style>
  <w:style w:type="paragraph" w:customStyle="1" w:styleId="897A470764FF45FFAA1CD436A2436655">
    <w:name w:val="897A470764FF45FFAA1CD436A2436655"/>
  </w:style>
  <w:style w:type="paragraph" w:customStyle="1" w:styleId="D893E37861544FBABC4040AA807C43E9">
    <w:name w:val="D893E37861544FBABC4040AA807C43E9"/>
  </w:style>
  <w:style w:type="paragraph" w:customStyle="1" w:styleId="D860C5B21B1B4C089D807B3C8C8D9993">
    <w:name w:val="D860C5B21B1B4C089D807B3C8C8D9993"/>
  </w:style>
  <w:style w:type="paragraph" w:customStyle="1" w:styleId="5E8EF5E3E7F14587A04A101D818D2D2A">
    <w:name w:val="5E8EF5E3E7F14587A04A101D818D2D2A"/>
  </w:style>
  <w:style w:type="paragraph" w:customStyle="1" w:styleId="42B56004D24549AA831BFDDDCD82B2ED">
    <w:name w:val="42B56004D24549AA831BFDDDCD82B2ED"/>
  </w:style>
  <w:style w:type="paragraph" w:customStyle="1" w:styleId="07D99B7043914400AA6BE7B38F8FE5F1">
    <w:name w:val="07D99B7043914400AA6BE7B38F8FE5F1"/>
  </w:style>
  <w:style w:type="paragraph" w:customStyle="1" w:styleId="B2659E8264674EE6A2C76FE804263ECF">
    <w:name w:val="B2659E8264674EE6A2C76FE804263ECF"/>
  </w:style>
  <w:style w:type="paragraph" w:customStyle="1" w:styleId="07F593595CC4446D8914D05DD8A1E45B">
    <w:name w:val="07F593595CC4446D8914D05DD8A1E45B"/>
  </w:style>
  <w:style w:type="paragraph" w:customStyle="1" w:styleId="8C02B8170B174491A962349CB6455D87">
    <w:name w:val="8C02B8170B174491A962349CB6455D87"/>
  </w:style>
  <w:style w:type="paragraph" w:customStyle="1" w:styleId="86E61C6935F448F5896A77B232250BEA">
    <w:name w:val="86E61C6935F448F5896A77B232250BEA"/>
  </w:style>
  <w:style w:type="paragraph" w:customStyle="1" w:styleId="786CAEDEE4F74389817CEE96D84FFA08">
    <w:name w:val="786CAEDEE4F74389817CEE96D84FFA08"/>
  </w:style>
  <w:style w:type="paragraph" w:customStyle="1" w:styleId="F21BE16A815D4B7C989F0194A905E74C">
    <w:name w:val="F21BE16A815D4B7C989F0194A905E74C"/>
  </w:style>
  <w:style w:type="paragraph" w:customStyle="1" w:styleId="BD899647FE4C4F97A31DB5532A3D4856">
    <w:name w:val="BD899647FE4C4F97A31DB5532A3D4856"/>
  </w:style>
  <w:style w:type="paragraph" w:customStyle="1" w:styleId="9D5FB20069464AD8AFA90C91CDB3007C">
    <w:name w:val="9D5FB20069464AD8AFA90C91CDB3007C"/>
  </w:style>
  <w:style w:type="paragraph" w:customStyle="1" w:styleId="AFD9F5D7CA274895BA61D541AD94FBBC">
    <w:name w:val="AFD9F5D7CA274895BA61D541AD94FBBC"/>
  </w:style>
  <w:style w:type="paragraph" w:customStyle="1" w:styleId="F71DD2ACCD964CCD8C1F9558FB8F4465">
    <w:name w:val="F71DD2ACCD964CCD8C1F9558FB8F4465"/>
  </w:style>
  <w:style w:type="paragraph" w:customStyle="1" w:styleId="DE37A33B02484A67B9406F3DC1AF67C8">
    <w:name w:val="DE37A33B02484A67B9406F3DC1AF67C8"/>
  </w:style>
  <w:style w:type="paragraph" w:customStyle="1" w:styleId="988C69EC9B3649918419987FCBB0F5E3">
    <w:name w:val="988C69EC9B3649918419987FCBB0F5E3"/>
  </w:style>
  <w:style w:type="paragraph" w:customStyle="1" w:styleId="73F8A55462C7440089EB3E6C1C3532E0">
    <w:name w:val="73F8A55462C7440089EB3E6C1C3532E0"/>
  </w:style>
  <w:style w:type="paragraph" w:customStyle="1" w:styleId="0A4D1424B9BE4635AC0072DBBE169095">
    <w:name w:val="0A4D1424B9BE4635AC0072DBBE169095"/>
  </w:style>
  <w:style w:type="paragraph" w:customStyle="1" w:styleId="09804A9A88074A47A20D5377D0007FD7">
    <w:name w:val="09804A9A88074A47A20D5377D0007FD7"/>
  </w:style>
  <w:style w:type="paragraph" w:customStyle="1" w:styleId="3F7BF71FA323483DAAACD22426F10F5C">
    <w:name w:val="3F7BF71FA323483DAAACD22426F10F5C"/>
  </w:style>
  <w:style w:type="paragraph" w:customStyle="1" w:styleId="6A795530135E423BBF053095823386AB">
    <w:name w:val="6A795530135E423BBF053095823386AB"/>
  </w:style>
  <w:style w:type="paragraph" w:customStyle="1" w:styleId="48E53720612E45C3A75B7CCC9F517BCB">
    <w:name w:val="48E53720612E45C3A75B7CCC9F517BCB"/>
  </w:style>
  <w:style w:type="paragraph" w:customStyle="1" w:styleId="DBC5926160904B7F9D652820561C5F56">
    <w:name w:val="DBC5926160904B7F9D652820561C5F56"/>
  </w:style>
  <w:style w:type="paragraph" w:customStyle="1" w:styleId="A998940F17234C6185936B39D240548E">
    <w:name w:val="A998940F17234C6185936B39D240548E"/>
  </w:style>
  <w:style w:type="paragraph" w:customStyle="1" w:styleId="5CE1C924ED32486E9FDA6086B63C5122">
    <w:name w:val="5CE1C924ED32486E9FDA6086B63C5122"/>
  </w:style>
  <w:style w:type="paragraph" w:customStyle="1" w:styleId="C73473A651234F77B05D389F842E1D99">
    <w:name w:val="C73473A651234F77B05D389F842E1D99"/>
  </w:style>
  <w:style w:type="paragraph" w:customStyle="1" w:styleId="780186585766419BB262239A09FC65ED">
    <w:name w:val="780186585766419BB262239A09FC65ED"/>
  </w:style>
  <w:style w:type="paragraph" w:customStyle="1" w:styleId="00D6B8089F804DF883E0B4CDF715B882">
    <w:name w:val="00D6B8089F804DF883E0B4CDF715B882"/>
  </w:style>
  <w:style w:type="paragraph" w:customStyle="1" w:styleId="1FB253E60EC243888AB111DC68996DAD">
    <w:name w:val="1FB253E60EC243888AB111DC68996DAD"/>
  </w:style>
  <w:style w:type="paragraph" w:customStyle="1" w:styleId="D396B696E8E446639A42194F00D1FA7B">
    <w:name w:val="D396B696E8E446639A42194F00D1FA7B"/>
  </w:style>
  <w:style w:type="paragraph" w:customStyle="1" w:styleId="EE3D378A23D649E7A6F3DED20B93481D">
    <w:name w:val="EE3D378A23D649E7A6F3DED20B93481D"/>
  </w:style>
  <w:style w:type="paragraph" w:customStyle="1" w:styleId="9EC2A285DC8B4A7B82BEDEE15A242D02">
    <w:name w:val="9EC2A285DC8B4A7B82BEDEE15A242D02"/>
  </w:style>
  <w:style w:type="paragraph" w:customStyle="1" w:styleId="1B07EB8F468241248C3D2A45C58A8DEA">
    <w:name w:val="1B07EB8F468241248C3D2A45C58A8DEA"/>
  </w:style>
  <w:style w:type="paragraph" w:customStyle="1" w:styleId="6E29D89F380A43B2B51E440F4D7E2595">
    <w:name w:val="6E29D89F380A43B2B51E440F4D7E2595"/>
  </w:style>
  <w:style w:type="paragraph" w:customStyle="1" w:styleId="7E71E057167149CC8FB970EB86633228">
    <w:name w:val="7E71E057167149CC8FB970EB86633228"/>
  </w:style>
  <w:style w:type="paragraph" w:customStyle="1" w:styleId="7335991B97B6451C988F9EFDADCA3CC6">
    <w:name w:val="7335991B97B6451C988F9EFDADCA3CC6"/>
  </w:style>
  <w:style w:type="paragraph" w:customStyle="1" w:styleId="C2C3B64AB26A44D78143B1DBD35094C1">
    <w:name w:val="C2C3B64AB26A44D78143B1DBD35094C1"/>
  </w:style>
  <w:style w:type="paragraph" w:customStyle="1" w:styleId="8CB1E843998B4BABA1CF572631813301">
    <w:name w:val="8CB1E843998B4BABA1CF572631813301"/>
  </w:style>
  <w:style w:type="paragraph" w:customStyle="1" w:styleId="DEC6E0E88F734E248BEFC4959FC504F9">
    <w:name w:val="DEC6E0E88F734E248BEFC4959FC504F9"/>
  </w:style>
  <w:style w:type="paragraph" w:customStyle="1" w:styleId="EFCF41BDA6F14C2F8EF1BC809E95AF78">
    <w:name w:val="EFCF41BDA6F14C2F8EF1BC809E95AF78"/>
  </w:style>
  <w:style w:type="paragraph" w:customStyle="1" w:styleId="E793BACE32AF4DD391D26C166544C9E0">
    <w:name w:val="E793BACE32AF4DD391D26C166544C9E0"/>
  </w:style>
  <w:style w:type="paragraph" w:customStyle="1" w:styleId="416C19A118AC4A88A749EA5D39368101">
    <w:name w:val="416C19A118AC4A88A749EA5D39368101"/>
  </w:style>
  <w:style w:type="paragraph" w:customStyle="1" w:styleId="D3F7F586DD6D44FAAD6A0439346C0695">
    <w:name w:val="D3F7F586DD6D44FAAD6A0439346C0695"/>
  </w:style>
  <w:style w:type="paragraph" w:customStyle="1" w:styleId="943A85145D81482E8EAEABA737F57F3E">
    <w:name w:val="943A85145D81482E8EAEABA737F57F3E"/>
  </w:style>
  <w:style w:type="paragraph" w:customStyle="1" w:styleId="65DB3684E3C44D19B27BC1ED41B9D2A3">
    <w:name w:val="65DB3684E3C44D19B27BC1ED41B9D2A3"/>
  </w:style>
  <w:style w:type="paragraph" w:customStyle="1" w:styleId="AAF64501FE65449D8A96199FBCA8A906">
    <w:name w:val="AAF64501FE65449D8A96199FBCA8A906"/>
  </w:style>
  <w:style w:type="paragraph" w:customStyle="1" w:styleId="E8864BA2ED9B464C981D8605911DD863">
    <w:name w:val="E8864BA2ED9B464C981D8605911DD863"/>
  </w:style>
  <w:style w:type="paragraph" w:customStyle="1" w:styleId="FDA69E4FD2CD4ABE9C6C5A505A846305">
    <w:name w:val="FDA69E4FD2CD4ABE9C6C5A505A846305"/>
  </w:style>
  <w:style w:type="paragraph" w:customStyle="1" w:styleId="C9784A392B7248F0939E8304BFC73A82">
    <w:name w:val="C9784A392B7248F0939E8304BFC73A82"/>
  </w:style>
  <w:style w:type="paragraph" w:customStyle="1" w:styleId="FF387E3A44784A409F165D92E28F582B">
    <w:name w:val="FF387E3A44784A409F165D92E28F582B"/>
  </w:style>
  <w:style w:type="paragraph" w:customStyle="1" w:styleId="34490089A3D24F1DBF5EA3953ABC7C71">
    <w:name w:val="34490089A3D24F1DBF5EA3953ABC7C71"/>
  </w:style>
  <w:style w:type="paragraph" w:customStyle="1" w:styleId="0A3ED9F97C8E4D9EABB77E920C59C71E">
    <w:name w:val="0A3ED9F97C8E4D9EABB77E920C59C71E"/>
    <w:rsid w:val="00C438AD"/>
  </w:style>
  <w:style w:type="paragraph" w:customStyle="1" w:styleId="4F59FC9DC04043D68365CC87B5D8165E">
    <w:name w:val="4F59FC9DC04043D68365CC87B5D8165E"/>
    <w:rsid w:val="00C438AD"/>
  </w:style>
  <w:style w:type="paragraph" w:customStyle="1" w:styleId="F58FA96123B44DD4A7EFA0498567C457">
    <w:name w:val="F58FA96123B44DD4A7EFA0498567C457"/>
    <w:rsid w:val="00C438A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SixthEditionOfficeOnline.xsl" StyleName="APA" Version="6">
  <b:Source>
    <b:Tag>Article</b:Tag>
    <b:SourceType>JournalArticle</b:SourceType>
    <b:Guid>{A9826F97-9AB6-4323-9880-F46D9FA5FDF4}</b:Guid>
    <b:Title>Article Title</b:Title>
    <b:Year>Year</b:Year>
    <b:JournalName>Journal Title</b:JournalName>
    <b:Pages>Pages From - To</b:Pages>
    <b:Author>
      <b:Author>
        <b:NameList>
          <b:Person>
            <b:Last>Last Name</b:Last>
            <b:First>First,</b:First>
            <b:Middle>Middle</b:Middle>
          </b:Person>
        </b:NameList>
      </b:Author>
    </b:Author>
    <b:RefOrder>1</b:RefOrder>
  </b:Source>
  <b:Source>
    <b:Tag>Last</b:Tag>
    <b:SourceType>Book</b:SourceType>
    <b:Guid>{60AAA012-579D-4CB3-B717-40E27E8995F9}</b:Guid>
    <b:Title>Book Title</b:Title>
    <b:Year>Year</b:Year>
    <b:City>City Name</b:City>
    <b:Publisher>Publisher Name</b:Publisher>
    <b:Author>
      <b:Author>
        <b:NameList>
          <b:Person>
            <b:Last>Last Name</b:Last>
            <b:First>First,</b:First>
            <b:Middle>Middle</b:Middle>
          </b:Person>
        </b:NameList>
      </b:Author>
    </b:Author>
    <b:RefOrder>2</b:RefOrder>
  </b:Source>
</b:Sources>
</file>

<file path=customXml/itemProps1.xml><?xml version="1.0" encoding="utf-8"?>
<ds:datastoreItem xmlns:ds="http://schemas.openxmlformats.org/officeDocument/2006/customXml" ds:itemID="{54128F1E-5ED3-4CA5-96A8-3F919A1234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APA style report (6th edition)</Template>
  <TotalTime>0</TotalTime>
  <Pages>9</Pages>
  <Words>1635</Words>
  <Characters>9326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The Cultural Impact of War and Revolution</vt:lpstr>
    </vt:vector>
  </TitlesOfParts>
  <Company/>
  <LinksUpToDate>false</LinksUpToDate>
  <CharactersWithSpaces>10940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Cultural Impact of War and Revolution</dc:title>
  <dc:subject/>
  <dc:creator>Dave Ferrar</dc:creator>
  <cp:keywords/>
  <dc:description/>
  <cp:lastModifiedBy>Alexander Scott</cp:lastModifiedBy>
  <cp:revision>2</cp:revision>
  <cp:lastPrinted>2018-11-01T11:46:00Z</cp:lastPrinted>
  <dcterms:created xsi:type="dcterms:W3CDTF">2018-11-01T12:46:00Z</dcterms:created>
  <dcterms:modified xsi:type="dcterms:W3CDTF">2018-11-01T12:46:00Z</dcterms:modified>
</cp:coreProperties>
</file>