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b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40"/>
          <w:szCs w:val="40"/>
          <w:rtl w:val="0"/>
        </w:rPr>
        <w:t xml:space="preserve">Applied Leadership and Management in the Workplace</w:t>
        <w:br w:type="textWrapping"/>
        <w:t xml:space="preserve">Module Assignment Submission </w:t>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Abigail Williams McCann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2430838</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By the act of making this work, the student declares that it is their own work and that it is the work of the student named above. The work has not, in whole or in part, been knowingly presented elsewhere for assessment, or where assessment has been built on a previous assessment, this has been identified. Where materials have been used from other sources, it has been appropriately acknowledged. If this statement is untrue, the student recognises that an assessment offence has been committed. </w:t>
      </w:r>
    </w:p>
    <w:p w:rsidR="00000000" w:rsidDel="00000000" w:rsidP="00000000" w:rsidRDefault="00000000" w:rsidRPr="00000000" w14:paraId="0000000D">
      <w:pPr>
        <w:spacing w:after="120" w:before="120" w:line="36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Attention is drawn to the plagiarism and unfair practice policies of both the University and of ILM.</w:t>
      </w:r>
    </w:p>
    <w:p w:rsidR="00000000" w:rsidDel="00000000" w:rsidP="00000000" w:rsidRDefault="00000000" w:rsidRPr="00000000" w14:paraId="0000000E">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F">
      <w:pPr>
        <w:spacing w:after="120" w:before="120" w:line="360" w:lineRule="auto"/>
        <w:rPr>
          <w:rFonts w:ascii="Times New Roman" w:cs="Times New Roman" w:eastAsia="Times New Roman" w:hAnsi="Times New Roman"/>
          <w:sz w:val="20"/>
          <w:szCs w:val="20"/>
        </w:rPr>
      </w:pPr>
      <w:r w:rsidDel="00000000" w:rsidR="00000000" w:rsidRPr="00000000">
        <w:rPr>
          <w:rtl w:val="0"/>
        </w:rPr>
      </w:r>
    </w:p>
    <w:sdt>
      <w:sdtPr>
        <w:id w:val="457724839"/>
        <w:docPartObj>
          <w:docPartGallery w:val="Table of Contents"/>
          <w:docPartUnique w:val="1"/>
        </w:docPartObj>
      </w:sdtPr>
      <w:sdtContent>
        <w:p w:rsidR="00000000" w:rsidDel="00000000" w:rsidP="00000000" w:rsidRDefault="00000000" w:rsidRPr="00000000" w14:paraId="00000010">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sjia6v8n7wfu">
            <w:r w:rsidDel="00000000" w:rsidR="00000000" w:rsidRPr="00000000">
              <w:rPr>
                <w:rFonts w:ascii="Times New Roman" w:cs="Times New Roman" w:eastAsia="Times New Roman" w:hAnsi="Times New Roman"/>
                <w:color w:val="000000"/>
                <w:u w:val="none"/>
                <w:rtl w:val="0"/>
              </w:rPr>
              <w:t xml:space="preserve">Introduction</w:t>
              <w:tab/>
            </w:r>
          </w:hyperlink>
          <w:r w:rsidDel="00000000" w:rsidR="00000000" w:rsidRPr="00000000">
            <w:fldChar w:fldCharType="begin"/>
            <w:instrText xml:space="preserve"> PAGEREF _sjia6v8n7wfu \h </w:instrText>
            <w:fldChar w:fldCharType="separate"/>
          </w:r>
          <w:r w:rsidDel="00000000" w:rsidR="00000000" w:rsidRPr="00000000">
            <w:rPr>
              <w:rFonts w:ascii="Times New Roman" w:cs="Times New Roman" w:eastAsia="Times New Roman" w:hAnsi="Times New Roman"/>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yc7s7kspi2lw">
            <w:r w:rsidDel="00000000" w:rsidR="00000000" w:rsidRPr="00000000">
              <w:rPr>
                <w:rFonts w:ascii="Times New Roman" w:cs="Times New Roman" w:eastAsia="Times New Roman" w:hAnsi="Times New Roman"/>
                <w:color w:val="000000"/>
                <w:u w:val="none"/>
                <w:rtl w:val="0"/>
              </w:rPr>
              <w:t xml:space="preserve">Case Study Overview</w:t>
              <w:tab/>
            </w:r>
          </w:hyperlink>
          <w:r w:rsidDel="00000000" w:rsidR="00000000" w:rsidRPr="00000000">
            <w:fldChar w:fldCharType="begin"/>
            <w:instrText xml:space="preserve"> PAGEREF _yc7s7kspi2lw \h </w:instrText>
            <w:fldChar w:fldCharType="separate"/>
          </w:r>
          <w:r w:rsidDel="00000000" w:rsidR="00000000" w:rsidRPr="00000000">
            <w:rPr>
              <w:rFonts w:ascii="Times New Roman" w:cs="Times New Roman" w:eastAsia="Times New Roman" w:hAnsi="Times New Roman"/>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2">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kuic6z5o44hw">
            <w:r w:rsidDel="00000000" w:rsidR="00000000" w:rsidRPr="00000000">
              <w:rPr>
                <w:rFonts w:ascii="Times New Roman" w:cs="Times New Roman" w:eastAsia="Times New Roman" w:hAnsi="Times New Roman"/>
                <w:color w:val="000000"/>
                <w:u w:val="none"/>
                <w:rtl w:val="0"/>
              </w:rPr>
              <w:t xml:space="preserve">Self-Management</w:t>
              <w:tab/>
            </w:r>
          </w:hyperlink>
          <w:r w:rsidDel="00000000" w:rsidR="00000000" w:rsidRPr="00000000">
            <w:fldChar w:fldCharType="begin"/>
            <w:instrText xml:space="preserve"> PAGEREF _kuic6z5o44hw \h </w:instrText>
            <w:fldChar w:fldCharType="separate"/>
          </w:r>
          <w:r w:rsidDel="00000000" w:rsidR="00000000" w:rsidRPr="00000000">
            <w:rPr>
              <w:rFonts w:ascii="Times New Roman" w:cs="Times New Roman" w:eastAsia="Times New Roman" w:hAnsi="Times New Roman"/>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owzouxnwwp6u">
            <w:r w:rsidDel="00000000" w:rsidR="00000000" w:rsidRPr="00000000">
              <w:rPr>
                <w:rFonts w:ascii="Times New Roman" w:cs="Times New Roman" w:eastAsia="Times New Roman" w:hAnsi="Times New Roman"/>
                <w:color w:val="000000"/>
                <w:u w:val="none"/>
                <w:rtl w:val="0"/>
              </w:rPr>
              <w:t xml:space="preserve">Bias in Professional Practice</w:t>
              <w:tab/>
            </w:r>
          </w:hyperlink>
          <w:r w:rsidDel="00000000" w:rsidR="00000000" w:rsidRPr="00000000">
            <w:fldChar w:fldCharType="begin"/>
            <w:instrText xml:space="preserve"> PAGEREF _owzouxnwwp6u \h </w:instrText>
            <w:fldChar w:fldCharType="separate"/>
          </w:r>
          <w:r w:rsidDel="00000000" w:rsidR="00000000" w:rsidRPr="00000000">
            <w:rPr>
              <w:rFonts w:ascii="Times New Roman" w:cs="Times New Roman" w:eastAsia="Times New Roman" w:hAnsi="Times New Roman"/>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4">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2mf72xb6bhi7">
            <w:r w:rsidDel="00000000" w:rsidR="00000000" w:rsidRPr="00000000">
              <w:rPr>
                <w:rFonts w:ascii="Times New Roman" w:cs="Times New Roman" w:eastAsia="Times New Roman" w:hAnsi="Times New Roman"/>
                <w:color w:val="000000"/>
                <w:u w:val="none"/>
                <w:rtl w:val="0"/>
              </w:rPr>
              <w:t xml:space="preserve">Accountability and Authentic Behaviour</w:t>
              <w:tab/>
            </w:r>
          </w:hyperlink>
          <w:r w:rsidDel="00000000" w:rsidR="00000000" w:rsidRPr="00000000">
            <w:fldChar w:fldCharType="begin"/>
            <w:instrText xml:space="preserve"> PAGEREF _2mf72xb6bhi7 \h </w:instrText>
            <w:fldChar w:fldCharType="separate"/>
          </w:r>
          <w:r w:rsidDel="00000000" w:rsidR="00000000" w:rsidRPr="00000000">
            <w:rPr>
              <w:rFonts w:ascii="Times New Roman" w:cs="Times New Roman" w:eastAsia="Times New Roman" w:hAnsi="Times New Roman"/>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5">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oxkup1i3fs9b">
            <w:r w:rsidDel="00000000" w:rsidR="00000000" w:rsidRPr="00000000">
              <w:rPr>
                <w:rFonts w:ascii="Times New Roman" w:cs="Times New Roman" w:eastAsia="Times New Roman" w:hAnsi="Times New Roman"/>
                <w:color w:val="000000"/>
                <w:u w:val="none"/>
                <w:rtl w:val="0"/>
              </w:rPr>
              <w:t xml:space="preserve">Interpersonal Relationships</w:t>
              <w:tab/>
            </w:r>
          </w:hyperlink>
          <w:r w:rsidDel="00000000" w:rsidR="00000000" w:rsidRPr="00000000">
            <w:fldChar w:fldCharType="begin"/>
            <w:instrText xml:space="preserve"> PAGEREF _oxkup1i3fs9b \h </w:instrText>
            <w:fldChar w:fldCharType="separate"/>
          </w:r>
          <w:r w:rsidDel="00000000" w:rsidR="00000000" w:rsidRPr="00000000">
            <w:rPr>
              <w:rFonts w:ascii="Times New Roman" w:cs="Times New Roman" w:eastAsia="Times New Roman" w:hAnsi="Times New Roman"/>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hz3zms5a6y5">
            <w:r w:rsidDel="00000000" w:rsidR="00000000" w:rsidRPr="00000000">
              <w:rPr>
                <w:rFonts w:ascii="Times New Roman" w:cs="Times New Roman" w:eastAsia="Times New Roman" w:hAnsi="Times New Roman"/>
                <w:color w:val="000000"/>
                <w:u w:val="none"/>
                <w:rtl w:val="0"/>
              </w:rPr>
              <w:t xml:space="preserve">Professional Integrity</w:t>
              <w:tab/>
            </w:r>
          </w:hyperlink>
          <w:r w:rsidDel="00000000" w:rsidR="00000000" w:rsidRPr="00000000">
            <w:fldChar w:fldCharType="begin"/>
            <w:instrText xml:space="preserve"> PAGEREF _hz3zms5a6y5 \h </w:instrText>
            <w:fldChar w:fldCharType="separate"/>
          </w:r>
          <w:r w:rsidDel="00000000" w:rsidR="00000000" w:rsidRPr="00000000">
            <w:rPr>
              <w:rFonts w:ascii="Times New Roman" w:cs="Times New Roman" w:eastAsia="Times New Roman" w:hAnsi="Times New Roman"/>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r63zdjeyuyh2">
            <w:r w:rsidDel="00000000" w:rsidR="00000000" w:rsidRPr="00000000">
              <w:rPr>
                <w:rFonts w:ascii="Times New Roman" w:cs="Times New Roman" w:eastAsia="Times New Roman" w:hAnsi="Times New Roman"/>
                <w:color w:val="000000"/>
                <w:u w:val="none"/>
                <w:rtl w:val="0"/>
              </w:rPr>
              <w:t xml:space="preserve">Reflection on Professional Practice</w:t>
              <w:tab/>
            </w:r>
          </w:hyperlink>
          <w:r w:rsidDel="00000000" w:rsidR="00000000" w:rsidRPr="00000000">
            <w:fldChar w:fldCharType="begin"/>
            <w:instrText xml:space="preserve"> PAGEREF _r63zdjeyuyh2 \h </w:instrText>
            <w:fldChar w:fldCharType="separate"/>
          </w:r>
          <w:r w:rsidDel="00000000" w:rsidR="00000000" w:rsidRPr="00000000">
            <w:rPr>
              <w:rFonts w:ascii="Times New Roman" w:cs="Times New Roman" w:eastAsia="Times New Roman" w:hAnsi="Times New Roman"/>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before="60" w:line="240" w:lineRule="auto"/>
            <w:ind w:left="360" w:firstLine="0"/>
            <w:rPr>
              <w:rFonts w:ascii="Times New Roman" w:cs="Times New Roman" w:eastAsia="Times New Roman" w:hAnsi="Times New Roman"/>
              <w:color w:val="000000"/>
              <w:u w:val="none"/>
            </w:rPr>
          </w:pPr>
          <w:hyperlink w:anchor="_vghhhdfzey59">
            <w:r w:rsidDel="00000000" w:rsidR="00000000" w:rsidRPr="00000000">
              <w:rPr>
                <w:rFonts w:ascii="Times New Roman" w:cs="Times New Roman" w:eastAsia="Times New Roman" w:hAnsi="Times New Roman"/>
                <w:color w:val="000000"/>
                <w:u w:val="none"/>
                <w:rtl w:val="0"/>
              </w:rPr>
              <w:t xml:space="preserve">Conclusion</w:t>
              <w:tab/>
            </w:r>
          </w:hyperlink>
          <w:r w:rsidDel="00000000" w:rsidR="00000000" w:rsidRPr="00000000">
            <w:fldChar w:fldCharType="begin"/>
            <w:instrText xml:space="preserve"> PAGEREF _vghhhdfzey59 \h </w:instrText>
            <w:fldChar w:fldCharType="separate"/>
          </w:r>
          <w:r w:rsidDel="00000000" w:rsidR="00000000" w:rsidRPr="00000000">
            <w:rPr>
              <w:rFonts w:ascii="Times New Roman" w:cs="Times New Roman" w:eastAsia="Times New Roman" w:hAnsi="Times New Roman"/>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before="60" w:line="240" w:lineRule="auto"/>
            <w:rPr>
              <w:rFonts w:ascii="Times New Roman" w:cs="Times New Roman" w:eastAsia="Times New Roman" w:hAnsi="Times New Roman"/>
              <w:b w:val="1"/>
              <w:color w:val="000000"/>
              <w:u w:val="none"/>
            </w:rPr>
          </w:pPr>
          <w:hyperlink w:anchor="_7ludzck7liza">
            <w:r w:rsidDel="00000000" w:rsidR="00000000" w:rsidRPr="00000000">
              <w:rPr>
                <w:rFonts w:ascii="Times New Roman" w:cs="Times New Roman" w:eastAsia="Times New Roman" w:hAnsi="Times New Roman"/>
                <w:b w:val="1"/>
                <w:color w:val="000000"/>
                <w:u w:val="none"/>
                <w:rtl w:val="0"/>
              </w:rPr>
              <w:t xml:space="preserve">Reference List</w:t>
              <w:tab/>
            </w:r>
          </w:hyperlink>
          <w:r w:rsidDel="00000000" w:rsidR="00000000" w:rsidRPr="00000000">
            <w:fldChar w:fldCharType="begin"/>
            <w:instrText xml:space="preserve"> PAGEREF _7ludzck7liza \h </w:instrText>
            <w:fldChar w:fldCharType="separate"/>
          </w:r>
          <w:r w:rsidDel="00000000" w:rsidR="00000000" w:rsidRPr="00000000">
            <w:rPr>
              <w:rFonts w:ascii="Times New Roman" w:cs="Times New Roman" w:eastAsia="Times New Roman" w:hAnsi="Times New Roman"/>
              <w:b w:val="1"/>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B">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C">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D">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E">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F">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0">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1">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2">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3">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4">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25">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sjia6v8n7wfu" w:id="0"/>
      <w:bookmarkEnd w:id="0"/>
      <w:r w:rsidDel="00000000" w:rsidR="00000000" w:rsidRPr="00000000">
        <w:rPr>
          <w:rFonts w:ascii="Times New Roman" w:cs="Times New Roman" w:eastAsia="Times New Roman" w:hAnsi="Times New Roman"/>
          <w:b w:val="1"/>
          <w:color w:val="000000"/>
          <w:rtl w:val="0"/>
        </w:rPr>
        <w:t xml:space="preserve">Introduction</w:t>
      </w:r>
    </w:p>
    <w:p w:rsidR="00000000" w:rsidDel="00000000" w:rsidP="00000000" w:rsidRDefault="00000000" w:rsidRPr="00000000" w14:paraId="00000026">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Professional development is one of the most prominent dimensions of leadership and management. It is a process of ongoing self-reflection, becoming aware, and being ethically independent in professional judgments within the complexity of organisational life, as agreed upon by Schön (1983) and Kolb (1984). This critical review examines professional practice through the lens of SMART Engineering, reflecting on the influences on team efficacy/failure and connecting these driving forces to five key themes: self-management, bias, accountability and authentic behaviour, interpersonal relationships, and professional integrity. These dimensions collectively contribute to personal and professional effectiveness, ethical leadership, and inclusive decision-making, as stated by Avolio and Gardner (2005) and Eriksen (2015). This assignment will evaluate the learning achieved across the module by applying Gibbs' (1988) model and producing a personal development plan (PDP) with SMART objectives to facilitate professional development. Professional development is not a static achievement in and of itself, but it proves to be one of continuous evolution and learning through self-reflection. It can enable professionals to enhance their ability to make decisions, adapt to changes within their organisation, and align their personal values with management expectations.</w:t>
      </w:r>
      <w:r w:rsidDel="00000000" w:rsidR="00000000" w:rsidRPr="00000000">
        <w:rPr>
          <w:rtl w:val="0"/>
        </w:rPr>
      </w:r>
    </w:p>
    <w:p w:rsidR="00000000" w:rsidDel="00000000" w:rsidP="00000000" w:rsidRDefault="00000000" w:rsidRPr="00000000" w14:paraId="00000027">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yc7s7kspi2lw" w:id="1"/>
      <w:bookmarkEnd w:id="1"/>
      <w:r w:rsidDel="00000000" w:rsidR="00000000" w:rsidRPr="00000000">
        <w:rPr>
          <w:rFonts w:ascii="Times New Roman" w:cs="Times New Roman" w:eastAsia="Times New Roman" w:hAnsi="Times New Roman"/>
          <w:b w:val="1"/>
          <w:color w:val="000000"/>
          <w:rtl w:val="0"/>
        </w:rPr>
        <w:t xml:space="preserve">Case Study Overview</w:t>
      </w:r>
    </w:p>
    <w:p w:rsidR="00000000" w:rsidDel="00000000" w:rsidP="00000000" w:rsidRDefault="00000000" w:rsidRPr="00000000" w14:paraId="00000028">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case study was written by Dr Alice Parker of SMART Engineering. She is an experienced engineer in charge of a cross-functional group tasked with creating a new electric car. Even though she is skilled, she still faces standard gender and affiliation biases, a lack of decision-making power, and unsupportive management. The group structure reveals behaviour. It is clear that male engineers who dominate the workplace tend to prefer coworkers who resemble themselves, thereby fostering a culture of divisiveness that hinders collaboration and trust among colleagues (Reiners, 2023). Senior managers further compounded these problems by not providing Dr Alice with committed resources and by seeking ways to bypass her authority, which resulted in the erosion of accountability and subsequently lowered her morale and motivation. Although Dr Alice is part of a highly skilled team, the competence of female engineers is often overlooked, and their contributions are frequently attributed to male colleagues, indicating an automatic gender bias (Imperial College London, 2023). Professionally, the case reveals a lack of leadership, moral integrity, emotional maturity, and ethical soundness. It also highlighted how structural inequalities and the culture of leadership within SMART Engineering influence the day-to-day workings. It is clear to see from the case study that the behaviour of individuals and the systems within the organisation have helped to shape outcomes. These deficiencies led to a lack of communication, discrimination, and reputational harm for SMART Engineering. The struggle calls for an investigation into how professional ethics, emotional intelligence, and reflective practice intersect to strengthen ethical and effective leadership. It is also illustrated within this case how an absence of inclusivity and self-reflection from management within an organisation can alter the outcomes and derail a team who are otherwise technically capable of fulfilling their roles. It is suggested by Edmondson (1999) that Psychological safety and open communication are critical when effectively managing a team, but these are not present here. Instead, Dr Parker has to work in an environment that is rigid and resistant to change and innovation. She does, however, demonstrate her professionalism in stark contrast to that of the management team, who can only display a lack of accountability, showing clearly that reflective thinking and morality are both crucial to navigate a complex challenge such as this one. The events within this case study clearly demonstrate that leadership integrity and inclusivity have a major effect.</w:t>
      </w:r>
      <w:r w:rsidDel="00000000" w:rsidR="00000000" w:rsidRPr="00000000">
        <w:rPr>
          <w:rtl w:val="0"/>
        </w:rPr>
      </w:r>
    </w:p>
    <w:p w:rsidR="00000000" w:rsidDel="00000000" w:rsidP="00000000" w:rsidRDefault="00000000" w:rsidRPr="00000000" w14:paraId="00000029">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kuic6z5o44hw" w:id="2"/>
      <w:bookmarkEnd w:id="2"/>
      <w:r w:rsidDel="00000000" w:rsidR="00000000" w:rsidRPr="00000000">
        <w:rPr>
          <w:rFonts w:ascii="Times New Roman" w:cs="Times New Roman" w:eastAsia="Times New Roman" w:hAnsi="Times New Roman"/>
          <w:b w:val="1"/>
          <w:color w:val="000000"/>
          <w:rtl w:val="0"/>
        </w:rPr>
        <w:t xml:space="preserve">Self-Management</w:t>
      </w:r>
    </w:p>
    <w:p w:rsidR="00000000" w:rsidDel="00000000" w:rsidP="00000000" w:rsidRDefault="00000000" w:rsidRPr="00000000" w14:paraId="0000002A">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Self-regulation refers to the ability to control or redirect one’s thoughts, actions, and emotions in stressful environments. It is a core component of emotional intelligence, which includes self-regulation, flexibility, and resilience (Goleman, 1995). In the SMART Engineering case study, Dr Parker demonstrates high levels of self-management by maintaining professional composure and conduct in the face of institutionalised prejudice and individual annoyance. However, it was clear that her superiors could not self-regulate, often making emotional or biased judgments. The reflective practitioner (Schön, 1983) asserts that self-evaluation and adaptive thinking are forms of knowing and learning, qualities that Parker consistently demonstrates when facing work-related challenges. Herrity’s (2023) identification of poor prioritisation, emotive fatigue, and stress as contrary to productive self-management is evident in the SMART team. Parker's rational attitude is consistent with the message of resilience introduced by Sutton (2019), which suggests that a person's capacity to maintain purpose and performance in the face of adversity is an integral part of building self-management skills. Time-management strategies, such as Covey's (1989) Eisenhower Matrix, can assist with prioritising professional tasks and staying calm while working under stressful or adverse conditions. This level of self-management has been shown to benefit not only individual well-being but also organisational functioning, as it influences the affective tone of others within the workplace. Leaders who demonstrate calmness and accountability set a standard of professionalism that is necessary to a genuinely effective and ethical workplace. Self-management is paramount when looking to create effective leadership within an organisation. Leaders who show the ability to maintain composure and think reflectively are far better equipped to deal with problems that may arise in the workplace. Fostering an environment of adaptability and emotional intelligence appears to be crucial to promoting inclusion and maintaining the motivation and morale of employees. </w:t>
      </w:r>
      <w:r w:rsidDel="00000000" w:rsidR="00000000" w:rsidRPr="00000000">
        <w:rPr>
          <w:rtl w:val="0"/>
        </w:rPr>
      </w:r>
    </w:p>
    <w:p w:rsidR="00000000" w:rsidDel="00000000" w:rsidP="00000000" w:rsidRDefault="00000000" w:rsidRPr="00000000" w14:paraId="0000002B">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owzouxnwwp6u" w:id="3"/>
      <w:bookmarkEnd w:id="3"/>
      <w:r w:rsidDel="00000000" w:rsidR="00000000" w:rsidRPr="00000000">
        <w:rPr>
          <w:rFonts w:ascii="Times New Roman" w:cs="Times New Roman" w:eastAsia="Times New Roman" w:hAnsi="Times New Roman"/>
          <w:b w:val="1"/>
          <w:color w:val="000000"/>
          <w:rtl w:val="0"/>
        </w:rPr>
        <w:t xml:space="preserve">Bias in Professional Practice</w:t>
      </w:r>
    </w:p>
    <w:p w:rsidR="00000000" w:rsidDel="00000000" w:rsidP="00000000" w:rsidRDefault="00000000" w:rsidRPr="00000000" w14:paraId="0000002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Bias of any sort, be it personal, cognitive, or unconscious, influences perception, judgment, and action. These biases can distort our sense of fair play and how we make decisions, often without any conscious decision to do so (Eurich, 2018). SMART Engineering is full of unconscious and affinity bias. Female engineers are not listened to and treated with respect by both management and their colleagues, which evidences systemic gender biases. Affinity bias refers to the tendency for people to prefer those who are similar to themselves (Reiners, 2023). This enables exclusionary practices and an “inside-outside” dynamic that erodes trust and teamwork. The precedents of structural inequality on which the problem-based analysis rests operate to maintain unfairness; biases such as confirmation bias (S534) support interpreting events through existing presumptions (Tversky &amp; Kahneman, 1981). In the case that adversity is attributed to the project itself, rather than managerial failures, it thus supports gendered discourses. Eurich (2018) notes that bias begins with self-awareness and feedback-seeking behaviours, which are lacking in the organisation’s leadership. On the professional end: Bias erodes inclusivity and integrity. Schön’s (1983) model of reflection prompts professionals to question their assumptions and behaviour. Techniques such as bias-awareness training, feedback, and diversity collaborations (Imperial College London, 2023) can help decrease biased decisions and promote fairness. Tackling bias is thus not just a matter of ethics, but also a matter of leadership, creating an environment that promotes psychological safety and fosters a fair professional culture. Many contemporary organisations address bias by implementing strategies such as transparent recruitment and inclusive communication, such as disability support for those who may have conditions such as ADHD or dyslexia. If workplace biases are left unchecked, they create an environment of lowered morale, and much like the case study, could lead to valued team members resigning or raising issues with HR.</w:t>
      </w:r>
      <w:r w:rsidDel="00000000" w:rsidR="00000000" w:rsidRPr="00000000">
        <w:rPr>
          <w:rtl w:val="0"/>
        </w:rPr>
      </w:r>
    </w:p>
    <w:p w:rsidR="00000000" w:rsidDel="00000000" w:rsidP="00000000" w:rsidRDefault="00000000" w:rsidRPr="00000000" w14:paraId="0000002D">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2mf72xb6bhi7" w:id="4"/>
      <w:bookmarkEnd w:id="4"/>
      <w:r w:rsidDel="00000000" w:rsidR="00000000" w:rsidRPr="00000000">
        <w:rPr>
          <w:rFonts w:ascii="Times New Roman" w:cs="Times New Roman" w:eastAsia="Times New Roman" w:hAnsi="Times New Roman"/>
          <w:b w:val="1"/>
          <w:color w:val="000000"/>
          <w:rtl w:val="0"/>
        </w:rPr>
        <w:t xml:space="preserve">Accountability and Authentic Behaviour</w:t>
      </w:r>
    </w:p>
    <w:p w:rsidR="00000000" w:rsidDel="00000000" w:rsidP="00000000" w:rsidRDefault="00000000" w:rsidRPr="00000000" w14:paraId="0000002E">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Transparency and authenticity are the foundation of trust, credibility, and leadership. Accountability is about being responsible for decisions and outcomes (Covey, 2006), and authentic behaviour is about acting in congruence with a person's set of ethics. Avolio and Gardner (2005). In the case of SMART Engineering, the leadership appears to be unable to take responsibility for anything, fails to provide promised resources, and instead allows subordinates to take the fall for this. This strategy of avoidance also undermines morale and the organisation's credibility. However, Parker shows us what truth and courage look like. Kernis (2003) suggests authenticity is behaviour that is congruent with one's personal values, regardless of what others think, while Luthans and Avolio (2003) argue this type of leader increases engagement through openness and integrity. Parker, the unassuming professional who won’t even go all in when he’s being taken advantage of, embodies these themes. Her leadership demonstrates that authenticity and accountability are mutually reinforcing; the latter without the former appears performative, while an account of oneself devoid of responsibility lacks credibility. From a higher organisational perspective, genuine accountability fosters ethical resilience and builds trust in the institution. Open, honest communication, self-assessment, and accountability for errors foster integrity and discovery. Covey (2006) stresses that trust develops when people do over and over again, ‘what they say, they will do,’ a fundamental principle for maintaining ethical professional behaviour. Tied closely to authenticity is emotional intelligence; there must be a clear balance between transparency and empathy. </w:t>
      </w:r>
      <w:r w:rsidDel="00000000" w:rsidR="00000000" w:rsidRPr="00000000">
        <w:rPr>
          <w:rtl w:val="0"/>
        </w:rPr>
      </w:r>
    </w:p>
    <w:p w:rsidR="00000000" w:rsidDel="00000000" w:rsidP="00000000" w:rsidRDefault="00000000" w:rsidRPr="00000000" w14:paraId="0000002F">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oxkup1i3fs9b" w:id="5"/>
      <w:bookmarkEnd w:id="5"/>
      <w:r w:rsidDel="00000000" w:rsidR="00000000" w:rsidRPr="00000000">
        <w:rPr>
          <w:rFonts w:ascii="Times New Roman" w:cs="Times New Roman" w:eastAsia="Times New Roman" w:hAnsi="Times New Roman"/>
          <w:b w:val="1"/>
          <w:color w:val="000000"/>
          <w:rtl w:val="0"/>
        </w:rPr>
        <w:t xml:space="preserve">Interpersonal Relationships</w:t>
      </w:r>
    </w:p>
    <w:p w:rsidR="00000000" w:rsidDel="00000000" w:rsidP="00000000" w:rsidRDefault="00000000" w:rsidRPr="00000000" w14:paraId="00000030">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Relationships are vital in productive teamwork, including trust, empathy, and respect Belbin (2010). Edmondson (1999) notes that the freedom to think critically is crucial for psychological safety, which in turn is essential for effective collaboration. SMART Engineering indicates what happens when this is lacking. Lack of communication, isolation, and hierarchical oversight are not conducive to team building or morale boosting, especially if management fails to respect its own chain of command and communicate effectively with other employees. Parker sounds like they don’t have either. The Johari Window model Luft &amp; Ingham (1955) is helpful in understanding this: when people do not share or accept information, large “blind” and “hidden” areas are developed where misunderstanding and distrust can flourish. Similarly, the team role theory of Belbin (2010) suggests that identifying differing strengths encourages teamwork; however, this was a virtue not practised by the members of the SMART team. According to Mayer et al. (1995), trust is contingent on perceived competence, integrity, and benevolence; in places where these are not present, as in this case, communication crumbles. Empathy, consistent behaviour, and clear feedback systems can help leaders restore trust. Goleman’s (1995) social awareness links the power of perspective taking to collaboration, teamwork, and emotional intelligence, which are essential elements of inclusive professional relationships. When a team is diverse like SMART Engineering, it is important to create strong interpersonal relationships by promoting empathy and respect among those from different backgrounds, genders, sexualities and abilities to ensure that communication remains open and allows for innovation and sharing of ideas.</w:t>
      </w:r>
      <w:r w:rsidDel="00000000" w:rsidR="00000000" w:rsidRPr="00000000">
        <w:rPr>
          <w:rtl w:val="0"/>
        </w:rPr>
      </w:r>
    </w:p>
    <w:p w:rsidR="00000000" w:rsidDel="00000000" w:rsidP="00000000" w:rsidRDefault="00000000" w:rsidRPr="00000000" w14:paraId="00000031">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hz3zms5a6y5" w:id="6"/>
      <w:bookmarkEnd w:id="6"/>
      <w:r w:rsidDel="00000000" w:rsidR="00000000" w:rsidRPr="00000000">
        <w:rPr>
          <w:rFonts w:ascii="Times New Roman" w:cs="Times New Roman" w:eastAsia="Times New Roman" w:hAnsi="Times New Roman"/>
          <w:b w:val="1"/>
          <w:color w:val="000000"/>
          <w:rtl w:val="0"/>
        </w:rPr>
        <w:t xml:space="preserve">Professional Integrity</w:t>
      </w:r>
    </w:p>
    <w:p w:rsidR="00000000" w:rsidDel="00000000" w:rsidP="00000000" w:rsidRDefault="00000000" w:rsidRPr="00000000" w14:paraId="00000032">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Honesty is the foundation for ethical behaviour and sustainable leadership. Eriksen (2015) describes integrity as “being good on the word of the practice,” that is, the congruence between personal and professional values. In SMART Engineering, ethicality is notably lacking in senior management, who are often duty-shirking, biased, confrontational, and self-serving. Their indifference fosters a culture of mistrust and moral decay. This is in stark contrast to Parker, who consistently behaves with ethical integrity and professional grace, regardless of the circumstances. Her behaviour is consistent with virtue ethics (its emphasis on moral character in opposition to rule following) MacIntyre (2007). If one does what is right because it is “who” they are as opposed to being policed by others, then we have the true definition of character in action. By contrast, the actions of managers are often reactive and self-protective, and as a result, they no longer carry any professional credibility. The concept of professional integrity extends beyond personal ethics and encompasses an organisation's reputation. According to Eriksen (2015), integrity should be incorporated collectively, I e, when teams are guided by common ethical standards and responsibility. In practice, this means transparency, reflective action, and the fortitude to call out immoral conduct. Continual integrity establishes trust, reputation, and ethical leadership in any professional setting. It is crucial for enhancing sustainability within the organisation, as any persistent unethical behaviour could erode the confidence of stakeholders. Especially within an industry such as engineering, where safety and accuracy are at the core of the practice and professional credibility directly influences the trust the public holds in them. </w:t>
      </w:r>
      <w:r w:rsidDel="00000000" w:rsidR="00000000" w:rsidRPr="00000000">
        <w:rPr>
          <w:rtl w:val="0"/>
        </w:rPr>
      </w:r>
    </w:p>
    <w:p w:rsidR="00000000" w:rsidDel="00000000" w:rsidP="00000000" w:rsidRDefault="00000000" w:rsidRPr="00000000" w14:paraId="00000033">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r63zdjeyuyh2" w:id="7"/>
      <w:bookmarkEnd w:id="7"/>
      <w:r w:rsidDel="00000000" w:rsidR="00000000" w:rsidRPr="00000000">
        <w:rPr>
          <w:rFonts w:ascii="Times New Roman" w:cs="Times New Roman" w:eastAsia="Times New Roman" w:hAnsi="Times New Roman"/>
          <w:b w:val="1"/>
          <w:color w:val="000000"/>
          <w:rtl w:val="0"/>
        </w:rPr>
        <w:t xml:space="preserve">Reflection on Professional Practice</w:t>
      </w:r>
    </w:p>
    <w:p w:rsidR="00000000" w:rsidDel="00000000" w:rsidP="00000000" w:rsidRDefault="00000000" w:rsidRPr="00000000" w14:paraId="00000034">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Through reflection, professionals can examine their experiences and use them to learn, thereby deriving future performance or present value. Gibbs’ (1988) reflective cycle provides a structured process in five stages: description, feelings, evaluation, analysis, and action planning. Using the model with the SMART Engineering case gives valuable insights into professional behaviour. It is a case that highlights the importance of leaders who can manage their emotions and demonstrate ethical behaviour. A lack of accountability and unconscious bias led to the working relationships collapsing and the company being a professional failure. By contrast, Parker's calm and moral rectitude demonstrate how self-knowledge, strength of character, and a clear conscience are what keep you in the game. Analytically, the point of this reflection is that the five professional themes are interrelated: self-management underpins bias control; authenticity supports accountability, and our interpersonal relationships rely on integrity and trust. Continuous reflection through feedback, journaling, and peer review will improve professional practice. Gibbs' (1988) model emphasises the ongoing reassessment of emotional influences, decision-making processes, and ethical reasoning. Professionals develop agility, ethics in action, and a higher emotional intelligence through this learning cycle</w:t>
      </w:r>
      <w:r w:rsidDel="00000000" w:rsidR="00000000" w:rsidRPr="00000000">
        <w:rPr>
          <w:rFonts w:ascii="Times New Roman" w:cs="Times New Roman" w:eastAsia="Times New Roman" w:hAnsi="Times New Roman"/>
          <w:sz w:val="24"/>
          <w:szCs w:val="24"/>
          <w:rtl w:val="0"/>
        </w:rPr>
        <w:t xml:space="preserve">, allowing them to adapt their behaviour and maintain ethics across various stages of their careers.</w:t>
      </w:r>
    </w:p>
    <w:p w:rsidR="00000000" w:rsidDel="00000000" w:rsidP="00000000" w:rsidRDefault="00000000" w:rsidRPr="00000000" w14:paraId="00000035">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after="240" w:before="240" w:line="240" w:lineRule="auto"/>
        <w:rPr>
          <w:rFonts w:ascii="Times New Roman" w:cs="Times New Roman" w:eastAsia="Times New Roman" w:hAnsi="Times New Roman"/>
          <w:sz w:val="24"/>
          <w:szCs w:val="24"/>
        </w:rPr>
      </w:pPr>
      <w:r w:rsidDel="00000000" w:rsidR="00000000" w:rsidRPr="00000000">
        <w:rPr>
          <w:rtl w:val="0"/>
        </w:rPr>
      </w:r>
    </w:p>
    <w:tbl>
      <w:tblPr>
        <w:tblStyle w:val="Table2"/>
        <w:tblW w:w="10920.0" w:type="dxa"/>
        <w:jc w:val="left"/>
        <w:tblInd w:w="-82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80"/>
        <w:gridCol w:w="2310"/>
        <w:gridCol w:w="3015"/>
        <w:gridCol w:w="975"/>
        <w:gridCol w:w="2640"/>
        <w:tblGridChange w:id="0">
          <w:tblGrid>
            <w:gridCol w:w="1980"/>
            <w:gridCol w:w="2310"/>
            <w:gridCol w:w="3015"/>
            <w:gridCol w:w="975"/>
            <w:gridCol w:w="26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Development Area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Specific Weakness or 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SMART Action Steps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Success Measures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Difficulty maintaining focus during high workload periods.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Utilise time-management tools, such as the Eisenhower Matrix and weekly planning, to enhance your productivity. Review progress every Friday and practice 10 minutes of mindfulness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 completion of weekly goals; reduced stress as recorded in reflective log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Bias Awareness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awareness of how unconscious bias influences decisions.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Complete online unconscious bias training and request peer feedback twice in six months. Keep a reflective log of instances where you make decisions.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Training completion certificate; evidence of reduced bias in feedback reports.</w:t>
            </w:r>
          </w:p>
        </w:tc>
      </w:tr>
      <w:tr>
        <w:trPr>
          <w:cantSplit w:val="0"/>
          <w:trHeight w:val="145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Accountability and Authentic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Need to improve confidence in delegating and taking ownership of outcomes.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 a small team project, document decision-making, and conduct monthly progress reviews.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peer feedback on leadership transparency; achievement of project objectives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Interpersonal Relationships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Inconsistent active listening and communication in collaborative settings.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Facilitate monthly feedback sessions using the DESC (Describe, Express, Specify, Consequences) model.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engagement in team discussions; improved communication ratings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Integrity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Desire to enhance ethical reasoning and decision-making consistency.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Review ethical frameworks quarterly and maintain a reflective journal on ethics.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of ethical awareness in the journal, positive client and peer feedback</w:t>
            </w:r>
          </w:p>
        </w:tc>
      </w:tr>
    </w:tbl>
    <w:p w:rsidR="00000000" w:rsidDel="00000000" w:rsidP="00000000" w:rsidRDefault="00000000" w:rsidRPr="00000000" w14:paraId="00000055">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after="240" w:before="240"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Progress will be assessed through reflective logs, feedback, and quarterly self-appraisals, utilising Kolb’s (1984) cycle of experiential learning. Periodic review ensures flexibility and accountability in pursuing development goals</w:t>
      </w:r>
      <w:r w:rsidDel="00000000" w:rsidR="00000000" w:rsidRPr="00000000">
        <w:rPr>
          <w:rtl w:val="0"/>
        </w:rPr>
      </w:r>
    </w:p>
    <w:p w:rsidR="00000000" w:rsidDel="00000000" w:rsidP="00000000" w:rsidRDefault="00000000" w:rsidRPr="00000000" w14:paraId="00000057">
      <w:pPr>
        <w:pStyle w:val="Heading3"/>
        <w:keepNext w:val="0"/>
        <w:keepLines w:val="0"/>
        <w:spacing w:before="280" w:line="240" w:lineRule="auto"/>
        <w:rPr>
          <w:rFonts w:ascii="Times New Roman" w:cs="Times New Roman" w:eastAsia="Times New Roman" w:hAnsi="Times New Roman"/>
          <w:b w:val="1"/>
          <w:color w:val="000000"/>
        </w:rPr>
      </w:pPr>
      <w:bookmarkStart w:colFirst="0" w:colLast="0" w:name="_vghhhdfzey59" w:id="8"/>
      <w:bookmarkEnd w:id="8"/>
      <w:r w:rsidDel="00000000" w:rsidR="00000000" w:rsidRPr="00000000">
        <w:rPr>
          <w:rFonts w:ascii="Times New Roman" w:cs="Times New Roman" w:eastAsia="Times New Roman" w:hAnsi="Times New Roman"/>
          <w:b w:val="1"/>
          <w:color w:val="000000"/>
          <w:rtl w:val="0"/>
        </w:rPr>
        <w:t xml:space="preserve">Conclusion</w:t>
      </w:r>
    </w:p>
    <w:p w:rsidR="00000000" w:rsidDel="00000000" w:rsidP="00000000" w:rsidRDefault="00000000" w:rsidRPr="00000000" w14:paraId="00000058">
      <w:pPr>
        <w:spacing w:after="240" w:before="240"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SMART Engineering case has highlighted that the relationship among professional values, behaviour, and ethical leadership is intricate. Self-management, bias awareness, and accountability inadequacies had weakened collaboration and trust; a lack of integrity had eroded the moral foundation of the organisation. It's not a question at all, let's be honest.” This highlights that professionalism is not simply about the knowledge base, but also about humility, reflection, self-awareness, and moral courage. Drawing on Goleman (1995), Avolio and Gardner (2005), Schön (1983), and Eriksen (2015), it is argued that reflective practice enables ethical congruence and professional learning. The PDP theory outlines a systematic approach to implementing such insights in practice and articulating them as specific goals. Sustained commitment to ethical practice and self-reflection is essential when developing credible, trustworthy and well-respected leadership. People who commit to continually reflecting on their knowledge and understanding of biases and relationships are better able to deal with interpersonal challenges within the workplace and act with accountability. Ultimately, the growth of professional practice is achieved through a continuous process of reflection, ethical decision-making, and ongoing improvement that fosters leadership, trust, and organisational integrity.</w:t>
      </w:r>
    </w:p>
    <w:p w:rsidR="00000000" w:rsidDel="00000000" w:rsidP="00000000" w:rsidRDefault="00000000" w:rsidRPr="00000000" w14:paraId="00000059">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A">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B">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C">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D">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E">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F">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0">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1">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2">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3">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4">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5">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6">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7">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8">
      <w:pPr>
        <w:spacing w:after="240" w:before="240"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9">
      <w:pPr>
        <w:pStyle w:val="Heading2"/>
        <w:keepNext w:val="0"/>
        <w:keepLines w:val="0"/>
        <w:spacing w:after="80" w:line="360" w:lineRule="auto"/>
        <w:rPr>
          <w:rFonts w:ascii="Times New Roman" w:cs="Times New Roman" w:eastAsia="Times New Roman" w:hAnsi="Times New Roman"/>
          <w:b w:val="1"/>
          <w:sz w:val="28"/>
          <w:szCs w:val="28"/>
        </w:rPr>
      </w:pPr>
      <w:bookmarkStart w:colFirst="0" w:colLast="0" w:name="_6dke09j7w7f6" w:id="9"/>
      <w:bookmarkEnd w:id="9"/>
      <w:r w:rsidDel="00000000" w:rsidR="00000000" w:rsidRPr="00000000">
        <w:rPr>
          <w:rtl w:val="0"/>
        </w:rPr>
      </w:r>
    </w:p>
    <w:p w:rsidR="00000000" w:rsidDel="00000000" w:rsidP="00000000" w:rsidRDefault="00000000" w:rsidRPr="00000000" w14:paraId="0000006A">
      <w:pPr>
        <w:pStyle w:val="Heading2"/>
        <w:keepNext w:val="0"/>
        <w:keepLines w:val="0"/>
        <w:spacing w:after="80" w:line="360" w:lineRule="auto"/>
        <w:rPr>
          <w:rFonts w:ascii="Times New Roman" w:cs="Times New Roman" w:eastAsia="Times New Roman" w:hAnsi="Times New Roman"/>
          <w:b w:val="1"/>
          <w:sz w:val="28"/>
          <w:szCs w:val="28"/>
        </w:rPr>
      </w:pPr>
      <w:bookmarkStart w:colFirst="0" w:colLast="0" w:name="_7ludzck7liza" w:id="10"/>
      <w:bookmarkEnd w:id="10"/>
      <w:r w:rsidDel="00000000" w:rsidR="00000000" w:rsidRPr="00000000">
        <w:rPr>
          <w:rFonts w:ascii="Times New Roman" w:cs="Times New Roman" w:eastAsia="Times New Roman" w:hAnsi="Times New Roman"/>
          <w:b w:val="1"/>
          <w:sz w:val="28"/>
          <w:szCs w:val="28"/>
          <w:rtl w:val="0"/>
        </w:rPr>
        <w:t xml:space="preserve">Reference List </w:t>
      </w:r>
    </w:p>
    <w:p w:rsidR="00000000" w:rsidDel="00000000" w:rsidP="00000000" w:rsidRDefault="00000000" w:rsidRPr="00000000" w14:paraId="0000006B">
      <w:pPr>
        <w:numPr>
          <w:ilvl w:val="0"/>
          <w:numId w:val="1"/>
        </w:numPr>
        <w:spacing w:after="0" w:afterAutospacing="0" w:before="24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Avolio, B. J., &amp; Gardner, W. L. (2005). Authentic leadership development: Getting to the root of positive forms of leadership. </w:t>
      </w:r>
      <w:r w:rsidDel="00000000" w:rsidR="00000000" w:rsidRPr="00000000">
        <w:rPr>
          <w:rFonts w:ascii="Times New Roman" w:cs="Times New Roman" w:eastAsia="Times New Roman" w:hAnsi="Times New Roman"/>
          <w:i w:val="1"/>
          <w:sz w:val="24"/>
          <w:szCs w:val="24"/>
          <w:rtl w:val="0"/>
        </w:rPr>
        <w:t xml:space="preserve">The Leadership Quarterly, 16</w:t>
      </w:r>
      <w:r w:rsidDel="00000000" w:rsidR="00000000" w:rsidRPr="00000000">
        <w:rPr>
          <w:rFonts w:ascii="Times New Roman" w:cs="Times New Roman" w:eastAsia="Times New Roman" w:hAnsi="Times New Roman"/>
          <w:sz w:val="24"/>
          <w:szCs w:val="24"/>
          <w:rtl w:val="0"/>
        </w:rPr>
        <w:t xml:space="preserve">(3), 315–338.</w:t>
      </w:r>
      <w:hyperlink r:id="rId7">
        <w:r w:rsidDel="00000000" w:rsidR="00000000" w:rsidRPr="00000000">
          <w:rPr>
            <w:rFonts w:ascii="Times New Roman" w:cs="Times New Roman" w:eastAsia="Times New Roman" w:hAnsi="Times New Roman"/>
            <w:sz w:val="24"/>
            <w:szCs w:val="24"/>
            <w:rtl w:val="0"/>
          </w:rPr>
          <w:t xml:space="preserve"> </w:t>
        </w:r>
      </w:hyperlink>
      <w:hyperlink r:id="rId8">
        <w:r w:rsidDel="00000000" w:rsidR="00000000" w:rsidRPr="00000000">
          <w:rPr>
            <w:rFonts w:ascii="Times New Roman" w:cs="Times New Roman" w:eastAsia="Times New Roman" w:hAnsi="Times New Roman"/>
            <w:color w:val="1155cc"/>
            <w:sz w:val="24"/>
            <w:szCs w:val="24"/>
            <w:u w:val="single"/>
            <w:rtl w:val="0"/>
          </w:rPr>
          <w:t xml:space="preserve">https://doi.org/10.1016/j.leaqua.2005.03.001</w:t>
        </w:r>
      </w:hyperlink>
      <w:r w:rsidDel="00000000" w:rsidR="00000000" w:rsidRPr="00000000">
        <w:rPr>
          <w:rtl w:val="0"/>
        </w:rPr>
      </w:r>
    </w:p>
    <w:p w:rsidR="00000000" w:rsidDel="00000000" w:rsidP="00000000" w:rsidRDefault="00000000" w:rsidRPr="00000000" w14:paraId="0000006C">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Belbin, R. M. (2010). </w:t>
      </w:r>
      <w:r w:rsidDel="00000000" w:rsidR="00000000" w:rsidRPr="00000000">
        <w:rPr>
          <w:rFonts w:ascii="Times New Roman" w:cs="Times New Roman" w:eastAsia="Times New Roman" w:hAnsi="Times New Roman"/>
          <w:i w:val="1"/>
          <w:sz w:val="24"/>
          <w:szCs w:val="24"/>
          <w:rtl w:val="0"/>
        </w:rPr>
        <w:t xml:space="preserve">Team roles at work</w:t>
      </w:r>
      <w:r w:rsidDel="00000000" w:rsidR="00000000" w:rsidRPr="00000000">
        <w:rPr>
          <w:rFonts w:ascii="Times New Roman" w:cs="Times New Roman" w:eastAsia="Times New Roman" w:hAnsi="Times New Roman"/>
          <w:sz w:val="24"/>
          <w:szCs w:val="24"/>
          <w:rtl w:val="0"/>
        </w:rPr>
        <w:t xml:space="preserve"> (2nd ed.). Routledge.</w:t>
      </w:r>
    </w:p>
    <w:p w:rsidR="00000000" w:rsidDel="00000000" w:rsidP="00000000" w:rsidRDefault="00000000" w:rsidRPr="00000000" w14:paraId="0000006D">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Covey, S. R. (1989). </w:t>
      </w:r>
      <w:r w:rsidDel="00000000" w:rsidR="00000000" w:rsidRPr="00000000">
        <w:rPr>
          <w:rFonts w:ascii="Times New Roman" w:cs="Times New Roman" w:eastAsia="Times New Roman" w:hAnsi="Times New Roman"/>
          <w:i w:val="1"/>
          <w:sz w:val="24"/>
          <w:szCs w:val="24"/>
          <w:rtl w:val="0"/>
        </w:rPr>
        <w:t xml:space="preserve">The seven habits of highly effective people.</w:t>
      </w:r>
      <w:r w:rsidDel="00000000" w:rsidR="00000000" w:rsidRPr="00000000">
        <w:rPr>
          <w:rFonts w:ascii="Times New Roman" w:cs="Times New Roman" w:eastAsia="Times New Roman" w:hAnsi="Times New Roman"/>
          <w:sz w:val="24"/>
          <w:szCs w:val="24"/>
          <w:rtl w:val="0"/>
        </w:rPr>
        <w:t xml:space="preserve"> Simon &amp; Schuster.</w:t>
      </w:r>
    </w:p>
    <w:p w:rsidR="00000000" w:rsidDel="00000000" w:rsidP="00000000" w:rsidRDefault="00000000" w:rsidRPr="00000000" w14:paraId="0000006E">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Covey, S. R. (2006). </w:t>
      </w:r>
      <w:r w:rsidDel="00000000" w:rsidR="00000000" w:rsidRPr="00000000">
        <w:rPr>
          <w:rFonts w:ascii="Times New Roman" w:cs="Times New Roman" w:eastAsia="Times New Roman" w:hAnsi="Times New Roman"/>
          <w:i w:val="1"/>
          <w:sz w:val="24"/>
          <w:szCs w:val="24"/>
          <w:rtl w:val="0"/>
        </w:rPr>
        <w:t xml:space="preserve">The speed of trust: The one thing that changes everything.</w:t>
      </w:r>
      <w:r w:rsidDel="00000000" w:rsidR="00000000" w:rsidRPr="00000000">
        <w:rPr>
          <w:rFonts w:ascii="Times New Roman" w:cs="Times New Roman" w:eastAsia="Times New Roman" w:hAnsi="Times New Roman"/>
          <w:sz w:val="24"/>
          <w:szCs w:val="24"/>
          <w:rtl w:val="0"/>
        </w:rPr>
        <w:t xml:space="preserve"> Free Press.</w:t>
      </w:r>
    </w:p>
    <w:p w:rsidR="00000000" w:rsidDel="00000000" w:rsidP="00000000" w:rsidRDefault="00000000" w:rsidRPr="00000000" w14:paraId="0000006F">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Edmondson, A. (1999). Psychological safety and learning behaviour in work teams. </w:t>
      </w:r>
      <w:r w:rsidDel="00000000" w:rsidR="00000000" w:rsidRPr="00000000">
        <w:rPr>
          <w:rFonts w:ascii="Times New Roman" w:cs="Times New Roman" w:eastAsia="Times New Roman" w:hAnsi="Times New Roman"/>
          <w:i w:val="1"/>
          <w:sz w:val="24"/>
          <w:szCs w:val="24"/>
          <w:rtl w:val="0"/>
        </w:rPr>
        <w:t xml:space="preserve">Administrative Science Quarterly, 44</w:t>
      </w:r>
      <w:r w:rsidDel="00000000" w:rsidR="00000000" w:rsidRPr="00000000">
        <w:rPr>
          <w:rFonts w:ascii="Times New Roman" w:cs="Times New Roman" w:eastAsia="Times New Roman" w:hAnsi="Times New Roman"/>
          <w:sz w:val="24"/>
          <w:szCs w:val="24"/>
          <w:rtl w:val="0"/>
        </w:rPr>
        <w:t xml:space="preserve">(2), 350–383.</w:t>
      </w:r>
      <w:hyperlink r:id="rId9">
        <w:r w:rsidDel="00000000" w:rsidR="00000000" w:rsidRPr="00000000">
          <w:rPr>
            <w:rFonts w:ascii="Times New Roman" w:cs="Times New Roman" w:eastAsia="Times New Roman" w:hAnsi="Times New Roman"/>
            <w:sz w:val="24"/>
            <w:szCs w:val="24"/>
            <w:rtl w:val="0"/>
          </w:rPr>
          <w:t xml:space="preserve"> </w:t>
        </w:r>
      </w:hyperlink>
      <w:hyperlink r:id="rId10">
        <w:r w:rsidDel="00000000" w:rsidR="00000000" w:rsidRPr="00000000">
          <w:rPr>
            <w:rFonts w:ascii="Times New Roman" w:cs="Times New Roman" w:eastAsia="Times New Roman" w:hAnsi="Times New Roman"/>
            <w:color w:val="1155cc"/>
            <w:sz w:val="24"/>
            <w:szCs w:val="24"/>
            <w:u w:val="single"/>
            <w:rtl w:val="0"/>
          </w:rPr>
          <w:t xml:space="preserve">https://doi.org/10.2307/2666999</w:t>
        </w:r>
      </w:hyperlink>
      <w:r w:rsidDel="00000000" w:rsidR="00000000" w:rsidRPr="00000000">
        <w:rPr>
          <w:rtl w:val="0"/>
        </w:rPr>
      </w:r>
    </w:p>
    <w:p w:rsidR="00000000" w:rsidDel="00000000" w:rsidP="00000000" w:rsidRDefault="00000000" w:rsidRPr="00000000" w14:paraId="00000070">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Eriksen, M. (2015). What is professional integrity? </w:t>
      </w:r>
      <w:r w:rsidDel="00000000" w:rsidR="00000000" w:rsidRPr="00000000">
        <w:rPr>
          <w:rFonts w:ascii="Times New Roman" w:cs="Times New Roman" w:eastAsia="Times New Roman" w:hAnsi="Times New Roman"/>
          <w:i w:val="1"/>
          <w:sz w:val="24"/>
          <w:szCs w:val="24"/>
          <w:rtl w:val="0"/>
        </w:rPr>
        <w:t xml:space="preserve">Science and Engineering Ethics, 21</w:t>
      </w:r>
      <w:r w:rsidDel="00000000" w:rsidR="00000000" w:rsidRPr="00000000">
        <w:rPr>
          <w:rFonts w:ascii="Times New Roman" w:cs="Times New Roman" w:eastAsia="Times New Roman" w:hAnsi="Times New Roman"/>
          <w:sz w:val="24"/>
          <w:szCs w:val="24"/>
          <w:rtl w:val="0"/>
        </w:rPr>
        <w:t xml:space="preserve">(5), 1275–1286.</w:t>
      </w:r>
      <w:hyperlink r:id="rId11">
        <w:r w:rsidDel="00000000" w:rsidR="00000000" w:rsidRPr="00000000">
          <w:rPr>
            <w:rFonts w:ascii="Times New Roman" w:cs="Times New Roman" w:eastAsia="Times New Roman" w:hAnsi="Times New Roman"/>
            <w:sz w:val="24"/>
            <w:szCs w:val="24"/>
            <w:rtl w:val="0"/>
          </w:rPr>
          <w:t xml:space="preserve"> </w:t>
        </w:r>
      </w:hyperlink>
      <w:hyperlink r:id="rId12">
        <w:r w:rsidDel="00000000" w:rsidR="00000000" w:rsidRPr="00000000">
          <w:rPr>
            <w:rFonts w:ascii="Times New Roman" w:cs="Times New Roman" w:eastAsia="Times New Roman" w:hAnsi="Times New Roman"/>
            <w:color w:val="1155cc"/>
            <w:sz w:val="24"/>
            <w:szCs w:val="24"/>
            <w:u w:val="single"/>
            <w:rtl w:val="0"/>
          </w:rPr>
          <w:t xml:space="preserve">https://doi.org/10.1007/s11948-014-9603-0</w:t>
        </w:r>
      </w:hyperlink>
      <w:r w:rsidDel="00000000" w:rsidR="00000000" w:rsidRPr="00000000">
        <w:rPr>
          <w:rtl w:val="0"/>
        </w:rPr>
      </w:r>
    </w:p>
    <w:p w:rsidR="00000000" w:rsidDel="00000000" w:rsidP="00000000" w:rsidRDefault="00000000" w:rsidRPr="00000000" w14:paraId="00000071">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Eurich, T. (2018). </w:t>
      </w:r>
      <w:r w:rsidDel="00000000" w:rsidR="00000000" w:rsidRPr="00000000">
        <w:rPr>
          <w:rFonts w:ascii="Times New Roman" w:cs="Times New Roman" w:eastAsia="Times New Roman" w:hAnsi="Times New Roman"/>
          <w:i w:val="1"/>
          <w:sz w:val="24"/>
          <w:szCs w:val="24"/>
          <w:rtl w:val="0"/>
        </w:rPr>
        <w:t xml:space="preserve">Insight: The surprising truth about how others see us, how we see ourselves, and why the answers matter more than we think.</w:t>
      </w:r>
      <w:r w:rsidDel="00000000" w:rsidR="00000000" w:rsidRPr="00000000">
        <w:rPr>
          <w:rFonts w:ascii="Times New Roman" w:cs="Times New Roman" w:eastAsia="Times New Roman" w:hAnsi="Times New Roman"/>
          <w:sz w:val="24"/>
          <w:szCs w:val="24"/>
          <w:rtl w:val="0"/>
        </w:rPr>
        <w:t xml:space="preserve"> Crown Business.</w:t>
      </w:r>
    </w:p>
    <w:p w:rsidR="00000000" w:rsidDel="00000000" w:rsidP="00000000" w:rsidRDefault="00000000" w:rsidRPr="00000000" w14:paraId="00000072">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Gibbs, G. (1988). </w:t>
      </w:r>
      <w:r w:rsidDel="00000000" w:rsidR="00000000" w:rsidRPr="00000000">
        <w:rPr>
          <w:rFonts w:ascii="Times New Roman" w:cs="Times New Roman" w:eastAsia="Times New Roman" w:hAnsi="Times New Roman"/>
          <w:i w:val="1"/>
          <w:sz w:val="24"/>
          <w:szCs w:val="24"/>
          <w:rtl w:val="0"/>
        </w:rPr>
        <w:t xml:space="preserve">Learning by doing: A guide to teaching and learning methods.</w:t>
      </w:r>
      <w:r w:rsidDel="00000000" w:rsidR="00000000" w:rsidRPr="00000000">
        <w:rPr>
          <w:rFonts w:ascii="Times New Roman" w:cs="Times New Roman" w:eastAsia="Times New Roman" w:hAnsi="Times New Roman"/>
          <w:sz w:val="24"/>
          <w:szCs w:val="24"/>
          <w:rtl w:val="0"/>
        </w:rPr>
        <w:t xml:space="preserve"> Oxford Polytechnic.</w:t>
      </w:r>
    </w:p>
    <w:p w:rsidR="00000000" w:rsidDel="00000000" w:rsidP="00000000" w:rsidRDefault="00000000" w:rsidRPr="00000000" w14:paraId="00000073">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Goleman, D. (1995). </w:t>
      </w:r>
      <w:r w:rsidDel="00000000" w:rsidR="00000000" w:rsidRPr="00000000">
        <w:rPr>
          <w:rFonts w:ascii="Times New Roman" w:cs="Times New Roman" w:eastAsia="Times New Roman" w:hAnsi="Times New Roman"/>
          <w:i w:val="1"/>
          <w:sz w:val="24"/>
          <w:szCs w:val="24"/>
          <w:rtl w:val="0"/>
        </w:rPr>
        <w:t xml:space="preserve">Emotional intelligence: Why it can matter more than IQ.</w:t>
      </w:r>
      <w:r w:rsidDel="00000000" w:rsidR="00000000" w:rsidRPr="00000000">
        <w:rPr>
          <w:rFonts w:ascii="Times New Roman" w:cs="Times New Roman" w:eastAsia="Times New Roman" w:hAnsi="Times New Roman"/>
          <w:sz w:val="24"/>
          <w:szCs w:val="24"/>
          <w:rtl w:val="0"/>
        </w:rPr>
        <w:t xml:space="preserve"> Bantam.</w:t>
      </w:r>
    </w:p>
    <w:p w:rsidR="00000000" w:rsidDel="00000000" w:rsidP="00000000" w:rsidRDefault="00000000" w:rsidRPr="00000000" w14:paraId="00000074">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Herrity, J. (2023). Self-management: Definition and strategies. </w:t>
      </w:r>
      <w:r w:rsidDel="00000000" w:rsidR="00000000" w:rsidRPr="00000000">
        <w:rPr>
          <w:rFonts w:ascii="Times New Roman" w:cs="Times New Roman" w:eastAsia="Times New Roman" w:hAnsi="Times New Roman"/>
          <w:i w:val="1"/>
          <w:sz w:val="24"/>
          <w:szCs w:val="24"/>
          <w:rtl w:val="0"/>
        </w:rPr>
        <w:t xml:space="preserve">Indeed Career Guide.</w:t>
      </w:r>
      <w:hyperlink r:id="rId13">
        <w:r w:rsidDel="00000000" w:rsidR="00000000" w:rsidRPr="00000000">
          <w:rPr>
            <w:rFonts w:ascii="Times New Roman" w:cs="Times New Roman" w:eastAsia="Times New Roman" w:hAnsi="Times New Roman"/>
            <w:sz w:val="24"/>
            <w:szCs w:val="24"/>
            <w:rtl w:val="0"/>
          </w:rPr>
          <w:t xml:space="preserve"> </w:t>
        </w:r>
      </w:hyperlink>
      <w:hyperlink r:id="rId14">
        <w:r w:rsidDel="00000000" w:rsidR="00000000" w:rsidRPr="00000000">
          <w:rPr>
            <w:rFonts w:ascii="Times New Roman" w:cs="Times New Roman" w:eastAsia="Times New Roman" w:hAnsi="Times New Roman"/>
            <w:color w:val="1155cc"/>
            <w:sz w:val="24"/>
            <w:szCs w:val="24"/>
            <w:u w:val="single"/>
            <w:rtl w:val="0"/>
          </w:rPr>
          <w:t xml:space="preserve">https://www.indeed.com/career-advice/career-development/self-management</w:t>
        </w:r>
      </w:hyperlink>
      <w:r w:rsidDel="00000000" w:rsidR="00000000" w:rsidRPr="00000000">
        <w:rPr>
          <w:rFonts w:ascii="Times New Roman" w:cs="Times New Roman" w:eastAsia="Times New Roman" w:hAnsi="Times New Roman"/>
          <w:sz w:val="24"/>
          <w:szCs w:val="24"/>
          <w:rtl w:val="0"/>
        </w:rPr>
        <w:t xml:space="preserve"> (Accessed 12 September 2025)</w:t>
      </w:r>
    </w:p>
    <w:p w:rsidR="00000000" w:rsidDel="00000000" w:rsidP="00000000" w:rsidRDefault="00000000" w:rsidRPr="00000000" w14:paraId="00000075">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Imperial College London. (2023). Understanding and mitigating unconscious bias.</w:t>
      </w:r>
      <w:hyperlink r:id="rId15">
        <w:r w:rsidDel="00000000" w:rsidR="00000000" w:rsidRPr="00000000">
          <w:rPr>
            <w:rFonts w:ascii="Times New Roman" w:cs="Times New Roman" w:eastAsia="Times New Roman" w:hAnsi="Times New Roman"/>
            <w:sz w:val="24"/>
            <w:szCs w:val="24"/>
            <w:rtl w:val="0"/>
          </w:rPr>
          <w:t xml:space="preserve"> </w:t>
        </w:r>
      </w:hyperlink>
      <w:hyperlink r:id="rId16">
        <w:r w:rsidDel="00000000" w:rsidR="00000000" w:rsidRPr="00000000">
          <w:rPr>
            <w:rFonts w:ascii="Times New Roman" w:cs="Times New Roman" w:eastAsia="Times New Roman" w:hAnsi="Times New Roman"/>
            <w:color w:val="1155cc"/>
            <w:sz w:val="24"/>
            <w:szCs w:val="24"/>
            <w:u w:val="single"/>
            <w:rtl w:val="0"/>
          </w:rPr>
          <w:t xml:space="preserve">https://www.imperial.ac.uk/equality/resources/unconscious-bias</w:t>
        </w:r>
      </w:hyperlink>
      <w:r w:rsidDel="00000000" w:rsidR="00000000" w:rsidRPr="00000000">
        <w:rPr>
          <w:rFonts w:ascii="Times New Roman" w:cs="Times New Roman" w:eastAsia="Times New Roman" w:hAnsi="Times New Roman"/>
          <w:sz w:val="24"/>
          <w:szCs w:val="24"/>
          <w:rtl w:val="0"/>
        </w:rPr>
        <w:t xml:space="preserve"> (Accessed 6 September 2025)</w:t>
      </w:r>
    </w:p>
    <w:p w:rsidR="00000000" w:rsidDel="00000000" w:rsidP="00000000" w:rsidRDefault="00000000" w:rsidRPr="00000000" w14:paraId="00000076">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Kernis, M. H. (2003). Toward a conceptualisation of optimal self-esteem. </w:t>
      </w:r>
      <w:r w:rsidDel="00000000" w:rsidR="00000000" w:rsidRPr="00000000">
        <w:rPr>
          <w:rFonts w:ascii="Times New Roman" w:cs="Times New Roman" w:eastAsia="Times New Roman" w:hAnsi="Times New Roman"/>
          <w:i w:val="1"/>
          <w:sz w:val="24"/>
          <w:szCs w:val="24"/>
          <w:rtl w:val="0"/>
        </w:rPr>
        <w:t xml:space="preserve">Psychological Inquiry, 14</w:t>
      </w:r>
      <w:r w:rsidDel="00000000" w:rsidR="00000000" w:rsidRPr="00000000">
        <w:rPr>
          <w:rFonts w:ascii="Times New Roman" w:cs="Times New Roman" w:eastAsia="Times New Roman" w:hAnsi="Times New Roman"/>
          <w:sz w:val="24"/>
          <w:szCs w:val="24"/>
          <w:rtl w:val="0"/>
        </w:rPr>
        <w:t xml:space="preserve">(1), 1–26.</w:t>
      </w:r>
      <w:hyperlink r:id="rId17">
        <w:r w:rsidDel="00000000" w:rsidR="00000000" w:rsidRPr="00000000">
          <w:rPr>
            <w:rFonts w:ascii="Times New Roman" w:cs="Times New Roman" w:eastAsia="Times New Roman" w:hAnsi="Times New Roman"/>
            <w:sz w:val="24"/>
            <w:szCs w:val="24"/>
            <w:rtl w:val="0"/>
          </w:rPr>
          <w:t xml:space="preserve"> </w:t>
        </w:r>
      </w:hyperlink>
      <w:hyperlink r:id="rId18">
        <w:r w:rsidDel="00000000" w:rsidR="00000000" w:rsidRPr="00000000">
          <w:rPr>
            <w:rFonts w:ascii="Times New Roman" w:cs="Times New Roman" w:eastAsia="Times New Roman" w:hAnsi="Times New Roman"/>
            <w:color w:val="1155cc"/>
            <w:sz w:val="24"/>
            <w:szCs w:val="24"/>
            <w:u w:val="single"/>
            <w:rtl w:val="0"/>
          </w:rPr>
          <w:t xml:space="preserve">https://doi.org/10.1207/S15327965PLI1401_01</w:t>
        </w:r>
      </w:hyperlink>
      <w:r w:rsidDel="00000000" w:rsidR="00000000" w:rsidRPr="00000000">
        <w:rPr>
          <w:rtl w:val="0"/>
        </w:rPr>
      </w:r>
    </w:p>
    <w:p w:rsidR="00000000" w:rsidDel="00000000" w:rsidP="00000000" w:rsidRDefault="00000000" w:rsidRPr="00000000" w14:paraId="00000077">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Kolb, D. A. (1984). </w:t>
      </w:r>
      <w:r w:rsidDel="00000000" w:rsidR="00000000" w:rsidRPr="00000000">
        <w:rPr>
          <w:rFonts w:ascii="Times New Roman" w:cs="Times New Roman" w:eastAsia="Times New Roman" w:hAnsi="Times New Roman"/>
          <w:i w:val="1"/>
          <w:sz w:val="24"/>
          <w:szCs w:val="24"/>
          <w:rtl w:val="0"/>
        </w:rPr>
        <w:t xml:space="preserve">Experiential learning: Experience as the source of learning and development.</w:t>
      </w:r>
      <w:r w:rsidDel="00000000" w:rsidR="00000000" w:rsidRPr="00000000">
        <w:rPr>
          <w:rFonts w:ascii="Times New Roman" w:cs="Times New Roman" w:eastAsia="Times New Roman" w:hAnsi="Times New Roman"/>
          <w:sz w:val="24"/>
          <w:szCs w:val="24"/>
          <w:rtl w:val="0"/>
        </w:rPr>
        <w:t xml:space="preserve"> Prentice Hall.</w:t>
      </w:r>
    </w:p>
    <w:p w:rsidR="00000000" w:rsidDel="00000000" w:rsidP="00000000" w:rsidRDefault="00000000" w:rsidRPr="00000000" w14:paraId="00000078">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Luft, J., &amp; Ingham, H. (1955). The Johari window: A graphic model of interpersonal awareness. </w:t>
      </w:r>
      <w:r w:rsidDel="00000000" w:rsidR="00000000" w:rsidRPr="00000000">
        <w:rPr>
          <w:rFonts w:ascii="Times New Roman" w:cs="Times New Roman" w:eastAsia="Times New Roman" w:hAnsi="Times New Roman"/>
          <w:i w:val="1"/>
          <w:sz w:val="24"/>
          <w:szCs w:val="24"/>
          <w:rtl w:val="0"/>
        </w:rPr>
        <w:t xml:space="preserve">Proceedings of the Western Training Laboratory in Group Development.</w:t>
      </w:r>
    </w:p>
    <w:p w:rsidR="00000000" w:rsidDel="00000000" w:rsidP="00000000" w:rsidRDefault="00000000" w:rsidRPr="00000000" w14:paraId="00000079">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Luthans, F., &amp; Avolio, B. J. (2003). Authentic leadership: A positive developmental approach. In K. S. Cameron, J. E. Dutton, &amp; R. E. Quinn (Eds.), </w:t>
      </w:r>
      <w:r w:rsidDel="00000000" w:rsidR="00000000" w:rsidRPr="00000000">
        <w:rPr>
          <w:rFonts w:ascii="Times New Roman" w:cs="Times New Roman" w:eastAsia="Times New Roman" w:hAnsi="Times New Roman"/>
          <w:i w:val="1"/>
          <w:sz w:val="24"/>
          <w:szCs w:val="24"/>
          <w:rtl w:val="0"/>
        </w:rPr>
        <w:t xml:space="preserve">Positive organisational scholarship</w:t>
      </w:r>
      <w:r w:rsidDel="00000000" w:rsidR="00000000" w:rsidRPr="00000000">
        <w:rPr>
          <w:rFonts w:ascii="Times New Roman" w:cs="Times New Roman" w:eastAsia="Times New Roman" w:hAnsi="Times New Roman"/>
          <w:sz w:val="24"/>
          <w:szCs w:val="24"/>
          <w:rtl w:val="0"/>
        </w:rPr>
        <w:t xml:space="preserve"> (pp. 241–258). Berrett-Koehler.</w:t>
      </w:r>
    </w:p>
    <w:p w:rsidR="00000000" w:rsidDel="00000000" w:rsidP="00000000" w:rsidRDefault="00000000" w:rsidRPr="00000000" w14:paraId="0000007A">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MacIntyre, A. (2007). </w:t>
      </w:r>
      <w:r w:rsidDel="00000000" w:rsidR="00000000" w:rsidRPr="00000000">
        <w:rPr>
          <w:rFonts w:ascii="Times New Roman" w:cs="Times New Roman" w:eastAsia="Times New Roman" w:hAnsi="Times New Roman"/>
          <w:i w:val="1"/>
          <w:sz w:val="24"/>
          <w:szCs w:val="24"/>
          <w:rtl w:val="0"/>
        </w:rPr>
        <w:t xml:space="preserve">After virtue: A study in moral theory</w:t>
      </w:r>
      <w:r w:rsidDel="00000000" w:rsidR="00000000" w:rsidRPr="00000000">
        <w:rPr>
          <w:rFonts w:ascii="Times New Roman" w:cs="Times New Roman" w:eastAsia="Times New Roman" w:hAnsi="Times New Roman"/>
          <w:sz w:val="24"/>
          <w:szCs w:val="24"/>
          <w:rtl w:val="0"/>
        </w:rPr>
        <w:t xml:space="preserve"> (3rd ed.). University of Notre Dame Press.</w:t>
      </w:r>
    </w:p>
    <w:p w:rsidR="00000000" w:rsidDel="00000000" w:rsidP="00000000" w:rsidRDefault="00000000" w:rsidRPr="00000000" w14:paraId="0000007B">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Mayer, R. C., Davis, J. H., &amp; Schoorman, F. D. (1995). An integrative model of organisational trust. </w:t>
      </w:r>
      <w:r w:rsidDel="00000000" w:rsidR="00000000" w:rsidRPr="00000000">
        <w:rPr>
          <w:rFonts w:ascii="Times New Roman" w:cs="Times New Roman" w:eastAsia="Times New Roman" w:hAnsi="Times New Roman"/>
          <w:i w:val="1"/>
          <w:sz w:val="24"/>
          <w:szCs w:val="24"/>
          <w:rtl w:val="0"/>
        </w:rPr>
        <w:t xml:space="preserve">Academy of Management Review, 20</w:t>
      </w:r>
      <w:r w:rsidDel="00000000" w:rsidR="00000000" w:rsidRPr="00000000">
        <w:rPr>
          <w:rFonts w:ascii="Times New Roman" w:cs="Times New Roman" w:eastAsia="Times New Roman" w:hAnsi="Times New Roman"/>
          <w:sz w:val="24"/>
          <w:szCs w:val="24"/>
          <w:rtl w:val="0"/>
        </w:rPr>
        <w:t xml:space="preserve">(3), 709–734.</w:t>
      </w:r>
      <w:hyperlink r:id="rId19">
        <w:r w:rsidDel="00000000" w:rsidR="00000000" w:rsidRPr="00000000">
          <w:rPr>
            <w:rFonts w:ascii="Times New Roman" w:cs="Times New Roman" w:eastAsia="Times New Roman" w:hAnsi="Times New Roman"/>
            <w:sz w:val="24"/>
            <w:szCs w:val="24"/>
            <w:rtl w:val="0"/>
          </w:rPr>
          <w:t xml:space="preserve"> </w:t>
        </w:r>
      </w:hyperlink>
      <w:hyperlink r:id="rId20">
        <w:r w:rsidDel="00000000" w:rsidR="00000000" w:rsidRPr="00000000">
          <w:rPr>
            <w:rFonts w:ascii="Times New Roman" w:cs="Times New Roman" w:eastAsia="Times New Roman" w:hAnsi="Times New Roman"/>
            <w:color w:val="1155cc"/>
            <w:sz w:val="24"/>
            <w:szCs w:val="24"/>
            <w:u w:val="single"/>
            <w:rtl w:val="0"/>
          </w:rPr>
          <w:t xml:space="preserve">https://doi.org/10.5465/amr.1995.9508080335</w:t>
        </w:r>
      </w:hyperlink>
      <w:r w:rsidDel="00000000" w:rsidR="00000000" w:rsidRPr="00000000">
        <w:rPr>
          <w:rtl w:val="0"/>
        </w:rPr>
      </w:r>
    </w:p>
    <w:p w:rsidR="00000000" w:rsidDel="00000000" w:rsidP="00000000" w:rsidRDefault="00000000" w:rsidRPr="00000000" w14:paraId="0000007C">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Raeburn, T. (2023). The importance of self-management skills. </w:t>
      </w:r>
      <w:r w:rsidDel="00000000" w:rsidR="00000000" w:rsidRPr="00000000">
        <w:rPr>
          <w:rFonts w:ascii="Times New Roman" w:cs="Times New Roman" w:eastAsia="Times New Roman" w:hAnsi="Times New Roman"/>
          <w:i w:val="1"/>
          <w:sz w:val="24"/>
          <w:szCs w:val="24"/>
          <w:rtl w:val="0"/>
        </w:rPr>
        <w:t xml:space="preserve">LinkedIn Learning.</w:t>
      </w:r>
      <w:r w:rsidDel="00000000" w:rsidR="00000000" w:rsidRPr="00000000">
        <w:rPr>
          <w:rFonts w:ascii="Times New Roman" w:cs="Times New Roman" w:eastAsia="Times New Roman" w:hAnsi="Times New Roman"/>
          <w:sz w:val="24"/>
          <w:szCs w:val="24"/>
          <w:rtl w:val="0"/>
        </w:rPr>
        <w:t xml:space="preserve"> (Accessed 18 September 2025)</w:t>
      </w:r>
    </w:p>
    <w:p w:rsidR="00000000" w:rsidDel="00000000" w:rsidP="00000000" w:rsidRDefault="00000000" w:rsidRPr="00000000" w14:paraId="0000007D">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Reiners, B. (2023). Affinity bias: Definition, examples, and prevention. </w:t>
      </w:r>
      <w:r w:rsidDel="00000000" w:rsidR="00000000" w:rsidRPr="00000000">
        <w:rPr>
          <w:rFonts w:ascii="Times New Roman" w:cs="Times New Roman" w:eastAsia="Times New Roman" w:hAnsi="Times New Roman"/>
          <w:i w:val="1"/>
          <w:sz w:val="24"/>
          <w:szCs w:val="24"/>
          <w:rtl w:val="0"/>
        </w:rPr>
        <w:t xml:space="preserve">Built In.</w:t>
      </w:r>
      <w:hyperlink r:id="rId21">
        <w:r w:rsidDel="00000000" w:rsidR="00000000" w:rsidRPr="00000000">
          <w:rPr>
            <w:rFonts w:ascii="Times New Roman" w:cs="Times New Roman" w:eastAsia="Times New Roman" w:hAnsi="Times New Roman"/>
            <w:sz w:val="24"/>
            <w:szCs w:val="24"/>
            <w:rtl w:val="0"/>
          </w:rPr>
          <w:t xml:space="preserve"> </w:t>
        </w:r>
      </w:hyperlink>
      <w:hyperlink r:id="rId22">
        <w:r w:rsidDel="00000000" w:rsidR="00000000" w:rsidRPr="00000000">
          <w:rPr>
            <w:rFonts w:ascii="Times New Roman" w:cs="Times New Roman" w:eastAsia="Times New Roman" w:hAnsi="Times New Roman"/>
            <w:color w:val="1155cc"/>
            <w:sz w:val="24"/>
            <w:szCs w:val="24"/>
            <w:u w:val="single"/>
            <w:rtl w:val="0"/>
          </w:rPr>
          <w:t xml:space="preserve">https://builtin.com/diversity-inclusion/affinity-bias</w:t>
        </w:r>
      </w:hyperlink>
      <w:r w:rsidDel="00000000" w:rsidR="00000000" w:rsidRPr="00000000">
        <w:rPr>
          <w:rFonts w:ascii="Times New Roman" w:cs="Times New Roman" w:eastAsia="Times New Roman" w:hAnsi="Times New Roman"/>
          <w:sz w:val="24"/>
          <w:szCs w:val="24"/>
          <w:rtl w:val="0"/>
        </w:rPr>
        <w:t xml:space="preserve"> (Accessed 9 September 2025)</w:t>
      </w:r>
    </w:p>
    <w:p w:rsidR="00000000" w:rsidDel="00000000" w:rsidP="00000000" w:rsidRDefault="00000000" w:rsidRPr="00000000" w14:paraId="0000007E">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Schön, D. A. (1983). </w:t>
      </w:r>
      <w:r w:rsidDel="00000000" w:rsidR="00000000" w:rsidRPr="00000000">
        <w:rPr>
          <w:rFonts w:ascii="Times New Roman" w:cs="Times New Roman" w:eastAsia="Times New Roman" w:hAnsi="Times New Roman"/>
          <w:i w:val="1"/>
          <w:sz w:val="24"/>
          <w:szCs w:val="24"/>
          <w:rtl w:val="0"/>
        </w:rPr>
        <w:t xml:space="preserve">The reflective practitioner: How professionals think in action.</w:t>
      </w:r>
      <w:r w:rsidDel="00000000" w:rsidR="00000000" w:rsidRPr="00000000">
        <w:rPr>
          <w:rFonts w:ascii="Times New Roman" w:cs="Times New Roman" w:eastAsia="Times New Roman" w:hAnsi="Times New Roman"/>
          <w:sz w:val="24"/>
          <w:szCs w:val="24"/>
          <w:rtl w:val="0"/>
        </w:rPr>
        <w:t xml:space="preserve"> Basic Books.</w:t>
      </w:r>
    </w:p>
    <w:p w:rsidR="00000000" w:rsidDel="00000000" w:rsidP="00000000" w:rsidRDefault="00000000" w:rsidRPr="00000000" w14:paraId="0000007F">
      <w:pPr>
        <w:numPr>
          <w:ilvl w:val="0"/>
          <w:numId w:val="1"/>
        </w:numPr>
        <w:spacing w:after="0" w:afterAutospacing="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Sutton, R. (2019). </w:t>
      </w:r>
      <w:r w:rsidDel="00000000" w:rsidR="00000000" w:rsidRPr="00000000">
        <w:rPr>
          <w:rFonts w:ascii="Times New Roman" w:cs="Times New Roman" w:eastAsia="Times New Roman" w:hAnsi="Times New Roman"/>
          <w:i w:val="1"/>
          <w:sz w:val="24"/>
          <w:szCs w:val="24"/>
          <w:rtl w:val="0"/>
        </w:rPr>
        <w:t xml:space="preserve">The resilient leader.</w:t>
      </w:r>
      <w:r w:rsidDel="00000000" w:rsidR="00000000" w:rsidRPr="00000000">
        <w:rPr>
          <w:rFonts w:ascii="Times New Roman" w:cs="Times New Roman" w:eastAsia="Times New Roman" w:hAnsi="Times New Roman"/>
          <w:sz w:val="24"/>
          <w:szCs w:val="24"/>
          <w:rtl w:val="0"/>
        </w:rPr>
        <w:t xml:space="preserve"> Harper Business.</w:t>
      </w:r>
    </w:p>
    <w:p w:rsidR="00000000" w:rsidDel="00000000" w:rsidP="00000000" w:rsidRDefault="00000000" w:rsidRPr="00000000" w14:paraId="00000080">
      <w:pPr>
        <w:numPr>
          <w:ilvl w:val="0"/>
          <w:numId w:val="1"/>
        </w:numPr>
        <w:spacing w:after="240" w:before="0" w:beforeAutospacing="0" w:line="36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Tversky, A., &amp; Kahneman, D. (1981). The framing of decisions and the psychology of choice. </w:t>
      </w:r>
      <w:r w:rsidDel="00000000" w:rsidR="00000000" w:rsidRPr="00000000">
        <w:rPr>
          <w:rFonts w:ascii="Times New Roman" w:cs="Times New Roman" w:eastAsia="Times New Roman" w:hAnsi="Times New Roman"/>
          <w:i w:val="1"/>
          <w:sz w:val="24"/>
          <w:szCs w:val="24"/>
          <w:rtl w:val="0"/>
        </w:rPr>
        <w:t xml:space="preserve">Science, 211</w:t>
      </w:r>
      <w:r w:rsidDel="00000000" w:rsidR="00000000" w:rsidRPr="00000000">
        <w:rPr>
          <w:rFonts w:ascii="Times New Roman" w:cs="Times New Roman" w:eastAsia="Times New Roman" w:hAnsi="Times New Roman"/>
          <w:sz w:val="24"/>
          <w:szCs w:val="24"/>
          <w:rtl w:val="0"/>
        </w:rPr>
        <w:t xml:space="preserve">(4481), 453–458.</w:t>
      </w:r>
      <w:hyperlink r:id="rId23">
        <w:r w:rsidDel="00000000" w:rsidR="00000000" w:rsidRPr="00000000">
          <w:rPr>
            <w:rFonts w:ascii="Times New Roman" w:cs="Times New Roman" w:eastAsia="Times New Roman" w:hAnsi="Times New Roman"/>
            <w:sz w:val="24"/>
            <w:szCs w:val="24"/>
            <w:rtl w:val="0"/>
          </w:rPr>
          <w:t xml:space="preserve"> </w:t>
        </w:r>
      </w:hyperlink>
      <w:hyperlink r:id="rId24">
        <w:r w:rsidDel="00000000" w:rsidR="00000000" w:rsidRPr="00000000">
          <w:rPr>
            <w:rFonts w:ascii="Times New Roman" w:cs="Times New Roman" w:eastAsia="Times New Roman" w:hAnsi="Times New Roman"/>
            <w:color w:val="1155cc"/>
            <w:sz w:val="24"/>
            <w:szCs w:val="24"/>
            <w:u w:val="single"/>
            <w:rtl w:val="0"/>
          </w:rPr>
          <w:t xml:space="preserve">https://doi.org/10.1126/science.7455683</w:t>
        </w:r>
      </w:hyperlink>
      <w:r w:rsidDel="00000000" w:rsidR="00000000" w:rsidRPr="00000000">
        <w:rPr>
          <w:rtl w:val="0"/>
        </w:rPr>
      </w:r>
    </w:p>
    <w:p w:rsidR="00000000" w:rsidDel="00000000" w:rsidP="00000000" w:rsidRDefault="00000000" w:rsidRPr="00000000" w14:paraId="00000081">
      <w:pPr>
        <w:spacing w:after="240" w:before="240" w:line="360" w:lineRule="auto"/>
        <w:ind w:left="720" w:firstLine="0"/>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5465/amr.1995.9508080335" TargetMode="External"/><Relationship Id="rId11" Type="http://schemas.openxmlformats.org/officeDocument/2006/relationships/hyperlink" Target="https://doi.org/10.1007/s11948-014-9603-0" TargetMode="External"/><Relationship Id="rId22" Type="http://schemas.openxmlformats.org/officeDocument/2006/relationships/hyperlink" Target="https://builtin.com/diversity-inclusion/affinity-bias" TargetMode="External"/><Relationship Id="rId10" Type="http://schemas.openxmlformats.org/officeDocument/2006/relationships/hyperlink" Target="https://doi.org/10.2307/2666999" TargetMode="External"/><Relationship Id="rId21" Type="http://schemas.openxmlformats.org/officeDocument/2006/relationships/hyperlink" Target="https://builtin.com/diversity-inclusion/affinity-bias" TargetMode="External"/><Relationship Id="rId13" Type="http://schemas.openxmlformats.org/officeDocument/2006/relationships/hyperlink" Target="https://www.indeed.com/career-advice/career-development/self-management" TargetMode="External"/><Relationship Id="rId24" Type="http://schemas.openxmlformats.org/officeDocument/2006/relationships/hyperlink" Target="https://doi.org/10.1126/science.7455683" TargetMode="External"/><Relationship Id="rId12" Type="http://schemas.openxmlformats.org/officeDocument/2006/relationships/hyperlink" Target="https://doi.org/10.1007/s11948-014-9603-0" TargetMode="External"/><Relationship Id="rId23" Type="http://schemas.openxmlformats.org/officeDocument/2006/relationships/hyperlink" Target="https://doi.org/10.1126/science.745568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2307/2666999" TargetMode="External"/><Relationship Id="rId15" Type="http://schemas.openxmlformats.org/officeDocument/2006/relationships/hyperlink" Target="https://www.imperial.ac.uk/equality/resources/unconscious-bias" TargetMode="External"/><Relationship Id="rId14" Type="http://schemas.openxmlformats.org/officeDocument/2006/relationships/hyperlink" Target="https://www.indeed.com/career-advice/career-development/self-management" TargetMode="External"/><Relationship Id="rId17" Type="http://schemas.openxmlformats.org/officeDocument/2006/relationships/hyperlink" Target="https://doi.org/10.1207/S15327965PLI1401_01" TargetMode="External"/><Relationship Id="rId16" Type="http://schemas.openxmlformats.org/officeDocument/2006/relationships/hyperlink" Target="https://www.imperial.ac.uk/equality/resources/unconscious-bias" TargetMode="External"/><Relationship Id="rId5" Type="http://schemas.openxmlformats.org/officeDocument/2006/relationships/styles" Target="styles.xml"/><Relationship Id="rId19" Type="http://schemas.openxmlformats.org/officeDocument/2006/relationships/hyperlink" Target="https://doi.org/10.5465/amr.1995.9508080335" TargetMode="External"/><Relationship Id="rId6" Type="http://schemas.openxmlformats.org/officeDocument/2006/relationships/image" Target="media/image1.png"/><Relationship Id="rId18" Type="http://schemas.openxmlformats.org/officeDocument/2006/relationships/hyperlink" Target="https://doi.org/10.1207/S15327965PLI1401_01" TargetMode="External"/><Relationship Id="rId7" Type="http://schemas.openxmlformats.org/officeDocument/2006/relationships/hyperlink" Target="https://doi.org/10.1016/j.leaqua.2005.03.001" TargetMode="External"/><Relationship Id="rId8" Type="http://schemas.openxmlformats.org/officeDocument/2006/relationships/hyperlink" Target="https://doi.org/10.1016/j.leaqua.2005.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