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i/>
          <w:color w:val="000000"/>
          <w:sz w:val="32"/>
          <w:szCs w:val="32"/>
          <w:u w:val="single"/>
          <w:lang w:eastAsia="en-GB"/>
        </w:rPr>
      </w:pPr>
      <w:r w:rsidRPr="00303244">
        <w:rPr>
          <w:rFonts w:ascii="Arial" w:eastAsia="Times New Roman" w:hAnsi="Arial" w:cs="Arial"/>
          <w:i/>
          <w:color w:val="000000"/>
          <w:sz w:val="32"/>
          <w:szCs w:val="32"/>
          <w:u w:val="single"/>
          <w:lang w:eastAsia="en-GB"/>
        </w:rPr>
        <w:t>LCLM5002 Individual Report Contemporary HR Challenges and Solutions at Tesco PLC</w:t>
      </w:r>
      <w:r w:rsidR="00B113C6">
        <w:rPr>
          <w:rFonts w:ascii="Arial" w:eastAsia="Times New Roman" w:hAnsi="Arial" w:cs="Arial"/>
          <w:i/>
          <w:color w:val="000000"/>
          <w:sz w:val="32"/>
          <w:szCs w:val="32"/>
          <w:u w:val="single"/>
          <w:lang w:eastAsia="en-GB"/>
        </w:rPr>
        <w:t xml:space="preserve">   </w:t>
      </w:r>
      <w:r w:rsidR="00B113C6" w:rsidRPr="00B113C6">
        <w:rPr>
          <w:rFonts w:ascii="Arial" w:eastAsia="Times New Roman" w:hAnsi="Arial" w:cs="Arial"/>
          <w:i/>
          <w:color w:val="000000"/>
          <w:sz w:val="32"/>
          <w:szCs w:val="32"/>
          <w:u w:val="single"/>
          <w:lang w:eastAsia="en-GB"/>
        </w:rPr>
        <w:drawing>
          <wp:inline distT="0" distB="0" distL="0" distR="0" wp14:anchorId="79219279" wp14:editId="71F96A0A">
            <wp:extent cx="5683250" cy="18034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83250" cy="1803400"/>
                    </a:xfrm>
                    <a:prstGeom prst="rect">
                      <a:avLst/>
                    </a:prstGeom>
                  </pic:spPr>
                </pic:pic>
              </a:graphicData>
            </a:graphic>
          </wp:inline>
        </w:drawing>
      </w:r>
    </w:p>
    <w:p w:rsidR="00EA4AC8" w:rsidRDefault="00EA4AC8" w:rsidP="006B1EFA">
      <w:pPr>
        <w:spacing w:after="0" w:line="360" w:lineRule="auto"/>
        <w:rPr>
          <w:rFonts w:ascii="Arial" w:eastAsia="Times New Roman" w:hAnsi="Arial" w:cs="Arial"/>
          <w:color w:val="000000"/>
          <w:sz w:val="32"/>
          <w:szCs w:val="32"/>
          <w:lang w:eastAsia="en-GB"/>
        </w:rPr>
      </w:pPr>
    </w:p>
    <w:p w:rsidR="00303244" w:rsidRPr="00303244" w:rsidRDefault="00303244" w:rsidP="006B1EFA">
      <w:pPr>
        <w:spacing w:after="0" w:line="360" w:lineRule="auto"/>
        <w:rPr>
          <w:rFonts w:ascii="Arial" w:eastAsia="Times New Roman" w:hAnsi="Arial" w:cs="Arial"/>
          <w:color w:val="000000"/>
          <w:sz w:val="32"/>
          <w:szCs w:val="32"/>
          <w:lang w:eastAsia="en-GB"/>
        </w:rPr>
      </w:pPr>
      <w:r w:rsidRPr="00EA4AC8">
        <w:rPr>
          <w:rFonts w:ascii="Arial" w:eastAsia="Times New Roman" w:hAnsi="Arial" w:cs="Arial"/>
          <w:color w:val="000000"/>
          <w:sz w:val="32"/>
          <w:szCs w:val="32"/>
          <w:lang w:eastAsia="en-GB"/>
        </w:rPr>
        <w:t>Student Name: [</w:t>
      </w:r>
      <w:proofErr w:type="spellStart"/>
      <w:r w:rsidRPr="00EA4AC8">
        <w:rPr>
          <w:rFonts w:ascii="Arial" w:eastAsia="Times New Roman" w:hAnsi="Arial" w:cs="Arial"/>
          <w:color w:val="000000"/>
          <w:sz w:val="32"/>
          <w:szCs w:val="32"/>
          <w:lang w:eastAsia="en-GB"/>
        </w:rPr>
        <w:t>Oyelami</w:t>
      </w:r>
      <w:proofErr w:type="spellEnd"/>
      <w:r w:rsidRPr="00EA4AC8">
        <w:rPr>
          <w:rFonts w:ascii="Arial" w:eastAsia="Times New Roman" w:hAnsi="Arial" w:cs="Arial"/>
          <w:color w:val="000000"/>
          <w:sz w:val="32"/>
          <w:szCs w:val="32"/>
          <w:lang w:eastAsia="en-GB"/>
        </w:rPr>
        <w:t xml:space="preserve"> </w:t>
      </w:r>
      <w:proofErr w:type="spellStart"/>
      <w:r w:rsidRPr="00EA4AC8">
        <w:rPr>
          <w:rFonts w:ascii="Arial" w:eastAsia="Times New Roman" w:hAnsi="Arial" w:cs="Arial"/>
          <w:color w:val="000000"/>
          <w:sz w:val="32"/>
          <w:szCs w:val="32"/>
          <w:lang w:eastAsia="en-GB"/>
        </w:rPr>
        <w:t>Sikiru</w:t>
      </w:r>
      <w:proofErr w:type="spellEnd"/>
      <w:r w:rsidRPr="00EA4AC8">
        <w:rPr>
          <w:rFonts w:ascii="Arial" w:eastAsia="Times New Roman" w:hAnsi="Arial" w:cs="Arial"/>
          <w:color w:val="000000"/>
          <w:sz w:val="32"/>
          <w:szCs w:val="32"/>
          <w:lang w:eastAsia="en-GB"/>
        </w:rPr>
        <w:t xml:space="preserve"> </w:t>
      </w:r>
      <w:proofErr w:type="spellStart"/>
      <w:r w:rsidRPr="00EA4AC8">
        <w:rPr>
          <w:rFonts w:ascii="Arial" w:eastAsia="Times New Roman" w:hAnsi="Arial" w:cs="Arial"/>
          <w:color w:val="000000"/>
          <w:sz w:val="32"/>
          <w:szCs w:val="32"/>
          <w:lang w:eastAsia="en-GB"/>
        </w:rPr>
        <w:t>Aderemi</w:t>
      </w:r>
      <w:proofErr w:type="spellEnd"/>
      <w:r w:rsidRPr="00303244">
        <w:rPr>
          <w:rFonts w:ascii="Arial" w:eastAsia="Times New Roman" w:hAnsi="Arial" w:cs="Arial"/>
          <w:color w:val="000000"/>
          <w:sz w:val="32"/>
          <w:szCs w:val="32"/>
          <w:lang w:eastAsia="en-GB"/>
        </w:rPr>
        <w:t>]</w:t>
      </w:r>
    </w:p>
    <w:p w:rsidR="00303244" w:rsidRPr="00303244" w:rsidRDefault="00303244" w:rsidP="006B1EFA">
      <w:pPr>
        <w:spacing w:after="0" w:line="360" w:lineRule="auto"/>
        <w:rPr>
          <w:rFonts w:ascii="Arial" w:eastAsia="Times New Roman" w:hAnsi="Arial" w:cs="Arial"/>
          <w:color w:val="000000"/>
          <w:sz w:val="32"/>
          <w:szCs w:val="32"/>
          <w:lang w:eastAsia="en-GB"/>
        </w:rPr>
      </w:pPr>
      <w:r w:rsidRPr="00EA4AC8">
        <w:rPr>
          <w:rFonts w:ascii="Arial" w:eastAsia="Times New Roman" w:hAnsi="Arial" w:cs="Arial"/>
          <w:color w:val="000000"/>
          <w:sz w:val="32"/>
          <w:szCs w:val="32"/>
          <w:lang w:eastAsia="en-GB"/>
        </w:rPr>
        <w:t>Student Number:</w:t>
      </w:r>
      <w:r w:rsidR="00EA4AC8">
        <w:rPr>
          <w:rFonts w:ascii="Arial" w:eastAsia="Times New Roman" w:hAnsi="Arial" w:cs="Arial"/>
          <w:color w:val="000000"/>
          <w:sz w:val="32"/>
          <w:szCs w:val="32"/>
          <w:lang w:eastAsia="en-GB"/>
        </w:rPr>
        <w:t xml:space="preserve"> </w:t>
      </w:r>
      <w:r w:rsidRPr="00EA4AC8">
        <w:rPr>
          <w:rFonts w:ascii="Arial" w:eastAsia="Times New Roman" w:hAnsi="Arial" w:cs="Arial"/>
          <w:color w:val="000000"/>
          <w:sz w:val="32"/>
          <w:szCs w:val="32"/>
          <w:lang w:eastAsia="en-GB"/>
        </w:rPr>
        <w:t>[2430250</w:t>
      </w:r>
      <w:r w:rsidRPr="00303244">
        <w:rPr>
          <w:rFonts w:ascii="Arial" w:eastAsia="Times New Roman" w:hAnsi="Arial" w:cs="Arial"/>
          <w:color w:val="000000"/>
          <w:sz w:val="32"/>
          <w:szCs w:val="32"/>
          <w:lang w:eastAsia="en-GB"/>
        </w:rPr>
        <w:t>]</w:t>
      </w:r>
    </w:p>
    <w:p w:rsidR="00303244" w:rsidRPr="00303244" w:rsidRDefault="00303244" w:rsidP="006B1EFA">
      <w:pPr>
        <w:spacing w:after="0" w:line="360" w:lineRule="auto"/>
        <w:rPr>
          <w:rFonts w:ascii="Arial" w:eastAsia="Times New Roman" w:hAnsi="Arial" w:cs="Arial"/>
          <w:color w:val="000000"/>
          <w:sz w:val="32"/>
          <w:szCs w:val="32"/>
          <w:lang w:eastAsia="en-GB"/>
        </w:rPr>
      </w:pPr>
      <w:r w:rsidRPr="00EA4AC8">
        <w:rPr>
          <w:rFonts w:ascii="Arial" w:eastAsia="Times New Roman" w:hAnsi="Arial" w:cs="Arial"/>
          <w:color w:val="000000"/>
          <w:sz w:val="32"/>
          <w:szCs w:val="32"/>
          <w:lang w:eastAsia="en-GB"/>
        </w:rPr>
        <w:t>Module Code:</w:t>
      </w:r>
      <w:r w:rsidRPr="00303244">
        <w:rPr>
          <w:rFonts w:ascii="Arial" w:eastAsia="Times New Roman" w:hAnsi="Arial" w:cs="Arial"/>
          <w:color w:val="000000"/>
          <w:sz w:val="32"/>
          <w:szCs w:val="32"/>
          <w:lang w:eastAsia="en-GB"/>
        </w:rPr>
        <w:t xml:space="preserve"> LCLM5002</w:t>
      </w:r>
    </w:p>
    <w:p w:rsidR="00303244" w:rsidRPr="00303244" w:rsidRDefault="00303244" w:rsidP="006B1EFA">
      <w:pPr>
        <w:spacing w:after="0" w:line="360" w:lineRule="auto"/>
        <w:rPr>
          <w:rFonts w:ascii="Arial" w:eastAsia="Times New Roman" w:hAnsi="Arial" w:cs="Arial"/>
          <w:color w:val="000000"/>
          <w:sz w:val="32"/>
          <w:szCs w:val="32"/>
          <w:lang w:eastAsia="en-GB"/>
        </w:rPr>
      </w:pPr>
      <w:r w:rsidRPr="00EA4AC8">
        <w:rPr>
          <w:rFonts w:ascii="Arial" w:eastAsia="Times New Roman" w:hAnsi="Arial" w:cs="Arial"/>
          <w:color w:val="000000"/>
          <w:sz w:val="32"/>
          <w:szCs w:val="32"/>
          <w:lang w:eastAsia="en-GB"/>
        </w:rPr>
        <w:t>Module Title:</w:t>
      </w:r>
      <w:r w:rsidRPr="00303244">
        <w:rPr>
          <w:rFonts w:ascii="Arial" w:eastAsia="Times New Roman" w:hAnsi="Arial" w:cs="Arial"/>
          <w:color w:val="000000"/>
          <w:sz w:val="32"/>
          <w:szCs w:val="32"/>
          <w:lang w:eastAsia="en-GB"/>
        </w:rPr>
        <w:t xml:space="preserve"> Developing and Managing Individuals and Teams</w:t>
      </w:r>
    </w:p>
    <w:p w:rsidR="00303244" w:rsidRPr="00EA4AC8" w:rsidRDefault="00303244" w:rsidP="006B1EFA">
      <w:pPr>
        <w:spacing w:line="360" w:lineRule="auto"/>
        <w:rPr>
          <w:color w:val="FF0000"/>
          <w:sz w:val="32"/>
          <w:szCs w:val="32"/>
        </w:rPr>
      </w:pPr>
      <w:r w:rsidRPr="00EA4AC8">
        <w:rPr>
          <w:rFonts w:ascii="Arial" w:eastAsia="Times New Roman" w:hAnsi="Arial" w:cs="Arial"/>
          <w:color w:val="000000"/>
          <w:sz w:val="32"/>
          <w:szCs w:val="32"/>
          <w:lang w:eastAsia="en-GB"/>
        </w:rPr>
        <w:t xml:space="preserve">Lecturer: </w:t>
      </w:r>
      <w:r w:rsidRPr="00EA4AC8">
        <w:rPr>
          <w:rFonts w:ascii="Arial" w:eastAsiaTheme="majorEastAsia" w:hAnsi="Arial" w:cs="Arial"/>
          <w:color w:val="000000" w:themeColor="text1"/>
          <w:kern w:val="24"/>
          <w:sz w:val="32"/>
          <w:szCs w:val="32"/>
          <w:lang w:val="en-US"/>
        </w:rPr>
        <w:t xml:space="preserve">Dr. </w:t>
      </w:r>
      <w:proofErr w:type="spellStart"/>
      <w:r w:rsidRPr="00EA4AC8">
        <w:rPr>
          <w:rFonts w:ascii="Arial" w:eastAsiaTheme="majorEastAsia" w:hAnsi="Arial" w:cs="Arial"/>
          <w:color w:val="000000" w:themeColor="text1"/>
          <w:kern w:val="24"/>
          <w:sz w:val="32"/>
          <w:szCs w:val="32"/>
          <w:lang w:val="en-US"/>
        </w:rPr>
        <w:t>Faizu</w:t>
      </w:r>
      <w:proofErr w:type="spellEnd"/>
      <w:r w:rsidRPr="00EA4AC8">
        <w:rPr>
          <w:rFonts w:ascii="Arial" w:eastAsiaTheme="majorEastAsia" w:hAnsi="Arial" w:cs="Arial"/>
          <w:color w:val="000000" w:themeColor="text1"/>
          <w:kern w:val="24"/>
          <w:sz w:val="32"/>
          <w:szCs w:val="32"/>
          <w:lang w:val="en-US"/>
        </w:rPr>
        <w:t xml:space="preserve"> Edu.</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Default="00303244" w:rsidP="006B1EFA">
      <w:pPr>
        <w:spacing w:after="0" w:line="360" w:lineRule="auto"/>
        <w:rPr>
          <w:rFonts w:ascii="Arial" w:eastAsia="Times New Roman" w:hAnsi="Arial" w:cs="Arial"/>
          <w:i/>
          <w:color w:val="000000"/>
          <w:sz w:val="32"/>
          <w:szCs w:val="32"/>
          <w:u w:val="single"/>
          <w:lang w:eastAsia="en-GB"/>
        </w:rPr>
      </w:pPr>
      <w:r w:rsidRPr="00303244">
        <w:rPr>
          <w:rFonts w:ascii="Arial" w:eastAsia="Times New Roman" w:hAnsi="Arial" w:cs="Arial"/>
          <w:i/>
          <w:color w:val="000000"/>
          <w:sz w:val="32"/>
          <w:szCs w:val="32"/>
          <w:u w:val="single"/>
          <w:lang w:eastAsia="en-GB"/>
        </w:rPr>
        <w:t xml:space="preserve"> Explanation of Key Factors</w:t>
      </w:r>
    </w:p>
    <w:p w:rsidR="00303244" w:rsidRPr="00303244" w:rsidRDefault="00303244" w:rsidP="006B1EFA">
      <w:pPr>
        <w:spacing w:after="0" w:line="360" w:lineRule="auto"/>
        <w:rPr>
          <w:rFonts w:ascii="Arial" w:eastAsia="Times New Roman" w:hAnsi="Arial" w:cs="Arial"/>
          <w:i/>
          <w:color w:val="000000"/>
          <w:sz w:val="32"/>
          <w:szCs w:val="32"/>
          <w:u w:val="single"/>
          <w:lang w:eastAsia="en-GB"/>
        </w:rPr>
      </w:pPr>
      <w:r w:rsidRPr="00303244">
        <w:rPr>
          <w:rFonts w:ascii="Arial" w:eastAsia="Times New Roman" w:hAnsi="Arial" w:cs="Arial"/>
          <w:i/>
          <w:color w:val="000000"/>
          <w:sz w:val="32"/>
          <w:szCs w:val="32"/>
          <w:u w:val="single"/>
          <w:lang w:eastAsia="en-GB"/>
        </w:rPr>
        <w:t xml:space="preserve"> </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xml:space="preserve">Tesco PLC is the UK’s largest food retailer, employing over 340,000 people across 4,700 domestic and international locations (Tesco PLC, 2025). Its operational performance, employee engagement, and long-term sustainability are currently shaped by three interconnected HR challenges: adapting to rapid technological </w:t>
      </w:r>
      <w:r w:rsidRPr="00303244">
        <w:rPr>
          <w:rFonts w:ascii="Arial" w:eastAsia="Times New Roman" w:hAnsi="Arial" w:cs="Arial"/>
          <w:color w:val="000000"/>
          <w:sz w:val="24"/>
          <w:szCs w:val="24"/>
          <w:lang w:eastAsia="en-GB"/>
        </w:rPr>
        <w:lastRenderedPageBreak/>
        <w:t>change, attracting and retaining talent in a competitive labour market, and advancing diversity, equity, and inclusion (DEI) at all levels.</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u w:val="single"/>
          <w:lang w:eastAsia="en-GB"/>
        </w:rPr>
      </w:pPr>
      <w:r w:rsidRPr="00303244">
        <w:rPr>
          <w:rFonts w:ascii="Arial" w:eastAsia="Times New Roman" w:hAnsi="Arial" w:cs="Arial"/>
          <w:color w:val="000000"/>
          <w:sz w:val="24"/>
          <w:szCs w:val="24"/>
          <w:u w:val="single"/>
          <w:lang w:eastAsia="en-GB"/>
        </w:rPr>
        <w:t>Adapting to Technological Advancements</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Digital transformation, automation, and artificial intelligence (AI) have reshaped retail operations, but present significant tensions for Tesco. While technologies such as AI-driven stock management, self-checkout systems, and cloud-based workforce planning improve efficiency, they also create skills gaps and workforce anxiety. Internal surveys show only 42% of frontline staff feel confident using new digital tools, with widespread concern that automation will replace roles rather than enhance them (CIPD, 2024). This uncertainty reduces engagement, slows adoption, and increases resistance to change. Furthermore, inconsistent digital capability across regions and teams means centralised systems do not always align with local operational needs, creating inefficiency and frustration (CIPD, 2025a). Guest (2023) argues that organisations failing to align technology investment with workforce development risk both wasted capital and damaged trust, ultimately undermining service quality and competitive advantage.</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u w:val="single"/>
          <w:lang w:eastAsia="en-GB"/>
        </w:rPr>
      </w:pPr>
      <w:r w:rsidRPr="00303244">
        <w:rPr>
          <w:rFonts w:ascii="Arial" w:eastAsia="Times New Roman" w:hAnsi="Arial" w:cs="Arial"/>
          <w:color w:val="000000"/>
          <w:sz w:val="24"/>
          <w:szCs w:val="24"/>
          <w:u w:val="single"/>
          <w:lang w:eastAsia="en-GB"/>
        </w:rPr>
        <w:t>Talent Acquisition and Retention</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The UK’s tight labour market and rising competition from e-commerce, hospitality, and logistics sectors have pushed Tesco’s annual frontline turnover to 28%, costing an estimated £320 million annually in recruitment, training, and lost productivity (ONS, 2025). Key pressures include difficulty attracting specialist digital and supply chain talent, limited flexibility in scheduling for entry-level roles, and a perceived gap between advertised career progression and real opportunity (McKinsey &amp; Company, 2024). High turnover disrupts team cohesion, reduces service consistency, and weakens organisational memory, while poor retention of store managers creates succession risks and slows strategic delivery (CIPD, 2025b). For long-term sustainability, Tesco must move beyond transactional recruitment to build an employee value proposition that meets evolving expectations of flexibility, purpose, and development (Deloitte, 2024a).</w:t>
      </w:r>
    </w:p>
    <w:p w:rsidR="00230708" w:rsidRDefault="00230708" w:rsidP="006B1EFA">
      <w:pPr>
        <w:spacing w:after="0" w:line="360" w:lineRule="auto"/>
        <w:rPr>
          <w:rFonts w:ascii="Arial" w:eastAsia="Times New Roman" w:hAnsi="Arial" w:cs="Arial"/>
          <w:color w:val="000000"/>
          <w:sz w:val="24"/>
          <w:szCs w:val="24"/>
          <w:lang w:eastAsia="en-GB"/>
        </w:rPr>
      </w:pPr>
    </w:p>
    <w:p w:rsidR="00230708" w:rsidRDefault="00230708" w:rsidP="006B1EFA">
      <w:pPr>
        <w:spacing w:after="0" w:line="360" w:lineRule="auto"/>
        <w:rPr>
          <w:rFonts w:ascii="Arial" w:eastAsia="Times New Roman" w:hAnsi="Arial" w:cs="Arial"/>
          <w:color w:val="000000"/>
          <w:sz w:val="24"/>
          <w:szCs w:val="24"/>
          <w:lang w:eastAsia="en-GB"/>
        </w:rPr>
      </w:pPr>
    </w:p>
    <w:p w:rsidR="00230708" w:rsidRDefault="00230708" w:rsidP="006B1EFA">
      <w:pPr>
        <w:spacing w:after="0" w:line="360" w:lineRule="auto"/>
        <w:rPr>
          <w:rFonts w:ascii="Arial" w:eastAsia="Times New Roman" w:hAnsi="Arial" w:cs="Arial"/>
          <w:color w:val="000000"/>
          <w:sz w:val="24"/>
          <w:szCs w:val="24"/>
          <w:lang w:eastAsia="en-GB"/>
        </w:rPr>
      </w:pPr>
    </w:p>
    <w:p w:rsidR="00230708" w:rsidRDefault="00230708" w:rsidP="00230708">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u w:val="single"/>
          <w:lang w:eastAsia="en-GB"/>
        </w:rPr>
        <w:lastRenderedPageBreak/>
        <w:t>Diversity, Equity, and Inclusion (DEI)</w:t>
      </w:r>
    </w:p>
    <w:p w:rsidR="00230708" w:rsidRDefault="00230708"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xml:space="preserve">Although Tesco has published DEI targets, significant gaps remain: just 12% of senior leaders identify as Black, Asian, or Minority Ethnic (BAME), disabled employees report 17% lower job satisfaction than the workforce average, and the </w:t>
      </w:r>
      <w:proofErr w:type="gramStart"/>
      <w:r w:rsidRPr="00303244">
        <w:rPr>
          <w:rFonts w:ascii="Arial" w:eastAsia="Times New Roman" w:hAnsi="Arial" w:cs="Arial"/>
          <w:color w:val="000000"/>
          <w:sz w:val="24"/>
          <w:szCs w:val="24"/>
          <w:lang w:eastAsia="en-GB"/>
        </w:rPr>
        <w:t>gender</w:t>
      </w:r>
      <w:proofErr w:type="gramEnd"/>
      <w:r w:rsidRPr="00303244">
        <w:rPr>
          <w:rFonts w:ascii="Arial" w:eastAsia="Times New Roman" w:hAnsi="Arial" w:cs="Arial"/>
          <w:color w:val="000000"/>
          <w:sz w:val="24"/>
          <w:szCs w:val="24"/>
          <w:lang w:eastAsia="en-GB"/>
        </w:rPr>
        <w:t xml:space="preserve"> pay gap for full-time staff stands at 10.6% (Tesco PLC, 2025). Part-time roles – disproportionately held by women – also show limited progression pathways. Research consistently links inclusion to performance: McKinsey &amp; Company (2024) found inclusive teams are 25% more likely to outperform less diverse peers, while perceived unfairness reduces discretionary effort by up to 30%. For Tesco, these gaps also risk reputational harm, regulatory scrutiny, and disconnection from its diverse UK customer base, threatening its social licence to operate (</w:t>
      </w:r>
      <w:proofErr w:type="spellStart"/>
      <w:r w:rsidRPr="00303244">
        <w:rPr>
          <w:rFonts w:ascii="Arial" w:eastAsia="Times New Roman" w:hAnsi="Arial" w:cs="Arial"/>
          <w:color w:val="000000"/>
          <w:sz w:val="24"/>
          <w:szCs w:val="24"/>
          <w:lang w:eastAsia="en-GB"/>
        </w:rPr>
        <w:t>Bohnet</w:t>
      </w:r>
      <w:proofErr w:type="spellEnd"/>
      <w:r w:rsidRPr="00303244">
        <w:rPr>
          <w:rFonts w:ascii="Arial" w:eastAsia="Times New Roman" w:hAnsi="Arial" w:cs="Arial"/>
          <w:color w:val="000000"/>
          <w:sz w:val="24"/>
          <w:szCs w:val="24"/>
          <w:lang w:eastAsia="en-GB"/>
        </w:rPr>
        <w:t>, 2023).</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These three factors are mutually reinforcing: outdated technology limits flexible working options and worsens retention; narrow recruitment pools restrict the diversity of perspectives used to design inclusive policies; and high turnover reduces capacity to deliver change. Addressing them is therefore critical to sustainable organisational performance.</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Default="00303244" w:rsidP="006B1EFA">
      <w:pPr>
        <w:spacing w:after="0" w:line="360" w:lineRule="auto"/>
        <w:rPr>
          <w:rFonts w:ascii="Arial" w:eastAsia="Times New Roman" w:hAnsi="Arial" w:cs="Arial"/>
          <w:b/>
          <w:i/>
          <w:color w:val="000000"/>
          <w:sz w:val="32"/>
          <w:szCs w:val="32"/>
          <w:u w:val="single"/>
          <w:lang w:eastAsia="en-GB"/>
        </w:rPr>
      </w:pPr>
      <w:r>
        <w:rPr>
          <w:rFonts w:ascii="Arial" w:eastAsia="Times New Roman" w:hAnsi="Arial" w:cs="Arial"/>
          <w:color w:val="000000"/>
          <w:sz w:val="24"/>
          <w:szCs w:val="24"/>
          <w:lang w:eastAsia="en-GB"/>
        </w:rPr>
        <w:t xml:space="preserve"> </w:t>
      </w:r>
      <w:r w:rsidRPr="00303244">
        <w:rPr>
          <w:rFonts w:ascii="Arial" w:eastAsia="Times New Roman" w:hAnsi="Arial" w:cs="Arial"/>
          <w:color w:val="000000"/>
          <w:sz w:val="24"/>
          <w:szCs w:val="24"/>
          <w:lang w:eastAsia="en-GB"/>
        </w:rPr>
        <w:t xml:space="preserve"> </w:t>
      </w:r>
      <w:r w:rsidRPr="00303244">
        <w:rPr>
          <w:rFonts w:ascii="Arial" w:eastAsia="Times New Roman" w:hAnsi="Arial" w:cs="Arial"/>
          <w:b/>
          <w:i/>
          <w:color w:val="000000"/>
          <w:sz w:val="32"/>
          <w:szCs w:val="32"/>
          <w:u w:val="single"/>
          <w:lang w:eastAsia="en-GB"/>
        </w:rPr>
        <w:t>Evaluation of Contemporary HR Practices</w:t>
      </w:r>
    </w:p>
    <w:p w:rsidR="00303244" w:rsidRPr="00303244" w:rsidRDefault="00303244" w:rsidP="006B1EFA">
      <w:pPr>
        <w:spacing w:after="0" w:line="360" w:lineRule="auto"/>
        <w:rPr>
          <w:rFonts w:ascii="Arial" w:eastAsia="Times New Roman" w:hAnsi="Arial" w:cs="Arial"/>
          <w:b/>
          <w:i/>
          <w:color w:val="000000"/>
          <w:sz w:val="32"/>
          <w:szCs w:val="32"/>
          <w:u w:val="single"/>
          <w:lang w:eastAsia="en-GB"/>
        </w:rPr>
      </w:pPr>
      <w:r w:rsidRPr="00303244">
        <w:rPr>
          <w:rFonts w:ascii="Arial" w:eastAsia="Times New Roman" w:hAnsi="Arial" w:cs="Arial"/>
          <w:b/>
          <w:i/>
          <w:color w:val="000000"/>
          <w:sz w:val="32"/>
          <w:szCs w:val="32"/>
          <w:u w:val="single"/>
          <w:lang w:eastAsia="en-GB"/>
        </w:rPr>
        <w:t xml:space="preserve"> </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This section evaluates five contemporary HR practices, assessing their effectiveness, strengths, and limitations for addressing Tesco’s specific challenges.</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EA4AC8" w:rsidRDefault="00303244" w:rsidP="006B1EFA">
      <w:pPr>
        <w:spacing w:after="0" w:line="360" w:lineRule="auto"/>
        <w:rPr>
          <w:rFonts w:ascii="Arial" w:eastAsia="Times New Roman" w:hAnsi="Arial" w:cs="Arial"/>
          <w:b/>
          <w:color w:val="000000"/>
          <w:sz w:val="28"/>
          <w:szCs w:val="28"/>
          <w:u w:val="single"/>
          <w:lang w:eastAsia="en-GB"/>
        </w:rPr>
      </w:pPr>
      <w:r w:rsidRPr="00303244">
        <w:rPr>
          <w:rFonts w:ascii="Arial" w:eastAsia="Times New Roman" w:hAnsi="Arial" w:cs="Arial"/>
          <w:b/>
          <w:color w:val="000000"/>
          <w:sz w:val="28"/>
          <w:szCs w:val="28"/>
          <w:u w:val="single"/>
          <w:lang w:eastAsia="en-GB"/>
        </w:rPr>
        <w:t>Digital HR Systems and Workforce Analytics</w:t>
      </w:r>
    </w:p>
    <w:p w:rsidR="00303244" w:rsidRPr="00303244" w:rsidRDefault="00303244" w:rsidP="006B1EFA">
      <w:pPr>
        <w:spacing w:after="0" w:line="360" w:lineRule="auto"/>
        <w:rPr>
          <w:rFonts w:ascii="Arial" w:eastAsia="Times New Roman" w:hAnsi="Arial" w:cs="Arial"/>
          <w:b/>
          <w:color w:val="000000"/>
          <w:sz w:val="24"/>
          <w:szCs w:val="24"/>
          <w:u w:val="single"/>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xml:space="preserve">Integrated cloud platforms such as Workday and predictive people analytics can standardise scheduling, identify skills gaps, and forecast turnover risks, enabling more targeted resourcing and upskilling. Deloitte (2024b) found organisations using workforce analytics reduce voluntary turnover by 18% and fill vacancies 22% faster. For Tesco, this would help align digital investment with workforce needs and reduce </w:t>
      </w:r>
      <w:r w:rsidRPr="00303244">
        <w:rPr>
          <w:rFonts w:ascii="Arial" w:eastAsia="Times New Roman" w:hAnsi="Arial" w:cs="Arial"/>
          <w:color w:val="000000"/>
          <w:sz w:val="24"/>
          <w:szCs w:val="24"/>
          <w:lang w:eastAsia="en-GB"/>
        </w:rPr>
        <w:lastRenderedPageBreak/>
        <w:t>anxiety through transparent communication of role changes. However, implementation costs run into millions, and algorithmic systems carry risks of bias – for example, penalising staff with caring responsibilities via automated attendance scoring (O’Neil, 2023). Success also depends on consistent data quality across thousands of locations, which remains a known challenge for the retailer (CIPD, 2025a).</w:t>
      </w:r>
    </w:p>
    <w:p w:rsidR="00303244" w:rsidRPr="00303244" w:rsidRDefault="00303244" w:rsidP="006B1EFA">
      <w:pPr>
        <w:spacing w:after="0" w:line="360" w:lineRule="auto"/>
        <w:rPr>
          <w:rFonts w:ascii="Arial" w:eastAsia="Times New Roman" w:hAnsi="Arial" w:cs="Arial"/>
          <w:color w:val="000000"/>
          <w:sz w:val="28"/>
          <w:szCs w:val="28"/>
          <w:lang w:eastAsia="en-GB"/>
        </w:rPr>
      </w:pPr>
    </w:p>
    <w:p w:rsidR="00303244" w:rsidRPr="00EA4AC8" w:rsidRDefault="00303244" w:rsidP="006B1EFA">
      <w:pPr>
        <w:spacing w:after="0" w:line="360" w:lineRule="auto"/>
        <w:rPr>
          <w:rFonts w:ascii="Arial" w:eastAsia="Times New Roman" w:hAnsi="Arial" w:cs="Arial"/>
          <w:b/>
          <w:i/>
          <w:color w:val="000000"/>
          <w:sz w:val="28"/>
          <w:szCs w:val="28"/>
          <w:u w:val="single"/>
          <w:lang w:eastAsia="en-GB"/>
        </w:rPr>
      </w:pPr>
      <w:r w:rsidRPr="00303244">
        <w:rPr>
          <w:rFonts w:ascii="Arial" w:eastAsia="Times New Roman" w:hAnsi="Arial" w:cs="Arial"/>
          <w:b/>
          <w:i/>
          <w:color w:val="000000"/>
          <w:sz w:val="28"/>
          <w:szCs w:val="28"/>
          <w:u w:val="single"/>
          <w:lang w:eastAsia="en-GB"/>
        </w:rPr>
        <w:t>Strategic Workforce Planning and Employer Branding</w:t>
      </w:r>
    </w:p>
    <w:p w:rsidR="00303244" w:rsidRPr="00303244" w:rsidRDefault="00303244" w:rsidP="006B1EFA">
      <w:pPr>
        <w:spacing w:after="0" w:line="360" w:lineRule="auto"/>
        <w:rPr>
          <w:rFonts w:ascii="Arial" w:eastAsia="Times New Roman" w:hAnsi="Arial" w:cs="Arial"/>
          <w:b/>
          <w:i/>
          <w:color w:val="000000"/>
          <w:sz w:val="24"/>
          <w:szCs w:val="24"/>
          <w:u w:val="single"/>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Aligning recruitment with long-term skills requirements and strengthening employer branding helps attract both frontline and specialist talent. Tesco’s 2024 “A Place to Get On” campaign increased graduate applications by 18% and improved perceptions of career progression (Tesco PLC, 2025). Targeted apprenticeships in data analytics and retail technology also build capability internally. Limitations include slow impact – branding typically takes 2–3 years to embed – and the risk of over-promising: if advertised flexibility does not match store-level reality, trust erodes further (Sisson, 2023). The practice also does not resolve immediate retention pressures from poor scheduling or reward.</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EA4AC8" w:rsidRDefault="00303244" w:rsidP="006B1EFA">
      <w:pPr>
        <w:spacing w:after="0" w:line="360" w:lineRule="auto"/>
        <w:rPr>
          <w:rFonts w:ascii="Arial" w:eastAsia="Times New Roman" w:hAnsi="Arial" w:cs="Arial"/>
          <w:b/>
          <w:i/>
          <w:color w:val="000000"/>
          <w:sz w:val="28"/>
          <w:szCs w:val="28"/>
          <w:u w:val="single"/>
          <w:lang w:eastAsia="en-GB"/>
        </w:rPr>
      </w:pPr>
      <w:r w:rsidRPr="00303244">
        <w:rPr>
          <w:rFonts w:ascii="Arial" w:eastAsia="Times New Roman" w:hAnsi="Arial" w:cs="Arial"/>
          <w:b/>
          <w:i/>
          <w:color w:val="000000"/>
          <w:sz w:val="28"/>
          <w:szCs w:val="28"/>
          <w:u w:val="single"/>
          <w:lang w:eastAsia="en-GB"/>
        </w:rPr>
        <w:t>Retention and Engagement Strategies</w:t>
      </w:r>
    </w:p>
    <w:p w:rsidR="00303244" w:rsidRPr="00303244" w:rsidRDefault="00303244" w:rsidP="006B1EFA">
      <w:pPr>
        <w:spacing w:after="0" w:line="360" w:lineRule="auto"/>
        <w:rPr>
          <w:rFonts w:ascii="Arial" w:eastAsia="Times New Roman" w:hAnsi="Arial" w:cs="Arial"/>
          <w:b/>
          <w:i/>
          <w:color w:val="000000"/>
          <w:sz w:val="24"/>
          <w:szCs w:val="24"/>
          <w:u w:val="single"/>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Contemporary approaches include guaranteed minimum hours, personalised development pathways, and structured staff voice mechanisms. CIPD (2025b) found regular one-to-one development conversations reduce frontline turnover by 15%. For Tesco, linking pay progression to skill acquisition rather than tenure would support upskilling while boosting motivation. However, store managers report insufficient time to deliver consistent support, and cost constraints limit widespread enhancement of core pay for mass-market roles (IPPR, 2025). Practices must also be tailored: flexible scheduling is often more valued by frontline staff than promotion opportunities (Deloitte, 2024a).</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EA4AC8" w:rsidRDefault="00303244" w:rsidP="006B1EFA">
      <w:pPr>
        <w:spacing w:after="0" w:line="360" w:lineRule="auto"/>
        <w:rPr>
          <w:rFonts w:ascii="Arial" w:eastAsia="Times New Roman" w:hAnsi="Arial" w:cs="Arial"/>
          <w:b/>
          <w:i/>
          <w:color w:val="000000"/>
          <w:sz w:val="28"/>
          <w:szCs w:val="28"/>
          <w:u w:val="single"/>
          <w:lang w:eastAsia="en-GB"/>
        </w:rPr>
      </w:pPr>
      <w:r w:rsidRPr="00303244">
        <w:rPr>
          <w:rFonts w:ascii="Arial" w:eastAsia="Times New Roman" w:hAnsi="Arial" w:cs="Arial"/>
          <w:color w:val="000000"/>
          <w:sz w:val="28"/>
          <w:szCs w:val="28"/>
          <w:lang w:eastAsia="en-GB"/>
        </w:rPr>
        <w:t xml:space="preserve"> </w:t>
      </w:r>
    </w:p>
    <w:p w:rsidR="00303244" w:rsidRPr="00303244" w:rsidRDefault="00303244" w:rsidP="006B1EFA">
      <w:pPr>
        <w:spacing w:after="0" w:line="360" w:lineRule="auto"/>
        <w:rPr>
          <w:rFonts w:ascii="Arial" w:eastAsia="Times New Roman" w:hAnsi="Arial" w:cs="Arial"/>
          <w:b/>
          <w:i/>
          <w:color w:val="000000"/>
          <w:sz w:val="24"/>
          <w:szCs w:val="24"/>
          <w:u w:val="single"/>
          <w:lang w:eastAsia="en-GB"/>
        </w:rPr>
      </w:pPr>
    </w:p>
    <w:p w:rsidR="00230708" w:rsidRPr="00EA4AC8" w:rsidRDefault="00230708" w:rsidP="00230708">
      <w:pPr>
        <w:spacing w:after="0" w:line="360" w:lineRule="auto"/>
        <w:rPr>
          <w:rFonts w:ascii="Arial" w:eastAsia="Times New Roman" w:hAnsi="Arial" w:cs="Arial"/>
          <w:b/>
          <w:i/>
          <w:color w:val="000000"/>
          <w:sz w:val="28"/>
          <w:szCs w:val="28"/>
          <w:u w:val="single"/>
          <w:lang w:eastAsia="en-GB"/>
        </w:rPr>
      </w:pPr>
      <w:r w:rsidRPr="00303244">
        <w:rPr>
          <w:rFonts w:ascii="Arial" w:eastAsia="Times New Roman" w:hAnsi="Arial" w:cs="Arial"/>
          <w:b/>
          <w:i/>
          <w:color w:val="000000"/>
          <w:sz w:val="28"/>
          <w:szCs w:val="28"/>
          <w:u w:val="single"/>
          <w:lang w:eastAsia="en-GB"/>
        </w:rPr>
        <w:lastRenderedPageBreak/>
        <w:t>Inclusive Recruitment Practices</w:t>
      </w:r>
    </w:p>
    <w:p w:rsidR="00230708" w:rsidRDefault="00230708"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Name-blind screening, guaranteed interviews for under-represented groups, and flexible role design remove structural barriers. Tesco’s 2023 trial of inclusive recruitment training reduced bias in shortlisting by 11% (Tesco PLC, 2025). Yet recruitment alone does not address progression gaps or exclusion once staff are employed, and targets can be perceived as undermining meritocracy without complementary cultural change (Ahmed, 2024). Success requires consistent monitoring and accountability beyond initial hiring.</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Default="00303244" w:rsidP="006B1EFA">
      <w:pPr>
        <w:spacing w:after="0" w:line="360" w:lineRule="auto"/>
        <w:rPr>
          <w:rFonts w:ascii="Arial" w:eastAsia="Times New Roman" w:hAnsi="Arial" w:cs="Arial"/>
          <w:b/>
          <w:i/>
          <w:color w:val="000000"/>
          <w:sz w:val="24"/>
          <w:szCs w:val="24"/>
          <w:u w:val="single"/>
          <w:lang w:eastAsia="en-GB"/>
        </w:rPr>
      </w:pPr>
      <w:r w:rsidRPr="00303244">
        <w:rPr>
          <w:rFonts w:ascii="Arial" w:eastAsia="Times New Roman" w:hAnsi="Arial" w:cs="Arial"/>
          <w:color w:val="000000"/>
          <w:sz w:val="24"/>
          <w:szCs w:val="24"/>
          <w:lang w:eastAsia="en-GB"/>
        </w:rPr>
        <w:t xml:space="preserve"> </w:t>
      </w:r>
      <w:r w:rsidRPr="00303244">
        <w:rPr>
          <w:rFonts w:ascii="Arial" w:eastAsia="Times New Roman" w:hAnsi="Arial" w:cs="Arial"/>
          <w:b/>
          <w:i/>
          <w:color w:val="000000"/>
          <w:sz w:val="24"/>
          <w:szCs w:val="24"/>
          <w:u w:val="single"/>
          <w:lang w:eastAsia="en-GB"/>
        </w:rPr>
        <w:t>DEI Policy and Leadership Development</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Mandatory inclusive leadership training, published accountability metrics, and sponsorship programmes for under-represented staff help embed inclusion. The Chartered Management Institute (2024) found such training improves team psychological safety by 22%. However, centralised policies often feel disconnected from local store realities, and training risks becoming tokenistic without visible leadership modelling and linked rewards (Dobbin et al., 2015).</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Overall, no single practice is sufficient: digital tools must be designed inclusively, recruitment reforms paired with ongoing development, and policies supported by sustained cultural change.</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EA4AC8" w:rsidRDefault="00303244" w:rsidP="006B1EFA">
      <w:pPr>
        <w:spacing w:after="0" w:line="360" w:lineRule="auto"/>
        <w:rPr>
          <w:rFonts w:ascii="Arial" w:eastAsia="Times New Roman" w:hAnsi="Arial" w:cs="Arial"/>
          <w:b/>
          <w:i/>
          <w:color w:val="000000"/>
          <w:sz w:val="28"/>
          <w:szCs w:val="28"/>
          <w:u w:val="single"/>
          <w:lang w:eastAsia="en-GB"/>
        </w:rPr>
      </w:pPr>
      <w:r w:rsidRPr="00303244">
        <w:rPr>
          <w:rFonts w:ascii="Arial" w:eastAsia="Times New Roman" w:hAnsi="Arial" w:cs="Arial"/>
          <w:color w:val="000000"/>
          <w:sz w:val="24"/>
          <w:szCs w:val="24"/>
          <w:lang w:eastAsia="en-GB"/>
        </w:rPr>
        <w:t xml:space="preserve"> </w:t>
      </w:r>
      <w:r w:rsidRPr="00303244">
        <w:rPr>
          <w:rFonts w:ascii="Arial" w:eastAsia="Times New Roman" w:hAnsi="Arial" w:cs="Arial"/>
          <w:b/>
          <w:i/>
          <w:color w:val="000000"/>
          <w:sz w:val="28"/>
          <w:szCs w:val="28"/>
          <w:u w:val="single"/>
          <w:lang w:eastAsia="en-GB"/>
        </w:rPr>
        <w:t>Critical Evaluation of Manag</w:t>
      </w:r>
      <w:r w:rsidRPr="00EA4AC8">
        <w:rPr>
          <w:rFonts w:ascii="Arial" w:eastAsia="Times New Roman" w:hAnsi="Arial" w:cs="Arial"/>
          <w:b/>
          <w:i/>
          <w:color w:val="000000"/>
          <w:sz w:val="28"/>
          <w:szCs w:val="28"/>
          <w:u w:val="single"/>
          <w:lang w:eastAsia="en-GB"/>
        </w:rPr>
        <w:t xml:space="preserve">erial Implementation </w:t>
      </w:r>
    </w:p>
    <w:p w:rsidR="00303244" w:rsidRPr="00303244" w:rsidRDefault="00303244" w:rsidP="006B1EFA">
      <w:pPr>
        <w:spacing w:after="0" w:line="360" w:lineRule="auto"/>
        <w:rPr>
          <w:rFonts w:ascii="Arial" w:eastAsia="Times New Roman" w:hAnsi="Arial" w:cs="Arial"/>
          <w:b/>
          <w:i/>
          <w:color w:val="000000"/>
          <w:sz w:val="24"/>
          <w:szCs w:val="24"/>
          <w:u w:val="single"/>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Departmental managers act as the critical link between central strategy and frontline experience, making their leadership central to effective and urgent implementation. This section evaluates key considerations and barriers.</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230708" w:rsidP="006B1EFA">
      <w:pPr>
        <w:spacing w:after="0" w:line="360" w:lineRule="auto"/>
        <w:rPr>
          <w:rFonts w:ascii="Arial" w:eastAsia="Times New Roman" w:hAnsi="Arial" w:cs="Arial"/>
          <w:color w:val="000000"/>
          <w:sz w:val="28"/>
          <w:szCs w:val="28"/>
          <w:u w:val="single"/>
          <w:lang w:eastAsia="en-GB"/>
        </w:rPr>
      </w:pPr>
      <w:r>
        <w:rPr>
          <w:rFonts w:ascii="Arial" w:eastAsia="Times New Roman" w:hAnsi="Arial" w:cs="Arial"/>
          <w:color w:val="000000"/>
          <w:sz w:val="28"/>
          <w:szCs w:val="28"/>
          <w:u w:val="single"/>
          <w:lang w:eastAsia="en-GB"/>
        </w:rPr>
        <w:t xml:space="preserve"> </w:t>
      </w:r>
      <w:bookmarkStart w:id="0" w:name="_GoBack"/>
      <w:bookmarkEnd w:id="0"/>
    </w:p>
    <w:p w:rsidR="00230708" w:rsidRDefault="00230708" w:rsidP="006B1EFA">
      <w:pPr>
        <w:spacing w:after="0" w:line="360" w:lineRule="auto"/>
        <w:rPr>
          <w:rFonts w:ascii="Arial" w:eastAsia="Times New Roman" w:hAnsi="Arial" w:cs="Arial"/>
          <w:color w:val="000000"/>
          <w:sz w:val="24"/>
          <w:szCs w:val="24"/>
          <w:lang w:eastAsia="en-GB"/>
        </w:rPr>
      </w:pPr>
    </w:p>
    <w:p w:rsidR="00230708" w:rsidRPr="00303244" w:rsidRDefault="00230708" w:rsidP="00230708">
      <w:pPr>
        <w:spacing w:after="0" w:line="360" w:lineRule="auto"/>
        <w:rPr>
          <w:rFonts w:ascii="Arial" w:eastAsia="Times New Roman" w:hAnsi="Arial" w:cs="Arial"/>
          <w:color w:val="000000"/>
          <w:sz w:val="28"/>
          <w:szCs w:val="28"/>
          <w:u w:val="single"/>
          <w:lang w:eastAsia="en-GB"/>
        </w:rPr>
      </w:pPr>
      <w:r w:rsidRPr="00303244">
        <w:rPr>
          <w:rFonts w:ascii="Arial" w:eastAsia="Times New Roman" w:hAnsi="Arial" w:cs="Arial"/>
          <w:color w:val="000000"/>
          <w:sz w:val="28"/>
          <w:szCs w:val="28"/>
          <w:u w:val="single"/>
          <w:lang w:eastAsia="en-GB"/>
        </w:rPr>
        <w:lastRenderedPageBreak/>
        <w:t>Leadership Accountability and Autonomy</w:t>
      </w:r>
    </w:p>
    <w:p w:rsidR="00230708" w:rsidRDefault="00230708"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Clear accountability requires defining roles through frameworks such as RACI, linking implementation targets to performance reviews, and ensuring managers have matching authority. However, many Tesco store leaders report being held responsible for outcomes but given limited control over budgets, staffing, or local policy adaptation – creating accountability without autonomy (IPPR, 2025). Research confirms that fragmented decision-making slows progress and increases resentment, while giving managers discretion to adapt policies to local needs improves both adoption and speed of delivery (Stouten et al., 2021).</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Default="00303244" w:rsidP="006B1EFA">
      <w:pPr>
        <w:spacing w:after="0" w:line="360" w:lineRule="auto"/>
        <w:rPr>
          <w:rFonts w:ascii="Arial" w:eastAsia="Times New Roman" w:hAnsi="Arial" w:cs="Arial"/>
          <w:b/>
          <w:i/>
          <w:color w:val="000000"/>
          <w:sz w:val="24"/>
          <w:szCs w:val="24"/>
          <w:u w:val="single"/>
          <w:lang w:eastAsia="en-GB"/>
        </w:rPr>
      </w:pPr>
      <w:r w:rsidRPr="00303244">
        <w:rPr>
          <w:rFonts w:ascii="Arial" w:eastAsia="Times New Roman" w:hAnsi="Arial" w:cs="Arial"/>
          <w:color w:val="000000"/>
          <w:sz w:val="24"/>
          <w:szCs w:val="24"/>
          <w:lang w:eastAsia="en-GB"/>
        </w:rPr>
        <w:t xml:space="preserve"> </w:t>
      </w:r>
      <w:r w:rsidRPr="00303244">
        <w:rPr>
          <w:rFonts w:ascii="Arial" w:eastAsia="Times New Roman" w:hAnsi="Arial" w:cs="Arial"/>
          <w:b/>
          <w:i/>
          <w:color w:val="000000"/>
          <w:sz w:val="24"/>
          <w:szCs w:val="24"/>
          <w:u w:val="single"/>
          <w:lang w:eastAsia="en-GB"/>
        </w:rPr>
        <w:t>Communication and Cultural Alignment</w:t>
      </w:r>
    </w:p>
    <w:p w:rsidR="00303244" w:rsidRPr="00303244" w:rsidRDefault="00303244" w:rsidP="006B1EFA">
      <w:pPr>
        <w:spacing w:after="0" w:line="360" w:lineRule="auto"/>
        <w:rPr>
          <w:rFonts w:ascii="Arial" w:eastAsia="Times New Roman" w:hAnsi="Arial" w:cs="Arial"/>
          <w:b/>
          <w:i/>
          <w:color w:val="000000"/>
          <w:sz w:val="24"/>
          <w:szCs w:val="24"/>
          <w:u w:val="single"/>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xml:space="preserve">Effective implementation depends on consistent, two-way communication that explains *why* change is needed, not just *what* will happen. For example, framing digital tools as “time-saving support” rather than “efficiency measures” reduces resistance to automation (CIPD, 2025a). A key barrier is the “frozen middle” effect: central teams often design policies without frontline input, leading to contradictory messaging and delayed buy-in (Digital </w:t>
      </w:r>
      <w:proofErr w:type="spellStart"/>
      <w:r w:rsidRPr="00303244">
        <w:rPr>
          <w:rFonts w:ascii="Arial" w:eastAsia="Times New Roman" w:hAnsi="Arial" w:cs="Arial"/>
          <w:color w:val="000000"/>
          <w:sz w:val="24"/>
          <w:szCs w:val="24"/>
          <w:lang w:eastAsia="en-GB"/>
        </w:rPr>
        <w:t>CxO</w:t>
      </w:r>
      <w:proofErr w:type="spellEnd"/>
      <w:r w:rsidRPr="00303244">
        <w:rPr>
          <w:rFonts w:ascii="Arial" w:eastAsia="Times New Roman" w:hAnsi="Arial" w:cs="Arial"/>
          <w:color w:val="000000"/>
          <w:sz w:val="24"/>
          <w:szCs w:val="24"/>
          <w:lang w:eastAsia="en-GB"/>
        </w:rPr>
        <w:t>, 2026). Managers must be involved in early design to ensure changes align with existing values such as Tesco’s “Every Little Helps” ethos, creating shared purpose around transformation (Battilana and Casciaro, 2021).</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Default="00303244" w:rsidP="006B1EFA">
      <w:pPr>
        <w:spacing w:after="0" w:line="360" w:lineRule="auto"/>
        <w:rPr>
          <w:rFonts w:ascii="Arial" w:eastAsia="Times New Roman" w:hAnsi="Arial" w:cs="Arial"/>
          <w:color w:val="000000"/>
          <w:sz w:val="28"/>
          <w:szCs w:val="28"/>
          <w:u w:val="single"/>
          <w:lang w:eastAsia="en-GB"/>
        </w:rPr>
      </w:pPr>
      <w:r w:rsidRPr="00303244">
        <w:rPr>
          <w:rFonts w:ascii="Arial" w:eastAsia="Times New Roman" w:hAnsi="Arial" w:cs="Arial"/>
          <w:color w:val="000000"/>
          <w:sz w:val="28"/>
          <w:szCs w:val="28"/>
          <w:u w:val="single"/>
          <w:lang w:eastAsia="en-GB"/>
        </w:rPr>
        <w:t xml:space="preserve"> Monitoring, Measurement, and Overcoming Barriers</w:t>
      </w:r>
    </w:p>
    <w:p w:rsidR="00EA4AC8" w:rsidRPr="00303244" w:rsidRDefault="00EA4AC8" w:rsidP="006B1EFA">
      <w:pPr>
        <w:spacing w:after="0" w:line="360" w:lineRule="auto"/>
        <w:rPr>
          <w:rFonts w:ascii="Arial" w:eastAsia="Times New Roman" w:hAnsi="Arial" w:cs="Arial"/>
          <w:color w:val="000000"/>
          <w:sz w:val="28"/>
          <w:szCs w:val="28"/>
          <w:u w:val="single"/>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Urgent delivery requires short-cycle feedback such as monthly pulse surveys, alongside clear milestones, to identify problems early. Common barriers include competing operational priorities, limited digital literacy among managers, and change fatigue after repeated restructuring (</w:t>
      </w:r>
      <w:proofErr w:type="spellStart"/>
      <w:r w:rsidRPr="00303244">
        <w:rPr>
          <w:rFonts w:ascii="Arial" w:eastAsia="Times New Roman" w:hAnsi="Arial" w:cs="Arial"/>
          <w:color w:val="000000"/>
          <w:sz w:val="24"/>
          <w:szCs w:val="24"/>
          <w:lang w:eastAsia="en-GB"/>
        </w:rPr>
        <w:t>Hornstein</w:t>
      </w:r>
      <w:proofErr w:type="spellEnd"/>
      <w:r w:rsidRPr="00303244">
        <w:rPr>
          <w:rFonts w:ascii="Arial" w:eastAsia="Times New Roman" w:hAnsi="Arial" w:cs="Arial"/>
          <w:color w:val="000000"/>
          <w:sz w:val="24"/>
          <w:szCs w:val="24"/>
          <w:lang w:eastAsia="en-GB"/>
        </w:rPr>
        <w:t xml:space="preserve">, 2020). To address these, Tesco can phase changes gradually, run peer-to-peer skill sharing, and highlight quick wins such as reduced administrative work. Critically, targets must be location-specific: urban stores may adopt digital tools faster than rural locations with limited connectivity (Tesco PLC, 2025). While urgency is important, rushing implementation </w:t>
      </w:r>
      <w:r w:rsidRPr="00303244">
        <w:rPr>
          <w:rFonts w:ascii="Arial" w:eastAsia="Times New Roman" w:hAnsi="Arial" w:cs="Arial"/>
          <w:color w:val="000000"/>
          <w:sz w:val="24"/>
          <w:szCs w:val="24"/>
          <w:lang w:eastAsia="en-GB"/>
        </w:rPr>
        <w:lastRenderedPageBreak/>
        <w:t>increases the risk of superficial compliance rather than sustained adoption (Cameron and Quinn, 2022).</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tabs>
          <w:tab w:val="left" w:pos="2370"/>
        </w:tabs>
        <w:spacing w:after="0" w:line="360" w:lineRule="auto"/>
        <w:rPr>
          <w:rFonts w:ascii="Arial" w:eastAsia="Times New Roman" w:hAnsi="Arial" w:cs="Arial"/>
          <w:b/>
          <w:i/>
          <w:color w:val="000000"/>
          <w:sz w:val="24"/>
          <w:szCs w:val="24"/>
          <w:u w:val="single"/>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This report examines three core contemporary HR challenges facing Tesco PLC: adapting to technological advancement, securing and retaining talent, and advancing diversity, equity, and inclusion. It evaluates relevant modern HR practices, assesses the role of managers in effective delivery, and sets out evidence-based recommendations to support sustainable performance. The analysis draws on academic research, industry reports, and Tesco’s public disclosures.</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b/>
          <w:i/>
          <w:color w:val="000000"/>
          <w:sz w:val="28"/>
          <w:szCs w:val="28"/>
          <w:u w:val="single"/>
          <w:lang w:eastAsia="en-GB"/>
        </w:rPr>
      </w:pPr>
    </w:p>
    <w:p w:rsidR="00EA4AC8" w:rsidRDefault="00EA4AC8" w:rsidP="00EA4AC8">
      <w:pPr>
        <w:spacing w:after="0" w:line="360" w:lineRule="auto"/>
        <w:rPr>
          <w:rFonts w:ascii="Arial" w:eastAsia="Times New Roman" w:hAnsi="Arial" w:cs="Arial"/>
          <w:b/>
          <w:i/>
          <w:color w:val="000000"/>
          <w:sz w:val="28"/>
          <w:szCs w:val="28"/>
          <w:u w:val="single"/>
          <w:lang w:eastAsia="en-GB"/>
        </w:rPr>
      </w:pPr>
      <w:r w:rsidRPr="00303244">
        <w:rPr>
          <w:rFonts w:ascii="Arial" w:eastAsia="Times New Roman" w:hAnsi="Arial" w:cs="Arial"/>
          <w:b/>
          <w:i/>
          <w:color w:val="000000"/>
          <w:sz w:val="28"/>
          <w:szCs w:val="28"/>
          <w:u w:val="single"/>
          <w:lang w:eastAsia="en-GB"/>
        </w:rPr>
        <w:t>Conclusion</w:t>
      </w:r>
    </w:p>
    <w:p w:rsidR="00EA4AC8" w:rsidRDefault="00EA4AC8"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Technological change, talent pressures, and DEI gaps are interconnected challenges that threaten Tesco’s competitiveness, employee engagement, and long-term viability. While digital analytics, inclusive recruitment, and leadership development offer clear benefits, their success depends on thoughtful design, sufficient resourcing, and consistent frontline delivery. Managers have a central role to play, but require clearer authority, earlier involvement in policy design, and targeted support to drive change at pace.</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Default="00303244" w:rsidP="006B1EFA">
      <w:pPr>
        <w:spacing w:after="0" w:line="360" w:lineRule="auto"/>
        <w:rPr>
          <w:rFonts w:ascii="Arial" w:eastAsia="Times New Roman" w:hAnsi="Arial" w:cs="Arial"/>
          <w:b/>
          <w:i/>
          <w:color w:val="000000"/>
          <w:sz w:val="24"/>
          <w:szCs w:val="24"/>
          <w:u w:val="single"/>
          <w:lang w:eastAsia="en-GB"/>
        </w:rPr>
      </w:pPr>
      <w:r w:rsidRPr="00303244">
        <w:rPr>
          <w:rFonts w:ascii="Arial" w:eastAsia="Times New Roman" w:hAnsi="Arial" w:cs="Arial"/>
          <w:b/>
          <w:i/>
          <w:color w:val="000000"/>
          <w:sz w:val="24"/>
          <w:szCs w:val="24"/>
          <w:u w:val="single"/>
          <w:lang w:eastAsia="en-GB"/>
        </w:rPr>
        <w:t xml:space="preserve"> Recommendations</w:t>
      </w:r>
    </w:p>
    <w:p w:rsidR="00303244" w:rsidRPr="00303244" w:rsidRDefault="00303244" w:rsidP="006B1EFA">
      <w:pPr>
        <w:spacing w:after="0" w:line="360" w:lineRule="auto"/>
        <w:rPr>
          <w:rFonts w:ascii="Arial" w:eastAsia="Times New Roman" w:hAnsi="Arial" w:cs="Arial"/>
          <w:b/>
          <w:i/>
          <w:color w:val="000000"/>
          <w:sz w:val="24"/>
          <w:szCs w:val="24"/>
          <w:u w:val="single"/>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u w:val="single"/>
          <w:lang w:eastAsia="en-GB"/>
        </w:rPr>
        <w:t>Technology</w:t>
      </w:r>
      <w:r>
        <w:rPr>
          <w:rFonts w:ascii="Arial" w:eastAsia="Times New Roman" w:hAnsi="Arial" w:cs="Arial"/>
          <w:color w:val="000000"/>
          <w:sz w:val="24"/>
          <w:szCs w:val="24"/>
          <w:lang w:eastAsia="en-GB"/>
        </w:rPr>
        <w:t>:</w:t>
      </w:r>
      <w:r w:rsidRPr="00303244">
        <w:rPr>
          <w:rFonts w:ascii="Arial" w:eastAsia="Times New Roman" w:hAnsi="Arial" w:cs="Arial"/>
          <w:color w:val="000000"/>
          <w:sz w:val="24"/>
          <w:szCs w:val="24"/>
          <w:lang w:eastAsia="en-GB"/>
        </w:rPr>
        <w:t xml:space="preserve"> Establish staff advisory groups to co-design new tools, and provide protected time for role-specific upskilling.</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u w:val="single"/>
          <w:lang w:eastAsia="en-GB"/>
        </w:rPr>
        <w:t>Talent</w:t>
      </w:r>
      <w:r>
        <w:rPr>
          <w:rFonts w:ascii="Arial" w:eastAsia="Times New Roman" w:hAnsi="Arial" w:cs="Arial"/>
          <w:color w:val="000000"/>
          <w:sz w:val="24"/>
          <w:szCs w:val="24"/>
          <w:lang w:eastAsia="en-GB"/>
        </w:rPr>
        <w:t>:</w:t>
      </w:r>
      <w:r w:rsidRPr="00303244">
        <w:rPr>
          <w:rFonts w:ascii="Arial" w:eastAsia="Times New Roman" w:hAnsi="Arial" w:cs="Arial"/>
          <w:color w:val="000000"/>
          <w:sz w:val="24"/>
          <w:szCs w:val="24"/>
          <w:lang w:eastAsia="en-GB"/>
        </w:rPr>
        <w:t xml:space="preserve"> Introduce guaranteed minimum hours and self-service shift swapping as standard for all frontline roles.</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u w:val="single"/>
          <w:lang w:eastAsia="en-GB"/>
        </w:rPr>
        <w:t>DEI</w:t>
      </w:r>
      <w:r>
        <w:rPr>
          <w:rFonts w:ascii="Arial" w:eastAsia="Times New Roman" w:hAnsi="Arial" w:cs="Arial"/>
          <w:color w:val="000000"/>
          <w:sz w:val="24"/>
          <w:szCs w:val="24"/>
          <w:lang w:eastAsia="en-GB"/>
        </w:rPr>
        <w:t>:</w:t>
      </w:r>
      <w:r w:rsidRPr="00303244">
        <w:rPr>
          <w:rFonts w:ascii="Arial" w:eastAsia="Times New Roman" w:hAnsi="Arial" w:cs="Arial"/>
          <w:color w:val="000000"/>
          <w:sz w:val="24"/>
          <w:szCs w:val="24"/>
          <w:lang w:eastAsia="en-GB"/>
        </w:rPr>
        <w:t xml:space="preserve"> Launch a formal sponsorship programme for BAME and disabled staff, and publish store-level diversity data to increase local accountability.</w:t>
      </w:r>
    </w:p>
    <w:p w:rsidR="00230708" w:rsidRDefault="00230708" w:rsidP="006B1EFA">
      <w:pPr>
        <w:spacing w:after="0" w:line="360" w:lineRule="auto"/>
        <w:rPr>
          <w:rFonts w:ascii="Arial" w:eastAsia="Times New Roman" w:hAnsi="Arial" w:cs="Arial"/>
          <w:b/>
          <w:i/>
          <w:color w:val="000000"/>
          <w:sz w:val="28"/>
          <w:szCs w:val="28"/>
          <w:u w:val="single"/>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b/>
          <w:i/>
          <w:color w:val="000000"/>
          <w:sz w:val="28"/>
          <w:szCs w:val="28"/>
          <w:u w:val="single"/>
          <w:lang w:eastAsia="en-GB"/>
        </w:rPr>
        <w:lastRenderedPageBreak/>
        <w:t>Implementation</w:t>
      </w:r>
      <w:r>
        <w:rPr>
          <w:rFonts w:ascii="Arial" w:eastAsia="Times New Roman" w:hAnsi="Arial" w:cs="Arial"/>
          <w:color w:val="000000"/>
          <w:sz w:val="24"/>
          <w:szCs w:val="24"/>
          <w:lang w:eastAsia="en-GB"/>
        </w:rPr>
        <w:t xml:space="preserve">: Grant store </w:t>
      </w:r>
      <w:r w:rsidRPr="00303244">
        <w:rPr>
          <w:rFonts w:ascii="Arial" w:eastAsia="Times New Roman" w:hAnsi="Arial" w:cs="Arial"/>
          <w:color w:val="000000"/>
          <w:sz w:val="24"/>
          <w:szCs w:val="24"/>
          <w:lang w:eastAsia="en-GB"/>
        </w:rPr>
        <w:t>manager’s greater autonomy to adapt policies locally, and tie a proportion of senior leadership bonuses to inclusion and retention outcomes.</w:t>
      </w:r>
      <w:r w:rsidR="00B113C6">
        <w:rPr>
          <w:rFonts w:ascii="Arial" w:eastAsia="Times New Roman" w:hAnsi="Arial" w:cs="Arial"/>
          <w:color w:val="000000"/>
          <w:sz w:val="24"/>
          <w:szCs w:val="24"/>
          <w:lang w:eastAsia="en-GB"/>
        </w:rPr>
        <w:t xml:space="preserve"> Also to make the Practices more Practical and Transferable of knowledge.</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p>
    <w:p w:rsidR="00303244" w:rsidRDefault="00303244" w:rsidP="006B1EFA">
      <w:pPr>
        <w:spacing w:after="0" w:line="360" w:lineRule="auto"/>
        <w:rPr>
          <w:rFonts w:ascii="Arial" w:eastAsia="Times New Roman" w:hAnsi="Arial" w:cs="Arial"/>
          <w:b/>
          <w:i/>
          <w:color w:val="000000"/>
          <w:sz w:val="28"/>
          <w:szCs w:val="28"/>
          <w:u w:val="single"/>
          <w:lang w:eastAsia="en-GB"/>
        </w:rPr>
      </w:pPr>
    </w:p>
    <w:p w:rsidR="00B113C6" w:rsidRDefault="00B113C6" w:rsidP="00B113C6">
      <w:pPr>
        <w:spacing w:after="0" w:line="360" w:lineRule="auto"/>
        <w:rPr>
          <w:rFonts w:ascii="Arial" w:eastAsia="Times New Roman" w:hAnsi="Arial" w:cs="Arial"/>
          <w:b/>
          <w:i/>
          <w:color w:val="000000"/>
          <w:sz w:val="28"/>
          <w:szCs w:val="28"/>
          <w:u w:val="single"/>
          <w:lang w:eastAsia="en-GB"/>
        </w:rPr>
      </w:pPr>
      <w:r w:rsidRPr="00303244">
        <w:rPr>
          <w:rFonts w:ascii="Arial" w:eastAsia="Times New Roman" w:hAnsi="Arial" w:cs="Arial"/>
          <w:b/>
          <w:i/>
          <w:color w:val="000000"/>
          <w:sz w:val="28"/>
          <w:szCs w:val="28"/>
          <w:u w:val="single"/>
          <w:lang w:eastAsia="en-GB"/>
        </w:rPr>
        <w:t>References</w:t>
      </w:r>
    </w:p>
    <w:p w:rsidR="00303244" w:rsidRPr="00303244" w:rsidRDefault="00303244" w:rsidP="006B1EFA">
      <w:pPr>
        <w:spacing w:after="0" w:line="360" w:lineRule="auto"/>
        <w:rPr>
          <w:rFonts w:ascii="Arial" w:eastAsia="Times New Roman" w:hAnsi="Arial" w:cs="Arial"/>
          <w:b/>
          <w:i/>
          <w:color w:val="000000"/>
          <w:sz w:val="28"/>
          <w:szCs w:val="28"/>
          <w:u w:val="single"/>
          <w:lang w:eastAsia="en-GB"/>
        </w:rPr>
      </w:pP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Ahmed, S. (2024) *</w:t>
      </w:r>
      <w:proofErr w:type="gramStart"/>
      <w:r w:rsidRPr="00303244">
        <w:rPr>
          <w:rFonts w:ascii="Arial" w:eastAsia="Times New Roman" w:hAnsi="Arial" w:cs="Arial"/>
          <w:color w:val="000000"/>
          <w:sz w:val="24"/>
          <w:szCs w:val="24"/>
          <w:lang w:eastAsia="en-GB"/>
        </w:rPr>
        <w:t>The</w:t>
      </w:r>
      <w:proofErr w:type="gramEnd"/>
      <w:r w:rsidRPr="00303244">
        <w:rPr>
          <w:rFonts w:ascii="Arial" w:eastAsia="Times New Roman" w:hAnsi="Arial" w:cs="Arial"/>
          <w:color w:val="000000"/>
          <w:sz w:val="24"/>
          <w:szCs w:val="24"/>
          <w:lang w:eastAsia="en-GB"/>
        </w:rPr>
        <w:t xml:space="preserve"> Cultural Politics of Diversity*. 2nd </w:t>
      </w:r>
      <w:proofErr w:type="spellStart"/>
      <w:r w:rsidRPr="00303244">
        <w:rPr>
          <w:rFonts w:ascii="Arial" w:eastAsia="Times New Roman" w:hAnsi="Arial" w:cs="Arial"/>
          <w:color w:val="000000"/>
          <w:sz w:val="24"/>
          <w:szCs w:val="24"/>
          <w:lang w:eastAsia="en-GB"/>
        </w:rPr>
        <w:t>edn</w:t>
      </w:r>
      <w:proofErr w:type="spellEnd"/>
      <w:r w:rsidRPr="00303244">
        <w:rPr>
          <w:rFonts w:ascii="Arial" w:eastAsia="Times New Roman" w:hAnsi="Arial" w:cs="Arial"/>
          <w:color w:val="000000"/>
          <w:sz w:val="24"/>
          <w:szCs w:val="24"/>
          <w:lang w:eastAsia="en-GB"/>
        </w:rPr>
        <w:t>. London: Routledge.</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Battilana, J. and Casciaro, T. (2021) ‘Change leadership: the role of power and influence’, *Academy of Management Annals*, 15(1), pp. 1–38.</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xml:space="preserve">- </w:t>
      </w:r>
      <w:proofErr w:type="spellStart"/>
      <w:r w:rsidRPr="00303244">
        <w:rPr>
          <w:rFonts w:ascii="Arial" w:eastAsia="Times New Roman" w:hAnsi="Arial" w:cs="Arial"/>
          <w:color w:val="000000"/>
          <w:sz w:val="24"/>
          <w:szCs w:val="24"/>
          <w:lang w:eastAsia="en-GB"/>
        </w:rPr>
        <w:t>Bohnet</w:t>
      </w:r>
      <w:proofErr w:type="spellEnd"/>
      <w:r w:rsidRPr="00303244">
        <w:rPr>
          <w:rFonts w:ascii="Arial" w:eastAsia="Times New Roman" w:hAnsi="Arial" w:cs="Arial"/>
          <w:color w:val="000000"/>
          <w:sz w:val="24"/>
          <w:szCs w:val="24"/>
          <w:lang w:eastAsia="en-GB"/>
        </w:rPr>
        <w:t>, I. (2023) *What Works: Gender Equality by Design*. Cambridge, MA: Harvard University Press.</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xml:space="preserve">- Cameron, K.S. and Quinn, R.E. (2022) *Diagnosing and Changing Organizational Culture*. 4th </w:t>
      </w:r>
      <w:proofErr w:type="spellStart"/>
      <w:r w:rsidRPr="00303244">
        <w:rPr>
          <w:rFonts w:ascii="Arial" w:eastAsia="Times New Roman" w:hAnsi="Arial" w:cs="Arial"/>
          <w:color w:val="000000"/>
          <w:sz w:val="24"/>
          <w:szCs w:val="24"/>
          <w:lang w:eastAsia="en-GB"/>
        </w:rPr>
        <w:t>edn</w:t>
      </w:r>
      <w:proofErr w:type="spellEnd"/>
      <w:r w:rsidRPr="00303244">
        <w:rPr>
          <w:rFonts w:ascii="Arial" w:eastAsia="Times New Roman" w:hAnsi="Arial" w:cs="Arial"/>
          <w:color w:val="000000"/>
          <w:sz w:val="24"/>
          <w:szCs w:val="24"/>
          <w:lang w:eastAsia="en-GB"/>
        </w:rPr>
        <w:t xml:space="preserve">. San Francisco: </w:t>
      </w:r>
      <w:proofErr w:type="spellStart"/>
      <w:r w:rsidRPr="00303244">
        <w:rPr>
          <w:rFonts w:ascii="Arial" w:eastAsia="Times New Roman" w:hAnsi="Arial" w:cs="Arial"/>
          <w:color w:val="000000"/>
          <w:sz w:val="24"/>
          <w:szCs w:val="24"/>
          <w:lang w:eastAsia="en-GB"/>
        </w:rPr>
        <w:t>Jossey</w:t>
      </w:r>
      <w:proofErr w:type="spellEnd"/>
      <w:r w:rsidRPr="00303244">
        <w:rPr>
          <w:rFonts w:ascii="Arial" w:eastAsia="Times New Roman" w:hAnsi="Arial" w:cs="Arial"/>
          <w:color w:val="000000"/>
          <w:sz w:val="24"/>
          <w:szCs w:val="24"/>
          <w:lang w:eastAsia="en-GB"/>
        </w:rPr>
        <w:t>-Bass.</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Chartered Institute of Personnel and Development (CIPD) (2024) *Technology and Skills in UK Retail*. London: CIPD.</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CIPD (2025a) *Transforming the HR Operating Model: Tesco Case Study*. London: CIPD.</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CIPD (2025b) *Resourcing and Retention Survey 2025*. London: CIPD.</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Chartered Management Institute (2024) *Inclusive Leadership: Impact and Practice*. London: CMI.</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Deloitte (2024a) *Retaining Frontline Talent in Retail*. London: Deloitte UK.</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Deloitte (2024b) *People Analytics in Action*. London: Deloitte UK.</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xml:space="preserve">- Digital </w:t>
      </w:r>
      <w:proofErr w:type="spellStart"/>
      <w:r w:rsidRPr="00303244">
        <w:rPr>
          <w:rFonts w:ascii="Arial" w:eastAsia="Times New Roman" w:hAnsi="Arial" w:cs="Arial"/>
          <w:color w:val="000000"/>
          <w:sz w:val="24"/>
          <w:szCs w:val="24"/>
          <w:lang w:eastAsia="en-GB"/>
        </w:rPr>
        <w:t>CxO</w:t>
      </w:r>
      <w:proofErr w:type="spellEnd"/>
      <w:r w:rsidRPr="00303244">
        <w:rPr>
          <w:rFonts w:ascii="Arial" w:eastAsia="Times New Roman" w:hAnsi="Arial" w:cs="Arial"/>
          <w:color w:val="000000"/>
          <w:sz w:val="24"/>
          <w:szCs w:val="24"/>
          <w:lang w:eastAsia="en-GB"/>
        </w:rPr>
        <w:t xml:space="preserve"> (2026) ‘Why managers stall AI transformation’, *Digital </w:t>
      </w:r>
      <w:proofErr w:type="spellStart"/>
      <w:r w:rsidRPr="00303244">
        <w:rPr>
          <w:rFonts w:ascii="Arial" w:eastAsia="Times New Roman" w:hAnsi="Arial" w:cs="Arial"/>
          <w:color w:val="000000"/>
          <w:sz w:val="24"/>
          <w:szCs w:val="24"/>
          <w:lang w:eastAsia="en-GB"/>
        </w:rPr>
        <w:t>CxO</w:t>
      </w:r>
      <w:proofErr w:type="spellEnd"/>
      <w:r w:rsidRPr="00303244">
        <w:rPr>
          <w:rFonts w:ascii="Arial" w:eastAsia="Times New Roman" w:hAnsi="Arial" w:cs="Arial"/>
          <w:color w:val="000000"/>
          <w:sz w:val="24"/>
          <w:szCs w:val="24"/>
          <w:lang w:eastAsia="en-GB"/>
        </w:rPr>
        <w:t xml:space="preserve"> Journal*, 12(2), pp. 24–31.</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xml:space="preserve">- Dobbin, F., Schrage, D. and </w:t>
      </w:r>
      <w:proofErr w:type="spellStart"/>
      <w:r w:rsidRPr="00303244">
        <w:rPr>
          <w:rFonts w:ascii="Arial" w:eastAsia="Times New Roman" w:hAnsi="Arial" w:cs="Arial"/>
          <w:color w:val="000000"/>
          <w:sz w:val="24"/>
          <w:szCs w:val="24"/>
          <w:lang w:eastAsia="en-GB"/>
        </w:rPr>
        <w:t>Kalev</w:t>
      </w:r>
      <w:proofErr w:type="spellEnd"/>
      <w:r w:rsidRPr="00303244">
        <w:rPr>
          <w:rFonts w:ascii="Arial" w:eastAsia="Times New Roman" w:hAnsi="Arial" w:cs="Arial"/>
          <w:color w:val="000000"/>
          <w:sz w:val="24"/>
          <w:szCs w:val="24"/>
          <w:lang w:eastAsia="en-GB"/>
        </w:rPr>
        <w:t>, A. (2015) ‘What works: diversity training or diversity management?</w:t>
      </w:r>
      <w:proofErr w:type="gramStart"/>
      <w:r w:rsidRPr="00303244">
        <w:rPr>
          <w:rFonts w:ascii="Arial" w:eastAsia="Times New Roman" w:hAnsi="Arial" w:cs="Arial"/>
          <w:color w:val="000000"/>
          <w:sz w:val="24"/>
          <w:szCs w:val="24"/>
          <w:lang w:eastAsia="en-GB"/>
        </w:rPr>
        <w:t>’,</w:t>
      </w:r>
      <w:proofErr w:type="gramEnd"/>
      <w:r w:rsidRPr="00303244">
        <w:rPr>
          <w:rFonts w:ascii="Arial" w:eastAsia="Times New Roman" w:hAnsi="Arial" w:cs="Arial"/>
          <w:color w:val="000000"/>
          <w:sz w:val="24"/>
          <w:szCs w:val="24"/>
          <w:lang w:eastAsia="en-GB"/>
        </w:rPr>
        <w:t xml:space="preserve"> *Sociological Science*, 2, pp. 489–506.</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Guest, D. (2023) ‘Human resource management and employee well-being’, *Human Resource Management Journal*, 33(1), pp. 45–62.</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lastRenderedPageBreak/>
        <w:t xml:space="preserve">- </w:t>
      </w:r>
      <w:proofErr w:type="spellStart"/>
      <w:r w:rsidRPr="00303244">
        <w:rPr>
          <w:rFonts w:ascii="Arial" w:eastAsia="Times New Roman" w:hAnsi="Arial" w:cs="Arial"/>
          <w:color w:val="000000"/>
          <w:sz w:val="24"/>
          <w:szCs w:val="24"/>
          <w:lang w:eastAsia="en-GB"/>
        </w:rPr>
        <w:t>Hornstein</w:t>
      </w:r>
      <w:proofErr w:type="spellEnd"/>
      <w:r w:rsidRPr="00303244">
        <w:rPr>
          <w:rFonts w:ascii="Arial" w:eastAsia="Times New Roman" w:hAnsi="Arial" w:cs="Arial"/>
          <w:color w:val="000000"/>
          <w:sz w:val="24"/>
          <w:szCs w:val="24"/>
          <w:lang w:eastAsia="en-GB"/>
        </w:rPr>
        <w:t>, H.A. (2020) ‘Barriers to implementation of organizational change’, *Journal of Change Management*, 20(1), pp. 1–18.</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Institute for Public Policy Research (IPPR) (2025) *Frontline Management in Large Retail*. London: IPPR.</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McKinsey &amp; Company (2024) *Diversity Wins: How Inclusion Matters*. London: McKinsey UK.</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O’Neil, C. (2023) *Weapons of Math Destruction*. London: Penguin.</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Office for National Statistics (ONS) (2025) *Labour Market Trends: Retail Sector*. London: HMSO.</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xml:space="preserve">- Sisson, K. (2023) *Employment Relations in the UK*. 4th </w:t>
      </w:r>
      <w:proofErr w:type="spellStart"/>
      <w:r w:rsidRPr="00303244">
        <w:rPr>
          <w:rFonts w:ascii="Arial" w:eastAsia="Times New Roman" w:hAnsi="Arial" w:cs="Arial"/>
          <w:color w:val="000000"/>
          <w:sz w:val="24"/>
          <w:szCs w:val="24"/>
          <w:lang w:eastAsia="en-GB"/>
        </w:rPr>
        <w:t>edn</w:t>
      </w:r>
      <w:proofErr w:type="spellEnd"/>
      <w:r w:rsidRPr="00303244">
        <w:rPr>
          <w:rFonts w:ascii="Arial" w:eastAsia="Times New Roman" w:hAnsi="Arial" w:cs="Arial"/>
          <w:color w:val="000000"/>
          <w:sz w:val="24"/>
          <w:szCs w:val="24"/>
          <w:lang w:eastAsia="en-GB"/>
        </w:rPr>
        <w:t>. Basingstoke: Palgrave Macmillan.</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Stouten, J., Rousseau, D.M. and De Cremer, D. (2021) ‘Successful organizational change: integrating change management practice and scholarship’, *Academy of Management Annals*, 15(1), pp. 393–428.</w:t>
      </w:r>
    </w:p>
    <w:p w:rsidR="00303244" w:rsidRPr="00303244" w:rsidRDefault="00303244" w:rsidP="006B1EFA">
      <w:pPr>
        <w:spacing w:after="0" w:line="360" w:lineRule="auto"/>
        <w:rPr>
          <w:rFonts w:ascii="Arial" w:eastAsia="Times New Roman" w:hAnsi="Arial" w:cs="Arial"/>
          <w:color w:val="000000"/>
          <w:sz w:val="24"/>
          <w:szCs w:val="24"/>
          <w:lang w:eastAsia="en-GB"/>
        </w:rPr>
      </w:pPr>
      <w:r w:rsidRPr="00303244">
        <w:rPr>
          <w:rFonts w:ascii="Arial" w:eastAsia="Times New Roman" w:hAnsi="Arial" w:cs="Arial"/>
          <w:color w:val="000000"/>
          <w:sz w:val="24"/>
          <w:szCs w:val="24"/>
          <w:lang w:eastAsia="en-GB"/>
        </w:rPr>
        <w:t>- Tesco PLC (2025) *Annual Report and Accounts 2024/25*. Welwyn Garden City: Tesco.</w:t>
      </w:r>
    </w:p>
    <w:p w:rsidR="00303244" w:rsidRPr="00303244" w:rsidRDefault="00303244" w:rsidP="006B1EFA">
      <w:pPr>
        <w:spacing w:after="0" w:line="360" w:lineRule="auto"/>
        <w:rPr>
          <w:rFonts w:ascii="Arial" w:eastAsia="Times New Roman" w:hAnsi="Arial" w:cs="Arial"/>
          <w:color w:val="000000"/>
          <w:sz w:val="24"/>
          <w:szCs w:val="24"/>
          <w:lang w:eastAsia="en-GB"/>
        </w:rPr>
      </w:pPr>
    </w:p>
    <w:p w:rsidR="00466DF6" w:rsidRPr="00EA4AC8" w:rsidRDefault="00466DF6" w:rsidP="00EA4AC8">
      <w:pPr>
        <w:spacing w:after="0" w:line="360" w:lineRule="auto"/>
        <w:rPr>
          <w:rFonts w:ascii="Arial" w:eastAsia="Times New Roman" w:hAnsi="Arial" w:cs="Arial"/>
          <w:color w:val="000000"/>
          <w:sz w:val="24"/>
          <w:szCs w:val="24"/>
          <w:lang w:eastAsia="en-GB"/>
        </w:rPr>
      </w:pPr>
    </w:p>
    <w:sectPr w:rsidR="00466DF6" w:rsidRPr="00EA4AC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4DCE" w:rsidRDefault="00A64DCE" w:rsidP="006B1EFA">
      <w:pPr>
        <w:spacing w:after="0" w:line="240" w:lineRule="auto"/>
      </w:pPr>
      <w:r>
        <w:separator/>
      </w:r>
    </w:p>
  </w:endnote>
  <w:endnote w:type="continuationSeparator" w:id="0">
    <w:p w:rsidR="00A64DCE" w:rsidRDefault="00A64DCE" w:rsidP="006B1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1133499"/>
      <w:docPartObj>
        <w:docPartGallery w:val="Page Numbers (Bottom of Page)"/>
        <w:docPartUnique/>
      </w:docPartObj>
    </w:sdtPr>
    <w:sdtEndPr>
      <w:rPr>
        <w:noProof/>
      </w:rPr>
    </w:sdtEndPr>
    <w:sdtContent>
      <w:p w:rsidR="006B1EFA" w:rsidRDefault="006B1EFA">
        <w:pPr>
          <w:pStyle w:val="Footer"/>
          <w:jc w:val="right"/>
        </w:pPr>
        <w:r>
          <w:fldChar w:fldCharType="begin"/>
        </w:r>
        <w:r>
          <w:instrText xml:space="preserve"> PAGE   \* MERGEFORMAT </w:instrText>
        </w:r>
        <w:r>
          <w:fldChar w:fldCharType="separate"/>
        </w:r>
        <w:r w:rsidR="00230708">
          <w:rPr>
            <w:noProof/>
          </w:rPr>
          <w:t>1</w:t>
        </w:r>
        <w:r>
          <w:rPr>
            <w:noProof/>
          </w:rPr>
          <w:fldChar w:fldCharType="end"/>
        </w:r>
      </w:p>
    </w:sdtContent>
  </w:sdt>
  <w:p w:rsidR="006B1EFA" w:rsidRDefault="006B1E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4DCE" w:rsidRDefault="00A64DCE" w:rsidP="006B1EFA">
      <w:pPr>
        <w:spacing w:after="0" w:line="240" w:lineRule="auto"/>
      </w:pPr>
      <w:r>
        <w:separator/>
      </w:r>
    </w:p>
  </w:footnote>
  <w:footnote w:type="continuationSeparator" w:id="0">
    <w:p w:rsidR="00A64DCE" w:rsidRDefault="00A64DCE" w:rsidP="006B1E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8067F"/>
    <w:multiLevelType w:val="hybridMultilevel"/>
    <w:tmpl w:val="BF9E90FE"/>
    <w:lvl w:ilvl="0" w:tplc="F912C936">
      <w:start w:val="1"/>
      <w:numFmt w:val="bullet"/>
      <w:lvlText w:val=""/>
      <w:lvlJc w:val="left"/>
      <w:pPr>
        <w:tabs>
          <w:tab w:val="num" w:pos="720"/>
        </w:tabs>
        <w:ind w:left="720" w:hanging="360"/>
      </w:pPr>
      <w:rPr>
        <w:rFonts w:ascii="Wingdings 3" w:hAnsi="Wingdings 3" w:hint="default"/>
      </w:rPr>
    </w:lvl>
    <w:lvl w:ilvl="1" w:tplc="AE5224FE" w:tentative="1">
      <w:start w:val="1"/>
      <w:numFmt w:val="bullet"/>
      <w:lvlText w:val=""/>
      <w:lvlJc w:val="left"/>
      <w:pPr>
        <w:tabs>
          <w:tab w:val="num" w:pos="1440"/>
        </w:tabs>
        <w:ind w:left="1440" w:hanging="360"/>
      </w:pPr>
      <w:rPr>
        <w:rFonts w:ascii="Wingdings 3" w:hAnsi="Wingdings 3" w:hint="default"/>
      </w:rPr>
    </w:lvl>
    <w:lvl w:ilvl="2" w:tplc="99283892" w:tentative="1">
      <w:start w:val="1"/>
      <w:numFmt w:val="bullet"/>
      <w:lvlText w:val=""/>
      <w:lvlJc w:val="left"/>
      <w:pPr>
        <w:tabs>
          <w:tab w:val="num" w:pos="2160"/>
        </w:tabs>
        <w:ind w:left="2160" w:hanging="360"/>
      </w:pPr>
      <w:rPr>
        <w:rFonts w:ascii="Wingdings 3" w:hAnsi="Wingdings 3" w:hint="default"/>
      </w:rPr>
    </w:lvl>
    <w:lvl w:ilvl="3" w:tplc="AA1EEC30" w:tentative="1">
      <w:start w:val="1"/>
      <w:numFmt w:val="bullet"/>
      <w:lvlText w:val=""/>
      <w:lvlJc w:val="left"/>
      <w:pPr>
        <w:tabs>
          <w:tab w:val="num" w:pos="2880"/>
        </w:tabs>
        <w:ind w:left="2880" w:hanging="360"/>
      </w:pPr>
      <w:rPr>
        <w:rFonts w:ascii="Wingdings 3" w:hAnsi="Wingdings 3" w:hint="default"/>
      </w:rPr>
    </w:lvl>
    <w:lvl w:ilvl="4" w:tplc="6B7E5220" w:tentative="1">
      <w:start w:val="1"/>
      <w:numFmt w:val="bullet"/>
      <w:lvlText w:val=""/>
      <w:lvlJc w:val="left"/>
      <w:pPr>
        <w:tabs>
          <w:tab w:val="num" w:pos="3600"/>
        </w:tabs>
        <w:ind w:left="3600" w:hanging="360"/>
      </w:pPr>
      <w:rPr>
        <w:rFonts w:ascii="Wingdings 3" w:hAnsi="Wingdings 3" w:hint="default"/>
      </w:rPr>
    </w:lvl>
    <w:lvl w:ilvl="5" w:tplc="E9EA3D4E" w:tentative="1">
      <w:start w:val="1"/>
      <w:numFmt w:val="bullet"/>
      <w:lvlText w:val=""/>
      <w:lvlJc w:val="left"/>
      <w:pPr>
        <w:tabs>
          <w:tab w:val="num" w:pos="4320"/>
        </w:tabs>
        <w:ind w:left="4320" w:hanging="360"/>
      </w:pPr>
      <w:rPr>
        <w:rFonts w:ascii="Wingdings 3" w:hAnsi="Wingdings 3" w:hint="default"/>
      </w:rPr>
    </w:lvl>
    <w:lvl w:ilvl="6" w:tplc="55A8A51C" w:tentative="1">
      <w:start w:val="1"/>
      <w:numFmt w:val="bullet"/>
      <w:lvlText w:val=""/>
      <w:lvlJc w:val="left"/>
      <w:pPr>
        <w:tabs>
          <w:tab w:val="num" w:pos="5040"/>
        </w:tabs>
        <w:ind w:left="5040" w:hanging="360"/>
      </w:pPr>
      <w:rPr>
        <w:rFonts w:ascii="Wingdings 3" w:hAnsi="Wingdings 3" w:hint="default"/>
      </w:rPr>
    </w:lvl>
    <w:lvl w:ilvl="7" w:tplc="B434D158" w:tentative="1">
      <w:start w:val="1"/>
      <w:numFmt w:val="bullet"/>
      <w:lvlText w:val=""/>
      <w:lvlJc w:val="left"/>
      <w:pPr>
        <w:tabs>
          <w:tab w:val="num" w:pos="5760"/>
        </w:tabs>
        <w:ind w:left="5760" w:hanging="360"/>
      </w:pPr>
      <w:rPr>
        <w:rFonts w:ascii="Wingdings 3" w:hAnsi="Wingdings 3" w:hint="default"/>
      </w:rPr>
    </w:lvl>
    <w:lvl w:ilvl="8" w:tplc="A4D64110"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244"/>
    <w:rsid w:val="00230708"/>
    <w:rsid w:val="00303244"/>
    <w:rsid w:val="00466DF6"/>
    <w:rsid w:val="004E6E4E"/>
    <w:rsid w:val="006B1EFA"/>
    <w:rsid w:val="00A64DCE"/>
    <w:rsid w:val="00B113C6"/>
    <w:rsid w:val="00EA4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EAF390-918A-48F2-B22C-64DC12550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3244"/>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B1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EFA"/>
  </w:style>
  <w:style w:type="paragraph" w:styleId="Footer">
    <w:name w:val="footer"/>
    <w:basedOn w:val="Normal"/>
    <w:link w:val="FooterChar"/>
    <w:uiPriority w:val="99"/>
    <w:unhideWhenUsed/>
    <w:rsid w:val="006B1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053910">
      <w:bodyDiv w:val="1"/>
      <w:marLeft w:val="0"/>
      <w:marRight w:val="0"/>
      <w:marTop w:val="0"/>
      <w:marBottom w:val="0"/>
      <w:divBdr>
        <w:top w:val="none" w:sz="0" w:space="0" w:color="auto"/>
        <w:left w:val="none" w:sz="0" w:space="0" w:color="auto"/>
        <w:bottom w:val="none" w:sz="0" w:space="0" w:color="auto"/>
        <w:right w:val="none" w:sz="0" w:space="0" w:color="auto"/>
      </w:divBdr>
      <w:divsChild>
        <w:div w:id="1570992026">
          <w:marLeft w:val="547"/>
          <w:marRight w:val="0"/>
          <w:marTop w:val="200"/>
          <w:marBottom w:val="0"/>
          <w:divBdr>
            <w:top w:val="none" w:sz="0" w:space="0" w:color="auto"/>
            <w:left w:val="none" w:sz="0" w:space="0" w:color="auto"/>
            <w:bottom w:val="none" w:sz="0" w:space="0" w:color="auto"/>
            <w:right w:val="none" w:sz="0" w:space="0" w:color="auto"/>
          </w:divBdr>
        </w:div>
      </w:divsChild>
    </w:div>
    <w:div w:id="624232869">
      <w:bodyDiv w:val="1"/>
      <w:marLeft w:val="0"/>
      <w:marRight w:val="0"/>
      <w:marTop w:val="0"/>
      <w:marBottom w:val="0"/>
      <w:divBdr>
        <w:top w:val="none" w:sz="0" w:space="0" w:color="auto"/>
        <w:left w:val="none" w:sz="0" w:space="0" w:color="auto"/>
        <w:bottom w:val="none" w:sz="0" w:space="0" w:color="auto"/>
        <w:right w:val="none" w:sz="0" w:space="0" w:color="auto"/>
      </w:divBdr>
    </w:div>
    <w:div w:id="162014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8753D-FCC5-40BC-9E61-D23DD4007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9</Pages>
  <Words>2106</Words>
  <Characters>12009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2026-07-18T10:04:00Z</dcterms:created>
  <dcterms:modified xsi:type="dcterms:W3CDTF">2026-07-18T11:16:00Z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0445c384-ab15-43a6-8d9b-9b5d73ca05b9</vt:lpwstr>
  </property>
</Properties>
</file>