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949F6" w:rsidRPr="0040625E" w:rsidRDefault="009949F6" w:rsidP="009949F6">
      <w:pPr>
        <w:spacing w:after="0" w:line="276" w:lineRule="auto"/>
        <w:ind w:left="567" w:right="531"/>
        <w:rPr>
          <w:rFonts w:ascii="Arial" w:eastAsia="Times New Roman" w:hAnsi="Arial" w:cs="Arial"/>
          <w:i/>
          <w:lang w:eastAsia="en-GB"/>
        </w:rPr>
      </w:pPr>
      <w:r w:rsidRPr="0040625E">
        <w:rPr>
          <w:rFonts w:ascii="Arial" w:eastAsia="Times New Roman" w:hAnsi="Arial" w:cs="Arial"/>
          <w:b/>
          <w:bCs/>
          <w:i/>
          <w:lang w:eastAsia="en-GB"/>
        </w:rPr>
        <w:t>Essay one:</w:t>
      </w:r>
    </w:p>
    <w:p w:rsidR="009949F6" w:rsidRPr="0040625E" w:rsidRDefault="009949F6" w:rsidP="009949F6">
      <w:pPr>
        <w:spacing w:after="0" w:line="276" w:lineRule="auto"/>
        <w:ind w:left="567" w:right="531"/>
        <w:rPr>
          <w:rFonts w:ascii="Arial" w:eastAsia="Times New Roman" w:hAnsi="Arial" w:cs="Arial"/>
          <w:i/>
          <w:lang w:eastAsia="en-GB"/>
        </w:rPr>
      </w:pPr>
      <w:r w:rsidRPr="0040625E">
        <w:rPr>
          <w:rFonts w:ascii="Arial" w:eastAsia="Times New Roman" w:hAnsi="Arial" w:cs="Arial"/>
          <w:i/>
          <w:u w:val="single"/>
          <w:lang w:eastAsia="en-GB"/>
        </w:rPr>
        <w:t>Examine</w:t>
      </w:r>
      <w:r w:rsidRPr="0040625E">
        <w:rPr>
          <w:rFonts w:ascii="Arial" w:eastAsia="Times New Roman" w:hAnsi="Arial" w:cs="Arial"/>
          <w:i/>
          <w:lang w:eastAsia="en-GB"/>
        </w:rPr>
        <w:t xml:space="preserve"> how prominent cases of police misconduct or malpractice have influenced current professional policing policies. </w:t>
      </w:r>
      <w:r w:rsidRPr="0040625E">
        <w:rPr>
          <w:rFonts w:ascii="Arial" w:eastAsia="Times New Roman" w:hAnsi="Arial" w:cs="Arial"/>
          <w:i/>
          <w:u w:val="single"/>
          <w:lang w:eastAsia="en-GB"/>
        </w:rPr>
        <w:t>Evaluate</w:t>
      </w:r>
      <w:r w:rsidRPr="0040625E">
        <w:rPr>
          <w:rFonts w:ascii="Arial" w:eastAsia="Times New Roman" w:hAnsi="Arial" w:cs="Arial"/>
          <w:i/>
          <w:lang w:eastAsia="en-GB"/>
        </w:rPr>
        <w:t xml:space="preserve"> how these policies have increased community confidence in the police, with reference to the Code of Ethics. </w:t>
      </w:r>
    </w:p>
    <w:p w:rsidR="009949F6" w:rsidRPr="0040625E" w:rsidRDefault="009949F6" w:rsidP="009949F6">
      <w:pPr>
        <w:spacing w:after="0" w:line="276" w:lineRule="auto"/>
        <w:ind w:left="567" w:right="531"/>
        <w:rPr>
          <w:rFonts w:ascii="Arial" w:eastAsia="Times New Roman" w:hAnsi="Arial" w:cs="Arial"/>
          <w:i/>
          <w:lang w:eastAsia="en-GB"/>
        </w:rPr>
      </w:pPr>
      <w:r w:rsidRPr="0040625E">
        <w:rPr>
          <w:rFonts w:ascii="Arial" w:eastAsia="Times New Roman" w:hAnsi="Arial" w:cs="Arial"/>
          <w:i/>
          <w:lang w:eastAsia="en-GB"/>
        </w:rPr>
        <w:t>Your answer should be based on academic research rather than personal experience, but you may make reference to relevant case studies.</w:t>
      </w:r>
    </w:p>
    <w:p w:rsidR="009949F6" w:rsidRPr="0040625E" w:rsidRDefault="009949F6" w:rsidP="009949F6">
      <w:pPr>
        <w:rPr>
          <w:rFonts w:cstheme="minorHAnsi"/>
          <w:i/>
        </w:rPr>
      </w:pPr>
      <w:r w:rsidRPr="0040625E">
        <w:rPr>
          <w:rFonts w:ascii="Arial" w:eastAsia="Times New Roman" w:hAnsi="Arial" w:cs="Arial"/>
          <w:b/>
          <w:bCs/>
          <w:i/>
          <w:lang w:eastAsia="en-GB"/>
        </w:rPr>
        <w:t>Word limit:</w:t>
      </w:r>
      <w:r w:rsidRPr="0040625E">
        <w:rPr>
          <w:rFonts w:ascii="Arial" w:eastAsia="Times New Roman" w:hAnsi="Arial" w:cs="Arial"/>
          <w:i/>
          <w:lang w:eastAsia="en-GB"/>
        </w:rPr>
        <w:t xml:space="preserve"> 1000 words</w:t>
      </w:r>
    </w:p>
    <w:p w:rsidR="009949F6" w:rsidRDefault="009949F6" w:rsidP="009949F6">
      <w:pPr>
        <w:rPr>
          <w:rFonts w:cstheme="minorHAnsi"/>
        </w:rPr>
      </w:pPr>
    </w:p>
    <w:p w:rsidR="009949F6" w:rsidRDefault="009949F6" w:rsidP="009949F6">
      <w:pPr>
        <w:rPr>
          <w:rFonts w:cstheme="minorHAnsi"/>
        </w:rPr>
      </w:pPr>
    </w:p>
    <w:p w:rsidR="009949F6" w:rsidRDefault="009949F6" w:rsidP="009949F6">
      <w:pPr>
        <w:rPr>
          <w:rFonts w:cstheme="minorHAnsi"/>
        </w:rPr>
      </w:pPr>
    </w:p>
    <w:p w:rsidR="009949F6" w:rsidRPr="00575EAF" w:rsidRDefault="009949F6" w:rsidP="009949F6">
      <w:pPr>
        <w:rPr>
          <w:rFonts w:cstheme="minorHAnsi"/>
          <w:color w:val="000000"/>
          <w:shd w:val="clear" w:color="auto" w:fill="FFFFFF"/>
        </w:rPr>
      </w:pPr>
      <w:r w:rsidRPr="00575EAF">
        <w:rPr>
          <w:rFonts w:cstheme="minorHAnsi"/>
        </w:rPr>
        <w:t xml:space="preserve">Police misconduct or malpractice gain a lot of public interest via the media reporting incidents where police officers have fallen short of what is expected of them and failing in their duty. In South Wales Police, the values officers uphold and to be ‘proud, professional and positive in everything we do’ </w:t>
      </w:r>
      <w:r w:rsidRPr="00575EAF">
        <w:rPr>
          <w:rFonts w:cstheme="minorHAnsi"/>
          <w:color w:val="000000"/>
          <w:shd w:val="clear" w:color="auto" w:fill="FFFFFF"/>
        </w:rPr>
        <w:t xml:space="preserve">(Our vision, values and ethics, 2022). For officers to not adhere to these values could lead to misconduct of malpractice. </w:t>
      </w:r>
    </w:p>
    <w:p w:rsidR="009949F6" w:rsidRPr="00575EAF" w:rsidRDefault="009949F6" w:rsidP="009949F6">
      <w:pPr>
        <w:rPr>
          <w:rFonts w:cstheme="minorHAnsi"/>
          <w:color w:val="000000"/>
          <w:shd w:val="clear" w:color="auto" w:fill="FFFFFF"/>
        </w:rPr>
      </w:pPr>
    </w:p>
    <w:p w:rsidR="009949F6" w:rsidRPr="00575EAF" w:rsidRDefault="009949F6" w:rsidP="009949F6">
      <w:pPr>
        <w:rPr>
          <w:rFonts w:cstheme="minorHAnsi"/>
          <w:color w:val="000000"/>
          <w:shd w:val="clear" w:color="auto" w:fill="FFFFFF"/>
        </w:rPr>
      </w:pPr>
      <w:r w:rsidRPr="00575EAF">
        <w:rPr>
          <w:rFonts w:cstheme="minorHAnsi"/>
          <w:color w:val="000000"/>
          <w:shd w:val="clear" w:color="auto" w:fill="FFFFFF"/>
        </w:rPr>
        <w:t>When there has been major case of police misconduct or malpractice, thorough investigations are carried out to ascertain why such a failing has happened</w:t>
      </w:r>
      <w:r>
        <w:rPr>
          <w:rFonts w:cstheme="minorHAnsi"/>
          <w:color w:val="000000"/>
          <w:shd w:val="clear" w:color="auto" w:fill="FFFFFF"/>
        </w:rPr>
        <w:t xml:space="preserve"> and what amendments can be made</w:t>
      </w:r>
      <w:r w:rsidRPr="00575EAF">
        <w:rPr>
          <w:rFonts w:cstheme="minorHAnsi"/>
          <w:color w:val="000000"/>
          <w:shd w:val="clear" w:color="auto" w:fill="FFFFFF"/>
        </w:rPr>
        <w:t>. In this essay I am going to reflect on the Maxwell Confait’s murder 1972 (Hughes, 2019) and the introduction of the Police and Criminal Evidence act 1984 (Home Office, 2013). Further from this I am going to outline the death of Stephen Lawrence 1993 (Lockwood, 2021) and the impact this had on the police service and the publication of the Macpherson report 1997 (Guardian Staff, 1999). T</w:t>
      </w:r>
      <w:r>
        <w:rPr>
          <w:rFonts w:cstheme="minorHAnsi"/>
          <w:color w:val="000000"/>
          <w:shd w:val="clear" w:color="auto" w:fill="FFFFFF"/>
        </w:rPr>
        <w:t>he outcome of these investigations</w:t>
      </w:r>
      <w:r w:rsidRPr="00575EAF">
        <w:rPr>
          <w:rFonts w:cstheme="minorHAnsi"/>
          <w:color w:val="000000"/>
          <w:shd w:val="clear" w:color="auto" w:fill="FFFFFF"/>
        </w:rPr>
        <w:t xml:space="preserve"> in turn making police more accountable for their actions and adhere to the code of ethics of police officers. </w:t>
      </w:r>
    </w:p>
    <w:p w:rsidR="009949F6" w:rsidRDefault="009949F6" w:rsidP="009949F6">
      <w:pPr>
        <w:rPr>
          <w:rFonts w:cstheme="minorHAnsi"/>
          <w:color w:val="000000"/>
          <w:shd w:val="clear" w:color="auto" w:fill="FFFFFF"/>
        </w:rPr>
      </w:pPr>
    </w:p>
    <w:p w:rsidR="009949F6" w:rsidRPr="00575EAF" w:rsidRDefault="009949F6" w:rsidP="009949F6">
      <w:pPr>
        <w:rPr>
          <w:rFonts w:cstheme="minorHAnsi"/>
          <w:color w:val="000000"/>
          <w:shd w:val="clear" w:color="auto" w:fill="FFFFFF"/>
        </w:rPr>
      </w:pPr>
      <w:r w:rsidRPr="00575EAF">
        <w:rPr>
          <w:rFonts w:cstheme="minorHAnsi"/>
          <w:color w:val="000000"/>
          <w:shd w:val="clear" w:color="auto" w:fill="FFFFFF"/>
        </w:rPr>
        <w:t xml:space="preserve">The murder of Maxwell Confait 1972 (Hughes, 2019) sparked a turning point in policing powers after 3 youths were wrongly convicted of the murder of Confait. These youths were subjected to hours of interrogation without the presence of any legal advice or parent or guardian, despite them being 18, 15 and 14 years old. Eventually a statement of confession was signed by the youths, confessing the murder. </w:t>
      </w:r>
    </w:p>
    <w:p w:rsidR="009949F6" w:rsidRPr="00575EAF" w:rsidRDefault="009949F6" w:rsidP="009949F6">
      <w:pPr>
        <w:rPr>
          <w:rFonts w:cstheme="minorHAnsi"/>
          <w:color w:val="000000"/>
          <w:shd w:val="clear" w:color="auto" w:fill="FFFFFF"/>
        </w:rPr>
      </w:pPr>
      <w:r w:rsidRPr="00575EAF">
        <w:rPr>
          <w:rFonts w:cstheme="minorHAnsi"/>
          <w:color w:val="000000"/>
          <w:shd w:val="clear" w:color="auto" w:fill="FFFFFF"/>
        </w:rPr>
        <w:t xml:space="preserve">However, after an appeal for a re-examination of the case, it was found that these youths had strong alibis for when the murder was estimated to have happened.  </w:t>
      </w:r>
    </w:p>
    <w:p w:rsidR="009949F6" w:rsidRPr="00575EAF" w:rsidRDefault="009949F6" w:rsidP="009949F6">
      <w:pPr>
        <w:rPr>
          <w:rFonts w:cstheme="minorHAnsi"/>
          <w:color w:val="000000"/>
          <w:shd w:val="clear" w:color="auto" w:fill="FFFFFF"/>
        </w:rPr>
      </w:pPr>
      <w:r w:rsidRPr="00575EAF">
        <w:rPr>
          <w:rFonts w:cstheme="minorHAnsi"/>
          <w:color w:val="000000"/>
          <w:shd w:val="clear" w:color="auto" w:fill="FFFFFF"/>
        </w:rPr>
        <w:t xml:space="preserve">An enquiry, led by Sir Henry Fisher, began and his findings in the police procedure deemed to have issues among the investigation and the rights of the suspect being protected (Wikipedia, 2022). These findings have contributed to the creation of the Royal Commission on Criminal Procedure 1979-1981. Set out in this were guidelines of changes in policy for the police in investigating criminal offences and prosecuting the offences as well as upholding the rights of the suspect (Wikipedia, 2022). </w:t>
      </w:r>
    </w:p>
    <w:p w:rsidR="009949F6" w:rsidRPr="00575EAF" w:rsidRDefault="009949F6" w:rsidP="009949F6">
      <w:pPr>
        <w:rPr>
          <w:rFonts w:cstheme="minorHAnsi"/>
          <w:color w:val="000000"/>
          <w:shd w:val="clear" w:color="auto" w:fill="FFFFFF"/>
        </w:rPr>
      </w:pPr>
      <w:r w:rsidRPr="00575EAF">
        <w:rPr>
          <w:rFonts w:cstheme="minorHAnsi"/>
          <w:color w:val="000000"/>
          <w:shd w:val="clear" w:color="auto" w:fill="FFFFFF"/>
        </w:rPr>
        <w:t xml:space="preserve">The Brixton Riots 1981 (John, 2009) ignited a change in the stop and search procedure used by police. The Sus law 1824 allowed officers to act if they had suspicion of a person who had the intent </w:t>
      </w:r>
      <w:r w:rsidRPr="00575EAF">
        <w:rPr>
          <w:rFonts w:cstheme="minorHAnsi"/>
          <w:color w:val="000000"/>
          <w:shd w:val="clear" w:color="auto" w:fill="FFFFFF"/>
        </w:rPr>
        <w:lastRenderedPageBreak/>
        <w:t>to commit an arrest</w:t>
      </w:r>
      <w:r>
        <w:rPr>
          <w:rFonts w:cstheme="minorHAnsi"/>
          <w:color w:val="000000"/>
          <w:shd w:val="clear" w:color="auto" w:fill="FFFFFF"/>
        </w:rPr>
        <w:t>-</w:t>
      </w:r>
      <w:r w:rsidRPr="00575EAF">
        <w:rPr>
          <w:rFonts w:cstheme="minorHAnsi"/>
          <w:color w:val="000000"/>
          <w:shd w:val="clear" w:color="auto" w:fill="FFFFFF"/>
        </w:rPr>
        <w:t xml:space="preserve">able offence (Wikipedia Contributors, 2019). This often led to stop searches of individuals from the black and ethnic minorities who felt targeted by police. </w:t>
      </w:r>
    </w:p>
    <w:p w:rsidR="009949F6" w:rsidRPr="00575EAF" w:rsidRDefault="009949F6" w:rsidP="009949F6">
      <w:pPr>
        <w:rPr>
          <w:rFonts w:cstheme="minorHAnsi"/>
          <w:color w:val="000000"/>
          <w:shd w:val="clear" w:color="auto" w:fill="FFFFFF"/>
        </w:rPr>
      </w:pPr>
      <w:r w:rsidRPr="00575EAF">
        <w:rPr>
          <w:rFonts w:cstheme="minorHAnsi"/>
          <w:color w:val="000000"/>
          <w:shd w:val="clear" w:color="auto" w:fill="FFFFFF"/>
        </w:rPr>
        <w:t>During April 1981, operation Swamp (F, 2021) commence</w:t>
      </w:r>
      <w:r>
        <w:rPr>
          <w:rFonts w:cstheme="minorHAnsi"/>
          <w:color w:val="000000"/>
          <w:shd w:val="clear" w:color="auto" w:fill="FFFFFF"/>
        </w:rPr>
        <w:t>d</w:t>
      </w:r>
      <w:r w:rsidRPr="00575EAF">
        <w:rPr>
          <w:rFonts w:cstheme="minorHAnsi"/>
          <w:color w:val="000000"/>
          <w:shd w:val="clear" w:color="auto" w:fill="FFFFFF"/>
        </w:rPr>
        <w:t xml:space="preserve"> and saw 1000 stop searches in just 6 days, again many of these individuals were from ethnic minorities. This, accompanied with rumours of police brutality against young black men meant the start of the Brixton</w:t>
      </w:r>
      <w:r>
        <w:rPr>
          <w:rFonts w:cstheme="minorHAnsi"/>
          <w:color w:val="000000"/>
          <w:shd w:val="clear" w:color="auto" w:fill="FFFFFF"/>
        </w:rPr>
        <w:t xml:space="preserve"> riots. Many officers and membe</w:t>
      </w:r>
      <w:r w:rsidRPr="00575EAF">
        <w:rPr>
          <w:rFonts w:cstheme="minorHAnsi"/>
          <w:color w:val="000000"/>
          <w:shd w:val="clear" w:color="auto" w:fill="FFFFFF"/>
        </w:rPr>
        <w:t>rs of the public were injured as well as millions of pounds worth of damage was caused. These riots went on for three days (John, 2009).</w:t>
      </w:r>
    </w:p>
    <w:p w:rsidR="009949F6" w:rsidRDefault="009949F6" w:rsidP="009949F6">
      <w:pPr>
        <w:rPr>
          <w:rFonts w:cstheme="minorHAnsi"/>
          <w:color w:val="000000"/>
          <w:shd w:val="clear" w:color="auto" w:fill="FFFFFF"/>
        </w:rPr>
      </w:pPr>
      <w:r>
        <w:rPr>
          <w:rFonts w:cstheme="minorHAnsi"/>
          <w:color w:val="000000"/>
          <w:shd w:val="clear" w:color="auto" w:fill="FFFFFF"/>
        </w:rPr>
        <w:t xml:space="preserve">As part of the investigation in to how the riots started, Lord Scarman was appointed to conduct a report and was able to enforce any recommendations that he deemed suitable </w:t>
      </w:r>
      <w:r w:rsidRPr="009E203F">
        <w:rPr>
          <w:rFonts w:cstheme="minorHAnsi"/>
          <w:color w:val="000000"/>
          <w:shd w:val="clear" w:color="auto" w:fill="FFFFFF"/>
        </w:rPr>
        <w:t>(Bbc.co.uk, 2009)</w:t>
      </w:r>
      <w:r>
        <w:rPr>
          <w:rFonts w:cstheme="minorHAnsi"/>
          <w:color w:val="000000"/>
          <w:shd w:val="clear" w:color="auto" w:fill="FFFFFF"/>
        </w:rPr>
        <w:t xml:space="preserve">. </w:t>
      </w:r>
    </w:p>
    <w:p w:rsidR="009949F6" w:rsidRDefault="009949F6" w:rsidP="009949F6">
      <w:pPr>
        <w:rPr>
          <w:rFonts w:cstheme="minorHAnsi"/>
          <w:color w:val="000000"/>
          <w:shd w:val="clear" w:color="auto" w:fill="FFFFFF"/>
        </w:rPr>
      </w:pPr>
      <w:r>
        <w:rPr>
          <w:rFonts w:cstheme="minorHAnsi"/>
          <w:color w:val="000000"/>
          <w:shd w:val="clear" w:color="auto" w:fill="FFFFFF"/>
        </w:rPr>
        <w:t xml:space="preserve">As part of Scarman’s findings, he concluded that the public’s trust and confidence in the policing methods had fallen through. A recommendation from this was that more effort needed to be made to recruit individuals form minority backgrounds as well a shift in training methods and enforcement of the law. Nevertheless Scarman considered there to be ‘racial disadvantage and discrimination’ rather than ‘institutional racism’ </w:t>
      </w:r>
      <w:r w:rsidRPr="009E203F">
        <w:rPr>
          <w:rFonts w:cstheme="minorHAnsi"/>
          <w:color w:val="000000"/>
          <w:shd w:val="clear" w:color="auto" w:fill="FFFFFF"/>
        </w:rPr>
        <w:t>(Bbc.co.uk, 2009)</w:t>
      </w:r>
      <w:r>
        <w:rPr>
          <w:rFonts w:cstheme="minorHAnsi"/>
          <w:color w:val="000000"/>
          <w:shd w:val="clear" w:color="auto" w:fill="FFFFFF"/>
        </w:rPr>
        <w:t xml:space="preserve">. </w:t>
      </w:r>
    </w:p>
    <w:p w:rsidR="009949F6" w:rsidRDefault="009949F6" w:rsidP="009949F6">
      <w:pPr>
        <w:rPr>
          <w:rFonts w:cstheme="minorHAnsi"/>
          <w:color w:val="000000"/>
          <w:shd w:val="clear" w:color="auto" w:fill="FFFFFF"/>
        </w:rPr>
      </w:pPr>
    </w:p>
    <w:p w:rsidR="009949F6" w:rsidRDefault="009949F6" w:rsidP="009949F6">
      <w:pPr>
        <w:rPr>
          <w:rFonts w:cstheme="minorHAnsi"/>
          <w:color w:val="000000"/>
          <w:shd w:val="clear" w:color="auto" w:fill="FFFFFF"/>
        </w:rPr>
      </w:pPr>
      <w:r>
        <w:rPr>
          <w:rFonts w:cstheme="minorHAnsi"/>
          <w:color w:val="000000"/>
          <w:shd w:val="clear" w:color="auto" w:fill="FFFFFF"/>
        </w:rPr>
        <w:t xml:space="preserve">Following the Scarman report, the Police and Criminal Evidence act 1984 (PACE) was introduced </w:t>
      </w:r>
      <w:r w:rsidRPr="001A4EF3">
        <w:rPr>
          <w:rFonts w:cstheme="minorHAnsi"/>
          <w:color w:val="000000"/>
          <w:shd w:val="clear" w:color="auto" w:fill="FFFFFF"/>
        </w:rPr>
        <w:t>(Home Office, 2013)</w:t>
      </w:r>
      <w:r>
        <w:rPr>
          <w:rFonts w:cstheme="minorHAnsi"/>
          <w:color w:val="000000"/>
          <w:shd w:val="clear" w:color="auto" w:fill="FFFFFF"/>
        </w:rPr>
        <w:t xml:space="preserve">. PACE sets out the ‘codes of practice’ that police have to follow when using their policing powers for dealing with crime and keeping the public safe. There are different codes in PACE which specify policing powers and how those powers should be carried out. For example Code A sets out the foundations of police stop and search powers without making an arrest first </w:t>
      </w:r>
      <w:r w:rsidRPr="000E030B">
        <w:rPr>
          <w:rFonts w:cstheme="minorHAnsi"/>
          <w:color w:val="000000"/>
          <w:shd w:val="clear" w:color="auto" w:fill="FFFFFF"/>
        </w:rPr>
        <w:t>(Home Office, 2015)</w:t>
      </w:r>
      <w:r>
        <w:rPr>
          <w:rFonts w:cstheme="minorHAnsi"/>
          <w:color w:val="000000"/>
          <w:shd w:val="clear" w:color="auto" w:fill="FFFFFF"/>
        </w:rPr>
        <w:t xml:space="preserve">. </w:t>
      </w:r>
    </w:p>
    <w:p w:rsidR="009949F6" w:rsidRDefault="009949F6" w:rsidP="009949F6">
      <w:pPr>
        <w:rPr>
          <w:rFonts w:cstheme="minorHAnsi"/>
          <w:color w:val="000000"/>
          <w:shd w:val="clear" w:color="auto" w:fill="FFFFFF"/>
        </w:rPr>
      </w:pPr>
      <w:r>
        <w:rPr>
          <w:rFonts w:cstheme="minorHAnsi"/>
          <w:color w:val="000000"/>
          <w:shd w:val="clear" w:color="auto" w:fill="FFFFFF"/>
        </w:rPr>
        <w:t xml:space="preserve">Where as the Sus law (Wikipedia contributors, 2019) allowed officers to stop and search a person based on suspicion alone, PACE puts more emphasis on the officer to justify their reasoning as to why they are searching that individual and whether they have the grounds to do so.  There also must be a legal power in place for the officer to search. Such as Section 1 PACE allows an officer to stop and search an individual when in a public place if they have suspicion that the individual is in possession of a ‘stolen or prohibited article, an offensive weapon, bladed or sharply pointed article, firework or any article used in the course of or in connection with some criminal offences’ </w:t>
      </w:r>
      <w:r w:rsidRPr="00B40B5F">
        <w:rPr>
          <w:rFonts w:cstheme="minorHAnsi"/>
          <w:color w:val="000000"/>
          <w:shd w:val="clear" w:color="auto" w:fill="FFFFFF"/>
        </w:rPr>
        <w:t>(Legislation.gov.uk, 2019)</w:t>
      </w:r>
      <w:r>
        <w:rPr>
          <w:rFonts w:cstheme="minorHAnsi"/>
          <w:color w:val="000000"/>
          <w:shd w:val="clear" w:color="auto" w:fill="FFFFFF"/>
        </w:rPr>
        <w:t xml:space="preserve">.  </w:t>
      </w:r>
    </w:p>
    <w:p w:rsidR="009949F6" w:rsidRDefault="009949F6" w:rsidP="009949F6">
      <w:pPr>
        <w:rPr>
          <w:rFonts w:cstheme="minorHAnsi"/>
          <w:color w:val="000000"/>
          <w:shd w:val="clear" w:color="auto" w:fill="FFFFFF"/>
        </w:rPr>
      </w:pPr>
    </w:p>
    <w:p w:rsidR="009949F6" w:rsidRDefault="009949F6" w:rsidP="009949F6">
      <w:pPr>
        <w:rPr>
          <w:rFonts w:cstheme="minorHAnsi"/>
          <w:color w:val="000000"/>
          <w:shd w:val="clear" w:color="auto" w:fill="FFFFFF"/>
        </w:rPr>
      </w:pPr>
      <w:r>
        <w:rPr>
          <w:rFonts w:cstheme="minorHAnsi"/>
          <w:color w:val="000000"/>
          <w:shd w:val="clear" w:color="auto" w:fill="FFFFFF"/>
        </w:rPr>
        <w:t xml:space="preserve">However with PACE 1984 in place, there still continues to be cases of malpractice within police forces in the UK. </w:t>
      </w:r>
    </w:p>
    <w:p w:rsidR="009949F6" w:rsidRDefault="009949F6" w:rsidP="009949F6">
      <w:pPr>
        <w:rPr>
          <w:rFonts w:cstheme="minorHAnsi"/>
          <w:color w:val="000000"/>
          <w:shd w:val="clear" w:color="auto" w:fill="FFFFFF"/>
        </w:rPr>
      </w:pPr>
      <w:r>
        <w:rPr>
          <w:rFonts w:cstheme="minorHAnsi"/>
          <w:color w:val="000000"/>
          <w:shd w:val="clear" w:color="auto" w:fill="FFFFFF"/>
        </w:rPr>
        <w:t xml:space="preserve">The Stephen Lawrence murder in 1993 </w:t>
      </w:r>
      <w:r w:rsidRPr="00CA56C5">
        <w:rPr>
          <w:rFonts w:cstheme="minorHAnsi"/>
          <w:color w:val="000000"/>
          <w:shd w:val="clear" w:color="auto" w:fill="FFFFFF"/>
        </w:rPr>
        <w:t>(BBC, 2018)</w:t>
      </w:r>
      <w:r>
        <w:rPr>
          <w:rFonts w:cstheme="minorHAnsi"/>
          <w:color w:val="000000"/>
          <w:shd w:val="clear" w:color="auto" w:fill="FFFFFF"/>
        </w:rPr>
        <w:t xml:space="preserve"> is an example of this. Stephen Lawrence was killed in an ‘unprovoked attack’ by a group of youths whilst Stephen was waiting for a bus. A police investigation was launched to identify the killers. Following a lengthy prosecution process, the suspects identified were acquitted. In July 1997 a ‘public inquiry’ was announced by ‘Sir William Macpherson’ (BBC,2018).</w:t>
      </w:r>
    </w:p>
    <w:p w:rsidR="009949F6" w:rsidRDefault="009949F6" w:rsidP="009949F6">
      <w:pPr>
        <w:rPr>
          <w:rFonts w:cstheme="minorHAnsi"/>
          <w:color w:val="000000"/>
          <w:shd w:val="clear" w:color="auto" w:fill="FFFFFF"/>
        </w:rPr>
      </w:pPr>
      <w:r>
        <w:rPr>
          <w:rFonts w:cstheme="minorHAnsi"/>
          <w:color w:val="000000"/>
          <w:shd w:val="clear" w:color="auto" w:fill="FFFFFF"/>
        </w:rPr>
        <w:t xml:space="preserve">The Macpherson report included 70 recommendations for the police forces to change in relation to enhancing victims rights and to ‘show zero tolerance for racism in society’ </w:t>
      </w:r>
      <w:r w:rsidRPr="006D541C">
        <w:rPr>
          <w:rFonts w:cstheme="minorHAnsi"/>
          <w:color w:val="000000"/>
          <w:shd w:val="clear" w:color="auto" w:fill="FFFFFF"/>
        </w:rPr>
        <w:t>(Quinn, 2019)</w:t>
      </w:r>
      <w:r>
        <w:rPr>
          <w:rFonts w:cstheme="minorHAnsi"/>
          <w:color w:val="000000"/>
          <w:shd w:val="clear" w:color="auto" w:fill="FFFFFF"/>
        </w:rPr>
        <w:t xml:space="preserve">. These recommendations remain in place today which include the police forces reflecting the ‘cultural and ethnic mix of the community they serve’ </w:t>
      </w:r>
      <w:r w:rsidRPr="00597BF2">
        <w:rPr>
          <w:rFonts w:cstheme="minorHAnsi"/>
          <w:color w:val="000000"/>
          <w:shd w:val="clear" w:color="auto" w:fill="FFFFFF"/>
        </w:rPr>
        <w:t>(Guardian Staff, 1999)</w:t>
      </w:r>
      <w:r>
        <w:rPr>
          <w:rFonts w:cstheme="minorHAnsi"/>
          <w:color w:val="000000"/>
          <w:shd w:val="clear" w:color="auto" w:fill="FFFFFF"/>
        </w:rPr>
        <w:t xml:space="preserve">. </w:t>
      </w:r>
    </w:p>
    <w:p w:rsidR="009949F6" w:rsidRDefault="009949F6" w:rsidP="009949F6">
      <w:pPr>
        <w:rPr>
          <w:rFonts w:cstheme="minorHAnsi"/>
          <w:color w:val="000000"/>
          <w:shd w:val="clear" w:color="auto" w:fill="FFFFFF"/>
        </w:rPr>
      </w:pPr>
      <w:r>
        <w:rPr>
          <w:rFonts w:cstheme="minorHAnsi"/>
          <w:color w:val="000000"/>
          <w:shd w:val="clear" w:color="auto" w:fill="FFFFFF"/>
        </w:rPr>
        <w:lastRenderedPageBreak/>
        <w:t xml:space="preserve">South Wales police have developed a recruitment strategy to provide attract a representative workforce </w:t>
      </w:r>
      <w:r w:rsidRPr="00597BF2">
        <w:rPr>
          <w:rFonts w:cstheme="minorHAnsi"/>
          <w:color w:val="000000"/>
          <w:shd w:val="clear" w:color="auto" w:fill="FFFFFF"/>
        </w:rPr>
        <w:t>(South Wales Police, n.d.)</w:t>
      </w:r>
      <w:r>
        <w:rPr>
          <w:rFonts w:cstheme="minorHAnsi"/>
          <w:color w:val="000000"/>
          <w:shd w:val="clear" w:color="auto" w:fill="FFFFFF"/>
        </w:rPr>
        <w:t xml:space="preserve">. </w:t>
      </w:r>
    </w:p>
    <w:p w:rsidR="009949F6" w:rsidRDefault="009949F6" w:rsidP="009949F6">
      <w:pPr>
        <w:rPr>
          <w:rFonts w:cstheme="minorHAnsi"/>
          <w:color w:val="000000"/>
          <w:shd w:val="clear" w:color="auto" w:fill="FFFFFF"/>
        </w:rPr>
      </w:pPr>
      <w:r>
        <w:rPr>
          <w:rFonts w:cstheme="minorHAnsi"/>
          <w:color w:val="000000"/>
          <w:shd w:val="clear" w:color="auto" w:fill="FFFFFF"/>
        </w:rPr>
        <w:t xml:space="preserve">In 2014 the college of policing have published the code of ethics (CofE) which outlines the behaviour police officers should follow. </w:t>
      </w:r>
    </w:p>
    <w:p w:rsidR="009949F6" w:rsidRDefault="009949F6" w:rsidP="009949F6">
      <w:pPr>
        <w:rPr>
          <w:rFonts w:cstheme="minorHAnsi"/>
          <w:color w:val="000000"/>
          <w:shd w:val="clear" w:color="auto" w:fill="FFFFFF"/>
        </w:rPr>
      </w:pPr>
    </w:p>
    <w:p w:rsidR="009949F6" w:rsidRDefault="009949F6" w:rsidP="009949F6">
      <w:pPr>
        <w:rPr>
          <w:rFonts w:cstheme="minorHAnsi"/>
          <w:color w:val="000000"/>
          <w:shd w:val="clear" w:color="auto" w:fill="FFFFFF"/>
        </w:rPr>
      </w:pPr>
      <w:r>
        <w:rPr>
          <w:rFonts w:cstheme="minorHAnsi"/>
          <w:color w:val="000000"/>
          <w:shd w:val="clear" w:color="auto" w:fill="FFFFFF"/>
        </w:rPr>
        <w:t xml:space="preserve">CofE include the 9 policing principles and the 10 standards of professional behaviour. The principles include Accountability. This puts the onus on officers to justify their actions and fully update victims and witnesses the updates and outcomes of police investigations. Officers must be honest and have integrity during their investigation and remain impartial. </w:t>
      </w:r>
    </w:p>
    <w:p w:rsidR="009949F6" w:rsidRDefault="009949F6" w:rsidP="009949F6">
      <w:pPr>
        <w:rPr>
          <w:rFonts w:cstheme="minorHAnsi"/>
          <w:color w:val="000000"/>
          <w:shd w:val="clear" w:color="auto" w:fill="FFFFFF"/>
        </w:rPr>
      </w:pPr>
      <w:r>
        <w:rPr>
          <w:rFonts w:cstheme="minorHAnsi"/>
          <w:color w:val="000000"/>
          <w:shd w:val="clear" w:color="auto" w:fill="FFFFFF"/>
        </w:rPr>
        <w:t xml:space="preserve">When officers do not reflect the CofE, it can lead to disciplinary action and potentially a dismissal. </w:t>
      </w:r>
    </w:p>
    <w:p w:rsidR="009949F6" w:rsidRDefault="009949F6" w:rsidP="009949F6">
      <w:pPr>
        <w:rPr>
          <w:rFonts w:cstheme="minorHAnsi"/>
          <w:color w:val="000000"/>
          <w:shd w:val="clear" w:color="auto" w:fill="FFFFFF"/>
        </w:rPr>
      </w:pPr>
    </w:p>
    <w:p w:rsidR="009949F6" w:rsidRDefault="009949F6" w:rsidP="009949F6">
      <w:pPr>
        <w:rPr>
          <w:rFonts w:cstheme="minorHAnsi"/>
          <w:color w:val="000000"/>
          <w:shd w:val="clear" w:color="auto" w:fill="FFFFFF"/>
        </w:rPr>
      </w:pPr>
      <w:r>
        <w:rPr>
          <w:rFonts w:cstheme="minorHAnsi"/>
          <w:color w:val="000000"/>
          <w:shd w:val="clear" w:color="auto" w:fill="FFFFFF"/>
        </w:rPr>
        <w:t xml:space="preserve">In conclusion, a lot of change has happened to police policies in order for the public to receive a better service from the police force. Police forces need to continue to review their policies in order to keep up with the change in societies. </w:t>
      </w:r>
    </w:p>
    <w:p w:rsidR="009949F6" w:rsidRPr="00575EAF" w:rsidRDefault="009949F6" w:rsidP="009949F6">
      <w:pPr>
        <w:rPr>
          <w:rFonts w:cstheme="minorHAnsi"/>
          <w:color w:val="000000"/>
          <w:shd w:val="clear" w:color="auto" w:fill="FFFFFF"/>
        </w:rPr>
      </w:pPr>
    </w:p>
    <w:p w:rsidR="009949F6" w:rsidRDefault="009949F6" w:rsidP="009949F6">
      <w:pPr>
        <w:rPr>
          <w:rFonts w:ascii="Arial" w:hAnsi="Arial" w:cs="Arial"/>
          <w:color w:val="000000"/>
          <w:sz w:val="20"/>
          <w:szCs w:val="20"/>
          <w:shd w:val="clear" w:color="auto" w:fill="FFFFFF"/>
        </w:rPr>
      </w:pPr>
      <w:r>
        <w:rPr>
          <w:rFonts w:ascii="Arial" w:hAnsi="Arial" w:cs="Arial"/>
          <w:color w:val="000000"/>
          <w:sz w:val="20"/>
          <w:szCs w:val="20"/>
          <w:shd w:val="clear" w:color="auto" w:fill="FFFFFF"/>
        </w:rPr>
        <w:t>Total 1098</w:t>
      </w:r>
      <w:bookmarkStart w:id="0" w:name="_GoBack"/>
      <w:bookmarkEnd w:id="0"/>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Pr>
        <w:rPr>
          <w:rFonts w:ascii="Arial" w:hAnsi="Arial" w:cs="Arial"/>
          <w:color w:val="000000"/>
          <w:sz w:val="20"/>
          <w:szCs w:val="20"/>
          <w:shd w:val="clear" w:color="auto" w:fill="FFFFFF"/>
        </w:rPr>
      </w:pPr>
    </w:p>
    <w:p w:rsidR="009949F6" w:rsidRDefault="009949F6" w:rsidP="009949F6"/>
    <w:p w:rsidR="009949F6" w:rsidRPr="00E97FC3" w:rsidRDefault="009949F6" w:rsidP="009949F6">
      <w:pPr>
        <w:overflowPunct w:val="0"/>
        <w:autoSpaceDE w:val="0"/>
        <w:autoSpaceDN w:val="0"/>
        <w:adjustRightInd w:val="0"/>
        <w:spacing w:after="0" w:line="276" w:lineRule="auto"/>
        <w:ind w:left="567" w:right="531"/>
        <w:textAlignment w:val="baseline"/>
        <w:rPr>
          <w:rFonts w:ascii="Arial" w:eastAsia="Times New Roman" w:hAnsi="Arial" w:cs="Arial"/>
          <w:i/>
          <w:lang w:eastAsia="en-GB"/>
        </w:rPr>
      </w:pPr>
      <w:r w:rsidRPr="00E97FC3">
        <w:rPr>
          <w:rFonts w:ascii="Arial" w:eastAsia="Times New Roman" w:hAnsi="Arial" w:cs="Arial"/>
          <w:b/>
          <w:bCs/>
          <w:i/>
          <w:lang w:eastAsia="en-GB"/>
        </w:rPr>
        <w:t>Essay two:</w:t>
      </w:r>
      <w:r w:rsidRPr="00E97FC3">
        <w:rPr>
          <w:rFonts w:ascii="Arial" w:eastAsia="Times New Roman" w:hAnsi="Arial" w:cs="Arial"/>
          <w:i/>
          <w:lang w:eastAsia="en-GB"/>
        </w:rPr>
        <w:t xml:space="preserve"> </w:t>
      </w:r>
    </w:p>
    <w:p w:rsidR="009949F6" w:rsidRPr="00E97FC3" w:rsidRDefault="009949F6" w:rsidP="009949F6">
      <w:pPr>
        <w:overflowPunct w:val="0"/>
        <w:autoSpaceDE w:val="0"/>
        <w:autoSpaceDN w:val="0"/>
        <w:adjustRightInd w:val="0"/>
        <w:spacing w:after="0" w:line="276" w:lineRule="auto"/>
        <w:ind w:left="567" w:right="531"/>
        <w:textAlignment w:val="baseline"/>
        <w:rPr>
          <w:rFonts w:ascii="Arial" w:eastAsia="Times New Roman" w:hAnsi="Arial" w:cs="Arial"/>
          <w:i/>
          <w:u w:val="single"/>
          <w:lang w:eastAsia="en-GB"/>
        </w:rPr>
      </w:pPr>
      <w:r w:rsidRPr="00E97FC3">
        <w:rPr>
          <w:rFonts w:ascii="Arial" w:eastAsia="Times New Roman" w:hAnsi="Arial" w:cs="Arial"/>
          <w:i/>
          <w:u w:val="single"/>
          <w:lang w:eastAsia="en-GB"/>
        </w:rPr>
        <w:lastRenderedPageBreak/>
        <w:t>Examine</w:t>
      </w:r>
      <w:r w:rsidRPr="00E97FC3">
        <w:rPr>
          <w:rFonts w:ascii="Arial" w:eastAsia="Times New Roman" w:hAnsi="Arial" w:cs="Arial"/>
          <w:i/>
          <w:lang w:eastAsia="en-GB"/>
        </w:rPr>
        <w:t xml:space="preserve"> why certain groups might be vulnerable to being targeted by Serious and Organised Crime Groups, and </w:t>
      </w:r>
      <w:r w:rsidRPr="00E97FC3">
        <w:rPr>
          <w:rFonts w:ascii="Arial" w:eastAsia="Times New Roman" w:hAnsi="Arial" w:cs="Arial"/>
          <w:i/>
          <w:u w:val="single"/>
          <w:lang w:eastAsia="en-GB"/>
        </w:rPr>
        <w:t>analyse</w:t>
      </w:r>
      <w:r w:rsidRPr="00E97FC3">
        <w:rPr>
          <w:rFonts w:ascii="Arial" w:eastAsia="Times New Roman" w:hAnsi="Arial" w:cs="Arial"/>
          <w:i/>
          <w:lang w:eastAsia="en-GB"/>
        </w:rPr>
        <w:t xml:space="preserve"> the effectiveness of police practices to investigate such issues.</w:t>
      </w:r>
    </w:p>
    <w:p w:rsidR="009949F6" w:rsidRPr="00E97FC3" w:rsidRDefault="009949F6" w:rsidP="009949F6">
      <w:pPr>
        <w:overflowPunct w:val="0"/>
        <w:autoSpaceDE w:val="0"/>
        <w:autoSpaceDN w:val="0"/>
        <w:adjustRightInd w:val="0"/>
        <w:spacing w:after="0" w:line="276" w:lineRule="auto"/>
        <w:ind w:left="567" w:right="531"/>
        <w:textAlignment w:val="baseline"/>
        <w:rPr>
          <w:rFonts w:ascii="Arial" w:eastAsia="Times New Roman" w:hAnsi="Arial" w:cs="Arial"/>
          <w:i/>
          <w:lang w:eastAsia="en-GB"/>
        </w:rPr>
      </w:pPr>
      <w:r w:rsidRPr="00E97FC3">
        <w:rPr>
          <w:rFonts w:ascii="Arial" w:eastAsia="Times New Roman" w:hAnsi="Arial" w:cs="Arial"/>
          <w:i/>
          <w:lang w:eastAsia="en-GB"/>
        </w:rPr>
        <w:t>Your answer should be based on academic research rather than personal experience.</w:t>
      </w:r>
    </w:p>
    <w:p w:rsidR="009949F6" w:rsidRPr="00E97FC3" w:rsidRDefault="009949F6" w:rsidP="009949F6">
      <w:pPr>
        <w:rPr>
          <w:rFonts w:ascii="Arial" w:eastAsia="Times New Roman" w:hAnsi="Arial" w:cs="Arial"/>
          <w:i/>
          <w:lang w:eastAsia="en-GB"/>
        </w:rPr>
      </w:pPr>
      <w:r w:rsidRPr="00E97FC3">
        <w:rPr>
          <w:rFonts w:ascii="Arial" w:eastAsia="Times New Roman" w:hAnsi="Arial" w:cs="Arial"/>
          <w:b/>
          <w:bCs/>
          <w:i/>
          <w:lang w:eastAsia="en-GB"/>
        </w:rPr>
        <w:t xml:space="preserve">Word limit: </w:t>
      </w:r>
      <w:r w:rsidRPr="00E97FC3">
        <w:rPr>
          <w:rFonts w:ascii="Arial" w:eastAsia="Times New Roman" w:hAnsi="Arial" w:cs="Arial"/>
          <w:i/>
          <w:lang w:eastAsia="en-GB"/>
        </w:rPr>
        <w:t>1000 words</w:t>
      </w:r>
    </w:p>
    <w:p w:rsidR="009949F6" w:rsidRDefault="009949F6" w:rsidP="009949F6">
      <w:pPr>
        <w:rPr>
          <w:rFonts w:ascii="Arial" w:eastAsia="Times New Roman" w:hAnsi="Arial" w:cs="Arial"/>
          <w:lang w:eastAsia="en-GB"/>
        </w:rPr>
      </w:pPr>
    </w:p>
    <w:p w:rsidR="009949F6" w:rsidRDefault="009949F6" w:rsidP="009949F6">
      <w:pPr>
        <w:rPr>
          <w:rFonts w:ascii="Arial" w:eastAsia="Times New Roman" w:hAnsi="Arial" w:cs="Arial"/>
          <w:lang w:eastAsia="en-GB"/>
        </w:rPr>
      </w:pPr>
    </w:p>
    <w:p w:rsidR="009949F6" w:rsidRDefault="009949F6" w:rsidP="009949F6"/>
    <w:p w:rsidR="009949F6" w:rsidRDefault="009949F6" w:rsidP="009949F6">
      <w:r>
        <w:t xml:space="preserve">Organised crime groups (OCG’s) are created by groups of criminals carrying out illegal activity. The most common type of OCG activity is involving drug activity but can also include, smuggling firearms, human trafficking, fraud and cyber crime </w:t>
      </w:r>
      <w:r w:rsidRPr="001D394C">
        <w:t>(Burton Copeland, 2021)</w:t>
      </w:r>
      <w:r>
        <w:t xml:space="preserve">. </w:t>
      </w:r>
    </w:p>
    <w:p w:rsidR="009949F6" w:rsidRDefault="009949F6" w:rsidP="009949F6">
      <w:r>
        <w:t xml:space="preserve">OCG’s use vulnerable people as a tactic to disguise their activity as most vulnerable people wouldn’t necessarily be suspects involved in organised crime to police </w:t>
      </w:r>
      <w:r w:rsidRPr="00E4336A">
        <w:t>(Local Government Association, n.d.)</w:t>
      </w:r>
      <w:r>
        <w:t xml:space="preserve">. I am going to further explore this statement and identify these vulnerable victims being used and then examine why they are being used and how it’s so easy for OCG’s to disrupt these victims lives. </w:t>
      </w:r>
    </w:p>
    <w:p w:rsidR="009949F6" w:rsidRDefault="009949F6" w:rsidP="009949F6">
      <w:r>
        <w:t xml:space="preserve">I further aim to analyse the practices of police who investigate OCG activity and what can  be done to safeguard these people which in turn can disrupt or end the OCG. </w:t>
      </w:r>
    </w:p>
    <w:p w:rsidR="009949F6" w:rsidRDefault="009949F6" w:rsidP="009949F6">
      <w:r>
        <w:t xml:space="preserve">Firstly it’s important to define what exactly an OCG is. Under Section 45(6) of the serious crime act 2015, it defines an OCG ‘ as a group which has at its purpose, or one of its purposes, the carrying on of criminal activities and consists of three or more people who agree to act together to further that purpose’ </w:t>
      </w:r>
      <w:r w:rsidRPr="00E4336A">
        <w:t>(cps, 2019)</w:t>
      </w:r>
      <w:r>
        <w:t xml:space="preserve">. The criminal activity can coincides with exploitation of certain vulnerable individuals. Exploitation involves an individual being ‘forced or coerced’ to do something for someone else’s gain and often it’s something they don’t want to do </w:t>
      </w:r>
      <w:r w:rsidRPr="00BA2D92">
        <w:t>(Preventing Exploitation Toolkit, n.d.)</w:t>
      </w:r>
      <w:r>
        <w:t xml:space="preserve">. </w:t>
      </w:r>
    </w:p>
    <w:p w:rsidR="009949F6" w:rsidRDefault="009949F6" w:rsidP="009949F6">
      <w:r>
        <w:t xml:space="preserve">There is different types of exploitation. One type of exploitation is ‘drug running’ </w:t>
      </w:r>
      <w:r w:rsidRPr="00CC629D">
        <w:t>(Warwickshire police, n.d.)</w:t>
      </w:r>
      <w:r>
        <w:t xml:space="preserve">. This involves moving drugs from one place to another, also called county lines. The drugs can be moved across the country. Children are often used to move these drugs.  Children are befriended by the OCG’s who use them to move their goods across the country. The OCG will offer the child expensive gifts and money in exchange for the child’s time in moving the drugs to different locations. They are given a mobile phone and gifts they often wouldn’t be able to afford in other circumstances which they use to control the child in do work for the OCG </w:t>
      </w:r>
      <w:r w:rsidRPr="00241322">
        <w:t>(The Children's Society, n.d.)</w:t>
      </w:r>
      <w:r>
        <w:t xml:space="preserve">. Children are often drawn in to the hold of the OCG’s by these gifts which they will not be able to afford to pay back. This makes them children vulnerable to the requests of the OCG’s who will blackmail the children in to transporting the drugs for them even if they don’t want to. </w:t>
      </w:r>
    </w:p>
    <w:p w:rsidR="009949F6" w:rsidRDefault="009949F6" w:rsidP="009949F6">
      <w:r>
        <w:t xml:space="preserve">Often children are bought in to an OCG due to where they live or who their family is </w:t>
      </w:r>
      <w:r w:rsidRPr="00DD2715">
        <w:t>(NSPCC, 2019)</w:t>
      </w:r>
      <w:r>
        <w:t xml:space="preserve">. If a child is having trouble at school or at home, experiencing neglect,  if they have any learning or special needs and if they live in a place where drug dealing/ taking is prevalent </w:t>
      </w:r>
      <w:r w:rsidRPr="00E4169F">
        <w:t>(NSPCC, 2019)</w:t>
      </w:r>
      <w:r>
        <w:t xml:space="preserve"> it makes the child more vulnerable to the recruitment in to an OCG. Being part of an OCG might be the first sense of belonging the child has received. If they feel like they are not wanted at home or school, they will gravitate towards the OCG who are giving them nice things i.e. a mobile phone. </w:t>
      </w:r>
    </w:p>
    <w:p w:rsidR="009949F6" w:rsidRDefault="009949F6" w:rsidP="009949F6">
      <w:r w:rsidRPr="00677454">
        <w:rPr>
          <w:highlight w:val="yellow"/>
        </w:rPr>
        <w:lastRenderedPageBreak/>
        <w:t>Children are also drawn to the glamorized lifestyle of gangs and drugs that is portrayed in the media (AR-CLEAR-USER, 2022). The glamorized lifestyle shows the popularity and wealth of the celebrity but does not show the side effects of addiction, the dangers of drug dealing and the consequences of being involved with drugs, whether that be the dealing or taking. This is a way of the children relating to their favourite celebrity and ‘being more like them’.</w:t>
      </w:r>
      <w:r>
        <w:t xml:space="preserve"> </w:t>
      </w:r>
    </w:p>
    <w:p w:rsidR="009949F6" w:rsidRDefault="009949F6" w:rsidP="009949F6">
      <w:r>
        <w:t xml:space="preserve">When the children who have seen the reality of this OCG business, it is hard for them to get away from that sort of lifestyle due to the OCG’s having the facility to blackmail them. </w:t>
      </w:r>
    </w:p>
    <w:p w:rsidR="009949F6" w:rsidRDefault="009949F6" w:rsidP="009949F6">
      <w:r>
        <w:t xml:space="preserve">Another form of exploitation is cuckooing (Warwickshire Police, n.d). Cuckooing is the act where someone exploits another property or house for the purposes of crime </w:t>
      </w:r>
      <w:r w:rsidRPr="00B16059">
        <w:t>(Lee, 2022)</w:t>
      </w:r>
      <w:r>
        <w:t>.</w:t>
      </w:r>
    </w:p>
    <w:p w:rsidR="009949F6" w:rsidRDefault="009949F6" w:rsidP="009949F6">
      <w:r>
        <w:t xml:space="preserve">That person’s home is then used to clean, bag and distribute drugs from as part of the network of county lines </w:t>
      </w:r>
      <w:r w:rsidRPr="00B16059">
        <w:t>(Lee, 2022)</w:t>
      </w:r>
      <w:r>
        <w:t xml:space="preserve">. </w:t>
      </w:r>
    </w:p>
    <w:p w:rsidR="009949F6" w:rsidRDefault="009949F6" w:rsidP="009949F6">
      <w:r>
        <w:t xml:space="preserve">A vulnerable person to cuckooing could be due to their own addiction to drugs and alcohol and maybe they can’t keep up with their habit. The OCG will feed the addiction and as part of the repayment, it’s agreed that OCG members can stay in their home </w:t>
      </w:r>
      <w:r w:rsidRPr="009B4B27">
        <w:t>(Lee, 2022)</w:t>
      </w:r>
      <w:r>
        <w:t xml:space="preserve">. </w:t>
      </w:r>
    </w:p>
    <w:p w:rsidR="009949F6" w:rsidRDefault="009949F6" w:rsidP="009949F6">
      <w:r>
        <w:t xml:space="preserve">There is also vulnerability factors of not having a stable lifestyle, being in care and feeling neglected. This links back to the child vulnerability. When that child becomes old enough to have their own place, OCGs will take advantage of this and use the place as their own base in exchange. The young adult at this stage may not realise that they are a victim of cuckooing </w:t>
      </w:r>
      <w:r w:rsidRPr="009B4B27">
        <w:t>(Lee, 2022)</w:t>
      </w:r>
      <w:r>
        <w:t xml:space="preserve">. </w:t>
      </w:r>
    </w:p>
    <w:p w:rsidR="009949F6" w:rsidRDefault="009949F6" w:rsidP="009949F6">
      <w:r>
        <w:t xml:space="preserve">The exploitation of cuckooing can also be a result of that victims disability or special needs. If the victim has these needs they may not fully understand what is going on and the consequences. However these persons can then still be convicted due to the role they are playing in assisting the OCG. Or in extreme circumstances they can end up killed </w:t>
      </w:r>
      <w:r w:rsidRPr="009235CC">
        <w:t>(Day, 2019)</w:t>
      </w:r>
      <w:r>
        <w:t xml:space="preserve">. </w:t>
      </w:r>
    </w:p>
    <w:p w:rsidR="009949F6" w:rsidRDefault="009949F6" w:rsidP="009949F6">
      <w:r>
        <w:t xml:space="preserve">There are policies in place in Police forces and partner agencies that help detect and prevent these issues discussed form happening. </w:t>
      </w:r>
    </w:p>
    <w:p w:rsidR="009949F6" w:rsidRDefault="009949F6" w:rsidP="009949F6">
      <w:r>
        <w:t xml:space="preserve">The police service as well as partner agencies like social services, health and education have a duty to preserve the welfare of children in their area </w:t>
      </w:r>
      <w:r w:rsidRPr="0045713E">
        <w:t>(HMIC, 2015)</w:t>
      </w:r>
      <w:r>
        <w:t xml:space="preserve">. </w:t>
      </w:r>
    </w:p>
    <w:p w:rsidR="009949F6" w:rsidRDefault="009949F6" w:rsidP="009949F6">
      <w:r>
        <w:t xml:space="preserve">In regards to children being involved to county lines, it is often the case that the child is reported missing. A missing child with links to county lines would be risk assessed at high risk due to the threat of significant harm they can be subject to whilst missing. An officer should always be attached to the report and all enquiries should be explored. Referrals are made to the public protection units via a public protection notification. Also when the child is found, positive engagement with the child is key in building the intelligence of where they are going, who they are with and what they are doing. This will help finding the child for any future reports of them missing </w:t>
      </w:r>
      <w:r w:rsidRPr="008C6BD1">
        <w:t>(Hub, 2018</w:t>
      </w:r>
      <w:r>
        <w:t>b</w:t>
      </w:r>
      <w:r w:rsidRPr="008C6BD1">
        <w:t>)</w:t>
      </w:r>
      <w:r>
        <w:t>.</w:t>
      </w:r>
    </w:p>
    <w:p w:rsidR="009949F6" w:rsidRDefault="009949F6" w:rsidP="009949F6">
      <w:r>
        <w:t xml:space="preserve">A Child Abduction Warning notice (CAWN) can be served on OCG individuals to stop them taking a child away in order to exploit them </w:t>
      </w:r>
      <w:r w:rsidRPr="00E62FB3">
        <w:t>(Hub, 2018a)</w:t>
      </w:r>
      <w:r>
        <w:t xml:space="preserve">. The police serve a CAWN on the person and should that person breach the conditions of the CAWN, they can be arrested under section 2 children abduction act 1984 </w:t>
      </w:r>
      <w:r w:rsidRPr="00E62FB3">
        <w:t>(Legislation.gov, 2019)</w:t>
      </w:r>
      <w:r>
        <w:t xml:space="preserve">. </w:t>
      </w:r>
    </w:p>
    <w:p w:rsidR="009949F6" w:rsidRDefault="009949F6" w:rsidP="009949F6">
      <w:r>
        <w:t xml:space="preserve">High visibility patrols, positive engagement and positive action is key in cracking down on victims of cuckooing. This helps to identify those vulnerable victims. A police watch can be set up in order for the home or premises be watched by police. Police patrols will be conducted and engagement with the victim is key in making sure no criminal activity is taking place </w:t>
      </w:r>
      <w:r w:rsidRPr="008B0A7C">
        <w:t>(College of Policing, n.d.)</w:t>
      </w:r>
      <w:r>
        <w:t xml:space="preserve">. However </w:t>
      </w:r>
      <w:r>
        <w:lastRenderedPageBreak/>
        <w:t xml:space="preserve">this can potentially put the victim in danger should the OCG believe that the victim has reported them. </w:t>
      </w:r>
    </w:p>
    <w:p w:rsidR="009949F6" w:rsidRPr="001D394C" w:rsidRDefault="009949F6" w:rsidP="009949F6">
      <w:r>
        <w:t xml:space="preserve">In conclusion, OCG’s exploit vulnerable victims to carry out dangerous jobs for them in order for there criminal activity to expand. Police are effective in identifying who are vulnerable to being exploited however more work needs to be done to prevent these people from being exploited and come in to any harm. There should be an increased focus on working with partner agencies like education and social services in order to further safeguard those vulnerable persons. </w:t>
      </w:r>
    </w:p>
    <w:p w:rsidR="009949F6" w:rsidRPr="001D394C" w:rsidRDefault="009949F6" w:rsidP="009949F6"/>
    <w:p w:rsidR="009949F6" w:rsidRPr="001D394C" w:rsidRDefault="009949F6" w:rsidP="009949F6">
      <w:r>
        <w:t>Total 1256</w:t>
      </w:r>
    </w:p>
    <w:p w:rsidR="009949F6" w:rsidRPr="001D394C" w:rsidRDefault="009949F6" w:rsidP="009949F6"/>
    <w:p w:rsidR="009949F6" w:rsidRPr="001D394C" w:rsidRDefault="009949F6" w:rsidP="009949F6"/>
    <w:p w:rsidR="009949F6" w:rsidRPr="001D394C" w:rsidRDefault="009949F6" w:rsidP="009949F6"/>
    <w:p w:rsidR="009949F6" w:rsidRPr="001D394C" w:rsidRDefault="009949F6" w:rsidP="009949F6"/>
    <w:p w:rsidR="009949F6" w:rsidRPr="001D394C" w:rsidRDefault="009949F6" w:rsidP="009949F6"/>
    <w:p w:rsidR="009949F6" w:rsidRPr="001D394C" w:rsidRDefault="009949F6" w:rsidP="009949F6"/>
    <w:p w:rsidR="009949F6" w:rsidRDefault="009949F6" w:rsidP="009949F6">
      <w:pPr>
        <w:tabs>
          <w:tab w:val="left" w:pos="5743"/>
        </w:tabs>
      </w:pPr>
      <w:r>
        <w:tab/>
      </w:r>
    </w:p>
    <w:p w:rsidR="009949F6" w:rsidRDefault="009949F6" w:rsidP="009949F6">
      <w:pPr>
        <w:tabs>
          <w:tab w:val="left" w:pos="5743"/>
        </w:tabs>
      </w:pPr>
    </w:p>
    <w:p w:rsidR="009949F6" w:rsidRDefault="009949F6" w:rsidP="009949F6">
      <w:pPr>
        <w:tabs>
          <w:tab w:val="left" w:pos="5743"/>
        </w:tabs>
      </w:pPr>
    </w:p>
    <w:p w:rsidR="009949F6" w:rsidRDefault="009949F6" w:rsidP="009949F6">
      <w:pPr>
        <w:tabs>
          <w:tab w:val="left" w:pos="5743"/>
        </w:tabs>
      </w:pPr>
    </w:p>
    <w:p w:rsidR="009949F6" w:rsidRDefault="009949F6" w:rsidP="009949F6">
      <w:pPr>
        <w:tabs>
          <w:tab w:val="left" w:pos="5743"/>
        </w:tabs>
      </w:pPr>
    </w:p>
    <w:p w:rsidR="009949F6" w:rsidRDefault="009949F6" w:rsidP="009949F6">
      <w:pPr>
        <w:tabs>
          <w:tab w:val="left" w:pos="5743"/>
        </w:tabs>
      </w:pPr>
    </w:p>
    <w:p w:rsidR="009949F6" w:rsidRDefault="009949F6" w:rsidP="009949F6">
      <w:pPr>
        <w:tabs>
          <w:tab w:val="left" w:pos="5743"/>
        </w:tabs>
      </w:pPr>
    </w:p>
    <w:p w:rsidR="009949F6" w:rsidRDefault="009949F6" w:rsidP="009949F6">
      <w:pPr>
        <w:tabs>
          <w:tab w:val="left" w:pos="5743"/>
        </w:tabs>
      </w:pPr>
    </w:p>
    <w:p w:rsidR="009949F6" w:rsidRDefault="009949F6" w:rsidP="009949F6">
      <w:pPr>
        <w:tabs>
          <w:tab w:val="left" w:pos="5743"/>
        </w:tabs>
      </w:pPr>
    </w:p>
    <w:p w:rsidR="009949F6" w:rsidRDefault="009949F6" w:rsidP="009949F6">
      <w:pPr>
        <w:tabs>
          <w:tab w:val="left" w:pos="5743"/>
        </w:tabs>
      </w:pPr>
    </w:p>
    <w:p w:rsidR="009949F6" w:rsidRDefault="009949F6" w:rsidP="009949F6">
      <w:pPr>
        <w:tabs>
          <w:tab w:val="left" w:pos="5743"/>
        </w:tabs>
      </w:pPr>
    </w:p>
    <w:p w:rsidR="009949F6" w:rsidRDefault="009949F6" w:rsidP="009949F6">
      <w:pPr>
        <w:tabs>
          <w:tab w:val="left" w:pos="5743"/>
        </w:tabs>
      </w:pPr>
    </w:p>
    <w:p w:rsidR="009949F6" w:rsidRDefault="009949F6" w:rsidP="009949F6">
      <w:pPr>
        <w:tabs>
          <w:tab w:val="left" w:pos="5743"/>
        </w:tabs>
      </w:pPr>
    </w:p>
    <w:p w:rsidR="009949F6" w:rsidRDefault="009949F6" w:rsidP="009949F6">
      <w:pPr>
        <w:tabs>
          <w:tab w:val="left" w:pos="5743"/>
        </w:tabs>
      </w:pPr>
    </w:p>
    <w:p w:rsidR="009949F6" w:rsidRDefault="009949F6" w:rsidP="009949F6">
      <w:pPr>
        <w:tabs>
          <w:tab w:val="left" w:pos="5743"/>
        </w:tabs>
      </w:pPr>
    </w:p>
    <w:p w:rsidR="009949F6" w:rsidRDefault="009949F6" w:rsidP="009949F6">
      <w:pPr>
        <w:tabs>
          <w:tab w:val="left" w:pos="5743"/>
        </w:tabs>
      </w:pPr>
    </w:p>
    <w:p w:rsidR="009949F6" w:rsidRPr="001D394C" w:rsidRDefault="009949F6" w:rsidP="009949F6">
      <w:pPr>
        <w:tabs>
          <w:tab w:val="left" w:pos="5743"/>
        </w:tabs>
        <w:rPr>
          <w:b/>
          <w:sz w:val="32"/>
          <w:u w:val="single"/>
        </w:rPr>
      </w:pPr>
      <w:r w:rsidRPr="001D394C">
        <w:rPr>
          <w:b/>
          <w:sz w:val="32"/>
          <w:u w:val="single"/>
        </w:rPr>
        <w:t>Bibliography</w:t>
      </w:r>
      <w:r w:rsidRPr="001D394C">
        <w:rPr>
          <w:b/>
          <w:sz w:val="32"/>
          <w:u w:val="single"/>
        </w:rPr>
        <w:t xml:space="preserve"> </w:t>
      </w:r>
    </w:p>
    <w:p w:rsidR="009949F6" w:rsidRPr="009949F6" w:rsidRDefault="009949F6" w:rsidP="009949F6">
      <w:pPr>
        <w:rPr>
          <w:rFonts w:cstheme="minorHAnsi"/>
          <w:sz w:val="24"/>
          <w:szCs w:val="24"/>
        </w:rPr>
      </w:pP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AR-CLEAR-USER (2022). </w:t>
      </w:r>
      <w:r w:rsidRPr="009949F6">
        <w:rPr>
          <w:rFonts w:eastAsia="Times New Roman" w:cstheme="minorHAnsi"/>
          <w:i/>
          <w:iCs/>
          <w:sz w:val="24"/>
          <w:szCs w:val="24"/>
          <w:lang w:eastAsia="en-GB"/>
        </w:rPr>
        <w:t>The Glamorization of Teen Drug Use in the Media and Television</w:t>
      </w:r>
      <w:r w:rsidRPr="009949F6">
        <w:rPr>
          <w:rFonts w:eastAsia="Times New Roman" w:cstheme="minorHAnsi"/>
          <w:sz w:val="24"/>
          <w:szCs w:val="24"/>
          <w:lang w:eastAsia="en-GB"/>
        </w:rPr>
        <w:t>. [online] Clearfork Academy. Available at: https://clearforkacademy.com/2022/04/25/the-glamorization-of-teen-drug-use-in-the-media-and-television/.</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BBC (2018). Stephen Lawrence murder: A timeline of how the story unfolded. BBC News. [online] 13 Apr. Available at: https://www.bbc.co.uk/news/uk-26465916.</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Bbc.co.uk. (2009). </w:t>
      </w:r>
      <w:r w:rsidRPr="009949F6">
        <w:rPr>
          <w:rFonts w:eastAsia="Times New Roman" w:cstheme="minorHAnsi"/>
          <w:i/>
          <w:iCs/>
          <w:sz w:val="24"/>
          <w:szCs w:val="24"/>
          <w:lang w:eastAsia="en-GB"/>
        </w:rPr>
        <w:t>BBC NEWS | Programmes | BBC Parliament | Q&amp;A: The Scarman Report</w:t>
      </w:r>
      <w:r w:rsidRPr="009949F6">
        <w:rPr>
          <w:rFonts w:eastAsia="Times New Roman" w:cstheme="minorHAnsi"/>
          <w:sz w:val="24"/>
          <w:szCs w:val="24"/>
          <w:lang w:eastAsia="en-GB"/>
        </w:rPr>
        <w:t>. [online] Available at: http://news.bbc.co.uk/1/hi/programmes/bbc_parliament/3631579.stm.</w:t>
      </w:r>
    </w:p>
    <w:p w:rsidR="009949F6" w:rsidRPr="009949F6" w:rsidRDefault="009949F6" w:rsidP="009949F6">
      <w:pPr>
        <w:pStyle w:val="NormalWeb"/>
        <w:spacing w:before="0" w:beforeAutospacing="0" w:after="240" w:afterAutospacing="0" w:line="360" w:lineRule="auto"/>
        <w:rPr>
          <w:rFonts w:asciiTheme="minorHAnsi" w:hAnsiTheme="minorHAnsi" w:cstheme="minorHAnsi"/>
        </w:rPr>
      </w:pPr>
      <w:r w:rsidRPr="009949F6">
        <w:rPr>
          <w:rFonts w:asciiTheme="minorHAnsi" w:hAnsiTheme="minorHAnsi" w:cstheme="minorHAnsi"/>
        </w:rPr>
        <w:t xml:space="preserve">Burton Copeland. (2021). </w:t>
      </w:r>
      <w:r w:rsidRPr="009949F6">
        <w:rPr>
          <w:rFonts w:asciiTheme="minorHAnsi" w:hAnsiTheme="minorHAnsi" w:cstheme="minorHAnsi"/>
          <w:i/>
          <w:iCs/>
        </w:rPr>
        <w:t>What is an OCG &amp; what is participating in organised crime</w:t>
      </w:r>
      <w:r w:rsidRPr="009949F6">
        <w:rPr>
          <w:rFonts w:asciiTheme="minorHAnsi" w:hAnsiTheme="minorHAnsi" w:cstheme="minorHAnsi"/>
        </w:rPr>
        <w:t>. [online] Available at: https://www.burtoncopeland.com/news/participating-in-organised-crime/.</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College of Policing (n.d.). </w:t>
      </w:r>
      <w:r w:rsidRPr="009949F6">
        <w:rPr>
          <w:rFonts w:eastAsia="Times New Roman" w:cstheme="minorHAnsi"/>
          <w:i/>
          <w:iCs/>
          <w:sz w:val="24"/>
          <w:szCs w:val="24"/>
          <w:lang w:eastAsia="en-GB"/>
        </w:rPr>
        <w:t>Victim safety and support</w:t>
      </w:r>
      <w:r w:rsidRPr="009949F6">
        <w:rPr>
          <w:rFonts w:eastAsia="Times New Roman" w:cstheme="minorHAnsi"/>
          <w:sz w:val="24"/>
          <w:szCs w:val="24"/>
          <w:lang w:eastAsia="en-GB"/>
        </w:rPr>
        <w:t>. [online] College of Policing. Available at: https://www.college.police.uk/app/major-investigation-and-public-protection/domestic-abuse/victim-safety-and-support [Accessed 1 Oct. 2022].</w:t>
      </w:r>
    </w:p>
    <w:p w:rsidR="009949F6" w:rsidRPr="009949F6" w:rsidRDefault="009949F6" w:rsidP="009949F6">
      <w:pPr>
        <w:pStyle w:val="NormalWeb"/>
        <w:spacing w:before="0" w:beforeAutospacing="0" w:after="240" w:afterAutospacing="0" w:line="360" w:lineRule="auto"/>
        <w:rPr>
          <w:rFonts w:asciiTheme="minorHAnsi" w:hAnsiTheme="minorHAnsi" w:cstheme="minorHAnsi"/>
        </w:rPr>
      </w:pPr>
      <w:r w:rsidRPr="009949F6">
        <w:rPr>
          <w:rFonts w:asciiTheme="minorHAnsi" w:hAnsiTheme="minorHAnsi" w:cstheme="minorHAnsi"/>
        </w:rPr>
        <w:t xml:space="preserve">cps (2019). </w:t>
      </w:r>
      <w:r w:rsidRPr="009949F6">
        <w:rPr>
          <w:rFonts w:asciiTheme="minorHAnsi" w:hAnsiTheme="minorHAnsi" w:cstheme="minorHAnsi"/>
          <w:i/>
          <w:iCs/>
        </w:rPr>
        <w:t>Organised Crime Group: Participating in Activities of an | The Crown Prosecution Service</w:t>
      </w:r>
      <w:r w:rsidRPr="009949F6">
        <w:rPr>
          <w:rFonts w:asciiTheme="minorHAnsi" w:hAnsiTheme="minorHAnsi" w:cstheme="minorHAnsi"/>
        </w:rPr>
        <w:t>. [online] www.cps.gov.uk. Available at: https://www.cps.gov.uk/legal-guidance/organised-crime-group-participating-activities [Accessed 23 Sep. 2022].</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Day, H. (2019). </w:t>
      </w:r>
      <w:r w:rsidRPr="009949F6">
        <w:rPr>
          <w:rFonts w:eastAsia="Times New Roman" w:cstheme="minorHAnsi"/>
          <w:i/>
          <w:iCs/>
          <w:sz w:val="24"/>
          <w:szCs w:val="24"/>
          <w:lang w:eastAsia="en-GB"/>
        </w:rPr>
        <w:t>Gemma Hayter murder: ‘If she had survived, Gemma would’ve forgiven her killers’</w:t>
      </w:r>
      <w:r w:rsidRPr="009949F6">
        <w:rPr>
          <w:rFonts w:eastAsia="Times New Roman" w:cstheme="minorHAnsi"/>
          <w:sz w:val="24"/>
          <w:szCs w:val="24"/>
          <w:lang w:eastAsia="en-GB"/>
        </w:rPr>
        <w:t xml:space="preserve">. [online] BBC Three. Available at: </w:t>
      </w:r>
      <w:hyperlink r:id="rId7" w:history="1">
        <w:r w:rsidRPr="009949F6">
          <w:rPr>
            <w:rStyle w:val="Hyperlink"/>
            <w:rFonts w:eastAsia="Times New Roman" w:cstheme="minorHAnsi"/>
            <w:sz w:val="24"/>
            <w:szCs w:val="24"/>
            <w:lang w:eastAsia="en-GB"/>
          </w:rPr>
          <w:t>https://www.bbc.co.uk/bbcthree/article/751ddfd4-2b7a-4f3f-9a07-2f2ec29c985a</w:t>
        </w:r>
      </w:hyperlink>
      <w:r w:rsidRPr="009949F6">
        <w:rPr>
          <w:rFonts w:eastAsia="Times New Roman" w:cstheme="minorHAnsi"/>
          <w:sz w:val="24"/>
          <w:szCs w:val="24"/>
          <w:lang w:eastAsia="en-GB"/>
        </w:rPr>
        <w:t>.</w:t>
      </w:r>
    </w:p>
    <w:p w:rsidR="009949F6" w:rsidRPr="009949F6" w:rsidRDefault="009949F6" w:rsidP="009949F6">
      <w:pPr>
        <w:pStyle w:val="NormalWeb"/>
        <w:spacing w:before="0" w:beforeAutospacing="0" w:after="240" w:afterAutospacing="0" w:line="360" w:lineRule="auto"/>
        <w:rPr>
          <w:rFonts w:asciiTheme="minorHAnsi" w:hAnsiTheme="minorHAnsi" w:cstheme="minorHAnsi"/>
        </w:rPr>
      </w:pPr>
      <w:r w:rsidRPr="009949F6">
        <w:rPr>
          <w:rFonts w:asciiTheme="minorHAnsi" w:hAnsiTheme="minorHAnsi" w:cstheme="minorHAnsi"/>
        </w:rPr>
        <w:t xml:space="preserve">F, F. (2021). </w:t>
      </w:r>
      <w:r w:rsidRPr="009949F6">
        <w:rPr>
          <w:rFonts w:asciiTheme="minorHAnsi" w:hAnsiTheme="minorHAnsi" w:cstheme="minorHAnsi"/>
          <w:i/>
          <w:iCs/>
        </w:rPr>
        <w:t>The Tragic True Story Of The 1981 Brixton Riots</w:t>
      </w:r>
      <w:r w:rsidRPr="009949F6">
        <w:rPr>
          <w:rFonts w:asciiTheme="minorHAnsi" w:hAnsiTheme="minorHAnsi" w:cstheme="minorHAnsi"/>
        </w:rPr>
        <w:t>. [online] Grunge.com. Available at: https://www.grunge.com/431280/the-tragic-true-story-of-the-1981-brixton-riots/ [Accessed 9 Sep. 2022].</w:t>
      </w:r>
    </w:p>
    <w:p w:rsidR="009949F6" w:rsidRPr="009949F6" w:rsidRDefault="009949F6" w:rsidP="009949F6">
      <w:pPr>
        <w:pStyle w:val="NormalWeb"/>
        <w:spacing w:before="0" w:beforeAutospacing="0" w:after="240" w:afterAutospacing="0" w:line="360" w:lineRule="auto"/>
        <w:rPr>
          <w:rFonts w:asciiTheme="minorHAnsi" w:hAnsiTheme="minorHAnsi" w:cstheme="minorHAnsi"/>
        </w:rPr>
      </w:pPr>
      <w:r w:rsidRPr="009949F6">
        <w:rPr>
          <w:rFonts w:asciiTheme="minorHAnsi" w:hAnsiTheme="minorHAnsi" w:cstheme="minorHAnsi"/>
        </w:rPr>
        <w:t xml:space="preserve">Guardian Staff (1999). </w:t>
      </w:r>
      <w:r w:rsidRPr="009949F6">
        <w:rPr>
          <w:rFonts w:asciiTheme="minorHAnsi" w:hAnsiTheme="minorHAnsi" w:cstheme="minorHAnsi"/>
          <w:i/>
          <w:iCs/>
        </w:rPr>
        <w:t>The Macpherson report: summary</w:t>
      </w:r>
      <w:r w:rsidRPr="009949F6">
        <w:rPr>
          <w:rFonts w:asciiTheme="minorHAnsi" w:hAnsiTheme="minorHAnsi" w:cstheme="minorHAnsi"/>
        </w:rPr>
        <w:t>. [online] the Guardian. Available at: https://www.theguardian.com/uk/1999/feb/24/lawrence.ukcrime12 [Accessed 9 Sep. 2022].</w:t>
      </w:r>
    </w:p>
    <w:p w:rsidR="009949F6" w:rsidRPr="009949F6" w:rsidRDefault="009949F6" w:rsidP="009949F6">
      <w:pPr>
        <w:rPr>
          <w:rFonts w:cstheme="minorHAnsi"/>
          <w:sz w:val="24"/>
          <w:szCs w:val="24"/>
        </w:rPr>
      </w:pPr>
      <w:r w:rsidRPr="009949F6">
        <w:rPr>
          <w:rFonts w:cstheme="minorHAnsi"/>
          <w:sz w:val="24"/>
          <w:szCs w:val="24"/>
        </w:rPr>
        <w:lastRenderedPageBreak/>
        <w:t>Guardian Staff (1999). The Macpherson report: summary. The Guardian. Available at: https://www.theguardian.com/uk/1999/feb/24/lawrence.ukcrime12 [Accessed 19 Sep. 2022].</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HMIC (2015). </w:t>
      </w:r>
      <w:r w:rsidRPr="009949F6">
        <w:rPr>
          <w:rFonts w:eastAsia="Times New Roman" w:cstheme="minorHAnsi"/>
          <w:i/>
          <w:iCs/>
          <w:sz w:val="24"/>
          <w:szCs w:val="24"/>
          <w:lang w:eastAsia="en-GB"/>
        </w:rPr>
        <w:t>In harm’s way: The role of the police in keeping children safe</w:t>
      </w:r>
      <w:r w:rsidRPr="009949F6">
        <w:rPr>
          <w:rFonts w:eastAsia="Times New Roman" w:cstheme="minorHAnsi"/>
          <w:sz w:val="24"/>
          <w:szCs w:val="24"/>
          <w:lang w:eastAsia="en-GB"/>
        </w:rPr>
        <w:t xml:space="preserve">. [online] p.9. Available at: </w:t>
      </w:r>
      <w:hyperlink r:id="rId8" w:history="1">
        <w:r w:rsidRPr="009949F6">
          <w:rPr>
            <w:rStyle w:val="Hyperlink"/>
            <w:rFonts w:eastAsia="Times New Roman" w:cstheme="minorHAnsi"/>
            <w:sz w:val="24"/>
            <w:szCs w:val="24"/>
            <w:lang w:eastAsia="en-GB"/>
          </w:rPr>
          <w:t>https://www.justiceinspectorates.gov.uk/hmicfrs/wp-content/uploads/in-harms-way.pdf</w:t>
        </w:r>
      </w:hyperlink>
      <w:r w:rsidRPr="009949F6">
        <w:rPr>
          <w:rFonts w:eastAsia="Times New Roman" w:cstheme="minorHAnsi"/>
          <w:sz w:val="24"/>
          <w:szCs w:val="24"/>
          <w:lang w:eastAsia="en-GB"/>
        </w:rPr>
        <w:t>.</w:t>
      </w:r>
    </w:p>
    <w:p w:rsidR="009949F6" w:rsidRPr="009949F6" w:rsidRDefault="009949F6" w:rsidP="009949F6">
      <w:pPr>
        <w:pStyle w:val="NormalWeb"/>
        <w:spacing w:before="0" w:beforeAutospacing="0" w:after="240" w:afterAutospacing="0" w:line="360" w:lineRule="auto"/>
        <w:rPr>
          <w:rFonts w:asciiTheme="minorHAnsi" w:hAnsiTheme="minorHAnsi" w:cstheme="minorHAnsi"/>
        </w:rPr>
      </w:pPr>
      <w:r w:rsidRPr="009949F6">
        <w:rPr>
          <w:rFonts w:asciiTheme="minorHAnsi" w:hAnsiTheme="minorHAnsi" w:cstheme="minorHAnsi"/>
        </w:rPr>
        <w:t xml:space="preserve">Home Office (2013). </w:t>
      </w:r>
      <w:r w:rsidRPr="009949F6">
        <w:rPr>
          <w:rFonts w:asciiTheme="minorHAnsi" w:hAnsiTheme="minorHAnsi" w:cstheme="minorHAnsi"/>
          <w:i/>
          <w:iCs/>
        </w:rPr>
        <w:t>Police and Criminal Evidence Act 1984 (PACE) codes of practice</w:t>
      </w:r>
      <w:r w:rsidRPr="009949F6">
        <w:rPr>
          <w:rFonts w:asciiTheme="minorHAnsi" w:hAnsiTheme="minorHAnsi" w:cstheme="minorHAnsi"/>
        </w:rPr>
        <w:t>. [online] GOV.UK. Available at: https://www.gov.uk/guidance/police-and-criminal-evidence-act-1984-pace-codes-of-practice [Accessed 9 Sep. 2022].</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Home Office (2013). </w:t>
      </w:r>
      <w:r w:rsidRPr="009949F6">
        <w:rPr>
          <w:rFonts w:eastAsia="Times New Roman" w:cstheme="minorHAnsi"/>
          <w:i/>
          <w:iCs/>
          <w:sz w:val="24"/>
          <w:szCs w:val="24"/>
          <w:lang w:eastAsia="en-GB"/>
        </w:rPr>
        <w:t>Police and Criminal Evidence Act 1984 (PACE) codes of practice</w:t>
      </w:r>
      <w:r w:rsidRPr="009949F6">
        <w:rPr>
          <w:rFonts w:eastAsia="Times New Roman" w:cstheme="minorHAnsi"/>
          <w:sz w:val="24"/>
          <w:szCs w:val="24"/>
          <w:lang w:eastAsia="en-GB"/>
        </w:rPr>
        <w:t>. [online] GOV.UK. Available at: https://www.gov.uk/guidance/police-and-criminal-evidence-act-1984-pace-codes-of-practice [Accessed 10 Sep. 2022].</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Home Office (2015). </w:t>
      </w:r>
      <w:r w:rsidRPr="009949F6">
        <w:rPr>
          <w:rFonts w:eastAsia="Times New Roman" w:cstheme="minorHAnsi"/>
          <w:i/>
          <w:iCs/>
          <w:sz w:val="24"/>
          <w:szCs w:val="24"/>
          <w:lang w:eastAsia="en-GB"/>
        </w:rPr>
        <w:t>CODE A Revised Code of Practice for the exercise by: Police Offcers of Statutory Powers of stop and search Police Offcers and Police Staff of requirements to record public encounters C o d e A</w:t>
      </w:r>
      <w:r w:rsidRPr="009949F6">
        <w:rPr>
          <w:rFonts w:eastAsia="Times New Roman" w:cstheme="minorHAnsi"/>
          <w:sz w:val="24"/>
          <w:szCs w:val="24"/>
          <w:lang w:eastAsia="en-GB"/>
        </w:rPr>
        <w:t>. [online] Available at: https://assets.publishing.service.gov.uk/government/uploads/system/uploads/attachment_data/file/903810/pace-code-a-2015.pdf [Accessed 10 Sep. 2022].</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Hub, S. (2018a). </w:t>
      </w:r>
      <w:r w:rsidRPr="009949F6">
        <w:rPr>
          <w:rFonts w:eastAsia="Times New Roman" w:cstheme="minorHAnsi"/>
          <w:i/>
          <w:iCs/>
          <w:sz w:val="24"/>
          <w:szCs w:val="24"/>
          <w:lang w:eastAsia="en-GB"/>
        </w:rPr>
        <w:t>Child Abduction Warning Notices (CAWN’s)</w:t>
      </w:r>
      <w:r w:rsidRPr="009949F6">
        <w:rPr>
          <w:rFonts w:eastAsia="Times New Roman" w:cstheme="minorHAnsi"/>
          <w:sz w:val="24"/>
          <w:szCs w:val="24"/>
          <w:lang w:eastAsia="en-GB"/>
        </w:rPr>
        <w:t>. [online] Safeguarding Hub. Available at: https://safeguardinghub.co.uk/child-abduction-warning-notices-cawns/ [Accessed 1 Oct. 2022].</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Hub, S. (2018b). </w:t>
      </w:r>
      <w:r w:rsidRPr="009949F6">
        <w:rPr>
          <w:rFonts w:eastAsia="Times New Roman" w:cstheme="minorHAnsi"/>
          <w:i/>
          <w:iCs/>
          <w:sz w:val="24"/>
          <w:szCs w:val="24"/>
          <w:lang w:eastAsia="en-GB"/>
        </w:rPr>
        <w:t>County Lines – Get a step ahead by improving your knowledge</w:t>
      </w:r>
      <w:r w:rsidRPr="009949F6">
        <w:rPr>
          <w:rFonts w:eastAsia="Times New Roman" w:cstheme="minorHAnsi"/>
          <w:sz w:val="24"/>
          <w:szCs w:val="24"/>
          <w:lang w:eastAsia="en-GB"/>
        </w:rPr>
        <w:t>. [online] Safeguarding Hub. Available at: https://safeguardinghub.co.uk/county-lines-get-a-step-ahead-by-improving-your-knowledge/#:~:text=It%20should%20be%20best%20practice%20for%20police%20missing [Accessed 1 Oct. 2022].</w:t>
      </w:r>
    </w:p>
    <w:p w:rsidR="009949F6" w:rsidRPr="009949F6" w:rsidRDefault="009949F6" w:rsidP="009949F6">
      <w:pPr>
        <w:pStyle w:val="NormalWeb"/>
        <w:spacing w:before="0" w:beforeAutospacing="0" w:after="240" w:afterAutospacing="0" w:line="360" w:lineRule="auto"/>
        <w:rPr>
          <w:rFonts w:asciiTheme="minorHAnsi" w:hAnsiTheme="minorHAnsi" w:cstheme="minorHAnsi"/>
        </w:rPr>
      </w:pPr>
      <w:r w:rsidRPr="009949F6">
        <w:rPr>
          <w:rFonts w:asciiTheme="minorHAnsi" w:hAnsiTheme="minorHAnsi" w:cstheme="minorHAnsi"/>
        </w:rPr>
        <w:t xml:space="preserve">Hughes, D. (2019). </w:t>
      </w:r>
      <w:r w:rsidRPr="009949F6">
        <w:rPr>
          <w:rFonts w:asciiTheme="minorHAnsi" w:hAnsiTheme="minorHAnsi" w:cstheme="minorHAnsi"/>
          <w:i/>
          <w:iCs/>
        </w:rPr>
        <w:t>The murder of Maxwell Confait is featured on Catching Britain’s Killers tonight</w:t>
      </w:r>
      <w:r w:rsidRPr="009949F6">
        <w:rPr>
          <w:rFonts w:asciiTheme="minorHAnsi" w:hAnsiTheme="minorHAnsi" w:cstheme="minorHAnsi"/>
        </w:rPr>
        <w:t>. [online] inews.co.uk. Available at: https://inews.co.uk/culture/television/maxwell-confait-murder-catching-britains-killers-the-crimes-that-changed-us-bbc-two-354315 [Accessed 9 Sep. 2022].</w:t>
      </w:r>
    </w:p>
    <w:p w:rsidR="009949F6" w:rsidRPr="009949F6" w:rsidRDefault="009949F6" w:rsidP="009949F6">
      <w:pPr>
        <w:pStyle w:val="NormalWeb"/>
        <w:spacing w:before="0" w:beforeAutospacing="0" w:after="240" w:afterAutospacing="0" w:line="360" w:lineRule="auto"/>
        <w:rPr>
          <w:rFonts w:asciiTheme="minorHAnsi" w:hAnsiTheme="minorHAnsi" w:cstheme="minorHAnsi"/>
        </w:rPr>
      </w:pPr>
      <w:r w:rsidRPr="009949F6">
        <w:rPr>
          <w:rFonts w:asciiTheme="minorHAnsi" w:hAnsiTheme="minorHAnsi" w:cstheme="minorHAnsi"/>
        </w:rPr>
        <w:lastRenderedPageBreak/>
        <w:t xml:space="preserve">John, C. (2009). </w:t>
      </w:r>
      <w:r w:rsidRPr="009949F6">
        <w:rPr>
          <w:rFonts w:asciiTheme="minorHAnsi" w:hAnsiTheme="minorHAnsi" w:cstheme="minorHAnsi"/>
          <w:i/>
          <w:iCs/>
        </w:rPr>
        <w:t>BBC NEWS | UK | The legacy of the Brixton riots</w:t>
      </w:r>
      <w:r w:rsidRPr="009949F6">
        <w:rPr>
          <w:rFonts w:asciiTheme="minorHAnsi" w:hAnsiTheme="minorHAnsi" w:cstheme="minorHAnsi"/>
        </w:rPr>
        <w:t>. [online] Bbc.co.uk. Available at: http://news.bbc.co.uk/1/hi/uk/4854556.stm [Accessed 9 Sep. 2022].</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Lee, E. (2022). </w:t>
      </w:r>
      <w:r w:rsidRPr="009949F6">
        <w:rPr>
          <w:rFonts w:eastAsia="Times New Roman" w:cstheme="minorHAnsi"/>
          <w:i/>
          <w:iCs/>
          <w:sz w:val="24"/>
          <w:szCs w:val="24"/>
          <w:lang w:eastAsia="en-GB"/>
        </w:rPr>
        <w:t>What is Cuckooing?</w:t>
      </w:r>
      <w:r w:rsidRPr="009949F6">
        <w:rPr>
          <w:rFonts w:eastAsia="Times New Roman" w:cstheme="minorHAnsi"/>
          <w:sz w:val="24"/>
          <w:szCs w:val="24"/>
          <w:lang w:eastAsia="en-GB"/>
        </w:rPr>
        <w:t xml:space="preserve"> [online] CPD Online College. Available at: https://cpdonline.co.uk/knowledge-base/safeguarding/cuckooing/ [Accessed 29 Sep. 2022].</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Legislation.gov (2019). </w:t>
      </w:r>
      <w:r w:rsidRPr="009949F6">
        <w:rPr>
          <w:rFonts w:eastAsia="Times New Roman" w:cstheme="minorHAnsi"/>
          <w:i/>
          <w:iCs/>
          <w:sz w:val="24"/>
          <w:szCs w:val="24"/>
          <w:lang w:eastAsia="en-GB"/>
        </w:rPr>
        <w:t>Child Abduction Act 1984</w:t>
      </w:r>
      <w:r w:rsidRPr="009949F6">
        <w:rPr>
          <w:rFonts w:eastAsia="Times New Roman" w:cstheme="minorHAnsi"/>
          <w:sz w:val="24"/>
          <w:szCs w:val="24"/>
          <w:lang w:eastAsia="en-GB"/>
        </w:rPr>
        <w:t>. [online] Legislation.gov.uk. Available at: https://www.legislation.gov.uk/ukpga/1984/37/section/2 [Accessed 1 Oct. 2022].</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Legislation.gov.uk (2019). </w:t>
      </w:r>
      <w:r w:rsidRPr="009949F6">
        <w:rPr>
          <w:rFonts w:eastAsia="Times New Roman" w:cstheme="minorHAnsi"/>
          <w:i/>
          <w:iCs/>
          <w:sz w:val="24"/>
          <w:szCs w:val="24"/>
          <w:lang w:eastAsia="en-GB"/>
        </w:rPr>
        <w:t>Police and Criminal Evidence Act 1984</w:t>
      </w:r>
      <w:r w:rsidRPr="009949F6">
        <w:rPr>
          <w:rFonts w:eastAsia="Times New Roman" w:cstheme="minorHAnsi"/>
          <w:sz w:val="24"/>
          <w:szCs w:val="24"/>
          <w:lang w:eastAsia="en-GB"/>
        </w:rPr>
        <w:t>. [online] Legislation.gov.uk. Available at: https://www.legislation.gov.uk/ukpga/1984/60/section/1 [Accessed 10 Sep. 2022].</w:t>
      </w:r>
    </w:p>
    <w:p w:rsidR="009949F6" w:rsidRPr="009949F6" w:rsidRDefault="009949F6" w:rsidP="009949F6">
      <w:pPr>
        <w:pStyle w:val="NormalWeb"/>
        <w:spacing w:before="0" w:beforeAutospacing="0" w:after="240" w:afterAutospacing="0" w:line="360" w:lineRule="auto"/>
        <w:rPr>
          <w:rFonts w:asciiTheme="minorHAnsi" w:hAnsiTheme="minorHAnsi" w:cstheme="minorHAnsi"/>
        </w:rPr>
      </w:pPr>
      <w:r w:rsidRPr="009949F6">
        <w:rPr>
          <w:rFonts w:asciiTheme="minorHAnsi" w:hAnsiTheme="minorHAnsi" w:cstheme="minorHAnsi"/>
        </w:rPr>
        <w:t xml:space="preserve">Local Government Association (n.d.). </w:t>
      </w:r>
      <w:r w:rsidRPr="009949F6">
        <w:rPr>
          <w:rFonts w:asciiTheme="minorHAnsi" w:hAnsiTheme="minorHAnsi" w:cstheme="minorHAnsi"/>
          <w:i/>
          <w:iCs/>
        </w:rPr>
        <w:t>Tackling serious and organised crime a local response Report</w:t>
      </w:r>
      <w:r w:rsidRPr="009949F6">
        <w:rPr>
          <w:rFonts w:asciiTheme="minorHAnsi" w:hAnsiTheme="minorHAnsi" w:cstheme="minorHAnsi"/>
        </w:rPr>
        <w:t>. [online] Available at: https://www.local.gov.uk/sites/default/files/documents/tackling-serious-and-orga-44a.pdf [Accessed 23 Sep. 2022].</w:t>
      </w:r>
    </w:p>
    <w:p w:rsidR="009949F6" w:rsidRPr="009949F6" w:rsidRDefault="009949F6" w:rsidP="009949F6">
      <w:pPr>
        <w:pStyle w:val="NormalWeb"/>
        <w:spacing w:before="0" w:beforeAutospacing="0" w:after="240" w:afterAutospacing="0" w:line="360" w:lineRule="auto"/>
        <w:rPr>
          <w:rFonts w:asciiTheme="minorHAnsi" w:hAnsiTheme="minorHAnsi" w:cstheme="minorHAnsi"/>
        </w:rPr>
      </w:pPr>
      <w:r w:rsidRPr="009949F6">
        <w:rPr>
          <w:rFonts w:asciiTheme="minorHAnsi" w:hAnsiTheme="minorHAnsi" w:cstheme="minorHAnsi"/>
        </w:rPr>
        <w:t xml:space="preserve">Lockwood, M. (2021). </w:t>
      </w:r>
      <w:r w:rsidRPr="009949F6">
        <w:rPr>
          <w:rFonts w:asciiTheme="minorHAnsi" w:hAnsiTheme="minorHAnsi" w:cstheme="minorHAnsi"/>
          <w:i/>
          <w:iCs/>
        </w:rPr>
        <w:t>Remembering Stephen Lawrence | Independent Office for Police Conduct</w:t>
      </w:r>
      <w:r w:rsidRPr="009949F6">
        <w:rPr>
          <w:rFonts w:asciiTheme="minorHAnsi" w:hAnsiTheme="minorHAnsi" w:cstheme="minorHAnsi"/>
        </w:rPr>
        <w:t>. [online] www.policeconduct.gov.uk. Available at: https://www.policeconduct.gov.uk/remembering-stephen-lawrence [Accessed 9 Sep. 2022].</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NSPCC (2019). </w:t>
      </w:r>
      <w:r w:rsidRPr="009949F6">
        <w:rPr>
          <w:rFonts w:eastAsia="Times New Roman" w:cstheme="minorHAnsi"/>
          <w:i/>
          <w:iCs/>
          <w:sz w:val="24"/>
          <w:szCs w:val="24"/>
          <w:lang w:eastAsia="en-GB"/>
        </w:rPr>
        <w:t>Criminal exploitation and gangs</w:t>
      </w:r>
      <w:r w:rsidRPr="009949F6">
        <w:rPr>
          <w:rFonts w:eastAsia="Times New Roman" w:cstheme="minorHAnsi"/>
          <w:sz w:val="24"/>
          <w:szCs w:val="24"/>
          <w:lang w:eastAsia="en-GB"/>
        </w:rPr>
        <w:t>. [online] NSPCC. Available at: https://www.nspcc.org.uk/what-is-child-abuse/types-of-abuse/gangs-criminal-exploitation/ [Accessed 29 Sep. 2022].</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Preventing Exploitation Toolkit. (n.d.). </w:t>
      </w:r>
      <w:r w:rsidRPr="009949F6">
        <w:rPr>
          <w:rFonts w:eastAsia="Times New Roman" w:cstheme="minorHAnsi"/>
          <w:i/>
          <w:iCs/>
          <w:sz w:val="24"/>
          <w:szCs w:val="24"/>
          <w:lang w:eastAsia="en-GB"/>
        </w:rPr>
        <w:t>What is exploitation?</w:t>
      </w:r>
      <w:r w:rsidRPr="009949F6">
        <w:rPr>
          <w:rFonts w:eastAsia="Times New Roman" w:cstheme="minorHAnsi"/>
          <w:sz w:val="24"/>
          <w:szCs w:val="24"/>
          <w:lang w:eastAsia="en-GB"/>
        </w:rPr>
        <w:t xml:space="preserve"> [online] Available at: https://www.preventingexploitationtoolkit.org.uk/home/what-is-exploitation/.</w:t>
      </w:r>
    </w:p>
    <w:p w:rsidR="009949F6" w:rsidRPr="009949F6" w:rsidRDefault="009949F6" w:rsidP="009949F6">
      <w:pPr>
        <w:rPr>
          <w:rFonts w:cstheme="minorHAnsi"/>
          <w:sz w:val="24"/>
          <w:szCs w:val="24"/>
        </w:rPr>
      </w:pPr>
      <w:r w:rsidRPr="009949F6">
        <w:rPr>
          <w:rFonts w:cstheme="minorHAnsi"/>
          <w:sz w:val="24"/>
          <w:szCs w:val="24"/>
        </w:rPr>
        <w:t>Quinn, B. (2019). Macpherson report: what was it and what impact did it have? [online] the Guardian. Available at: https://www.theguardian.com/uk-news/2019/feb/22/macpherson-report-what-was-it-and-what-impact-did-it-have [Accessed 19 Sep. 2022].</w:t>
      </w:r>
    </w:p>
    <w:p w:rsidR="009949F6" w:rsidRPr="009949F6" w:rsidRDefault="009949F6" w:rsidP="009949F6">
      <w:pPr>
        <w:rPr>
          <w:rFonts w:cstheme="minorHAnsi"/>
          <w:sz w:val="24"/>
          <w:szCs w:val="24"/>
        </w:rPr>
      </w:pPr>
      <w:r w:rsidRPr="009949F6">
        <w:rPr>
          <w:rFonts w:cstheme="minorHAnsi"/>
          <w:sz w:val="24"/>
          <w:szCs w:val="24"/>
        </w:rPr>
        <w:t>South Wales Police (n.d.). Our recruitment commitment. [online] South Wales Police. Available at: https://www.south-wales.police.uk/police-forces/south-wales-police/areas/careers/careers/equality-diversity-and-inclusion-recruitment/our-recruitment-commitment/#:~:text=South%20Wales%20Police%20is%20an%20equal%20opportunities%2</w:t>
      </w:r>
      <w:r w:rsidRPr="009949F6">
        <w:rPr>
          <w:rFonts w:cstheme="minorHAnsi"/>
          <w:sz w:val="24"/>
          <w:szCs w:val="24"/>
        </w:rPr>
        <w:lastRenderedPageBreak/>
        <w:t>0employer,any%20form%20of%20harassment%2C%20intimidation%2C%20bullying%20or%20victimisation. [Accessed 19 Sep. 2022].</w:t>
      </w:r>
    </w:p>
    <w:p w:rsidR="009949F6" w:rsidRPr="009949F6" w:rsidRDefault="009949F6" w:rsidP="009949F6">
      <w:pPr>
        <w:rPr>
          <w:rFonts w:cstheme="minorHAnsi"/>
          <w:color w:val="000000"/>
          <w:sz w:val="24"/>
          <w:szCs w:val="24"/>
          <w:shd w:val="clear" w:color="auto" w:fill="FFFFFF"/>
        </w:rPr>
      </w:pPr>
      <w:r w:rsidRPr="009949F6">
        <w:rPr>
          <w:rFonts w:cstheme="minorHAnsi"/>
          <w:color w:val="000000"/>
          <w:sz w:val="24"/>
          <w:szCs w:val="24"/>
          <w:shd w:val="clear" w:color="auto" w:fill="FFFFFF"/>
        </w:rPr>
        <w:t>South Wales Police. 2022. </w:t>
      </w:r>
      <w:r w:rsidRPr="009949F6">
        <w:rPr>
          <w:rFonts w:cstheme="minorHAnsi"/>
          <w:i/>
          <w:iCs/>
          <w:color w:val="000000"/>
          <w:sz w:val="24"/>
          <w:szCs w:val="24"/>
          <w:shd w:val="clear" w:color="auto" w:fill="FFFFFF"/>
        </w:rPr>
        <w:t>Our vision, values and ethics</w:t>
      </w:r>
      <w:r w:rsidRPr="009949F6">
        <w:rPr>
          <w:rFonts w:cstheme="minorHAnsi"/>
          <w:color w:val="000000"/>
          <w:sz w:val="24"/>
          <w:szCs w:val="24"/>
          <w:shd w:val="clear" w:color="auto" w:fill="FFFFFF"/>
        </w:rPr>
        <w:t>. Available at: &lt;https://www.south-wales.police.uk/police-forces/south-wales-police/areas/about-us/about-us/our-vision-values-and-ethics/&gt; [Accessed 9 September 2022].</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The Children's Society (n.d.). </w:t>
      </w:r>
      <w:r w:rsidRPr="009949F6">
        <w:rPr>
          <w:rFonts w:eastAsia="Times New Roman" w:cstheme="minorHAnsi"/>
          <w:i/>
          <w:iCs/>
          <w:sz w:val="24"/>
          <w:szCs w:val="24"/>
          <w:lang w:eastAsia="en-GB"/>
        </w:rPr>
        <w:t>What Is County Lines? | The Children’s Society</w:t>
      </w:r>
      <w:r w:rsidRPr="009949F6">
        <w:rPr>
          <w:rFonts w:eastAsia="Times New Roman" w:cstheme="minorHAnsi"/>
          <w:sz w:val="24"/>
          <w:szCs w:val="24"/>
          <w:lang w:eastAsia="en-GB"/>
        </w:rPr>
        <w:t>. [online] www.childrenssociety.org.uk. Available at: https://www.childrenssociety.org.uk/what-we-do/our-work/child-criminal-exploitation-and-county-lines/what-is-county-lines [Accessed 27 Sep. 2022].</w:t>
      </w:r>
    </w:p>
    <w:p w:rsidR="009949F6" w:rsidRPr="009949F6" w:rsidRDefault="009949F6" w:rsidP="009949F6">
      <w:pPr>
        <w:spacing w:after="240" w:line="360" w:lineRule="auto"/>
        <w:rPr>
          <w:rFonts w:eastAsia="Times New Roman" w:cstheme="minorHAnsi"/>
          <w:sz w:val="24"/>
          <w:szCs w:val="24"/>
          <w:lang w:eastAsia="en-GB"/>
        </w:rPr>
      </w:pPr>
      <w:r w:rsidRPr="009949F6">
        <w:rPr>
          <w:rFonts w:eastAsia="Times New Roman" w:cstheme="minorHAnsi"/>
          <w:sz w:val="24"/>
          <w:szCs w:val="24"/>
          <w:lang w:eastAsia="en-GB"/>
        </w:rPr>
        <w:t xml:space="preserve">Warwickshire police (n.d.). </w:t>
      </w:r>
      <w:r w:rsidRPr="009949F6">
        <w:rPr>
          <w:rFonts w:eastAsia="Times New Roman" w:cstheme="minorHAnsi"/>
          <w:i/>
          <w:iCs/>
          <w:sz w:val="24"/>
          <w:szCs w:val="24"/>
          <w:lang w:eastAsia="en-GB"/>
        </w:rPr>
        <w:t>Types of exploitation</w:t>
      </w:r>
      <w:r w:rsidRPr="009949F6">
        <w:rPr>
          <w:rFonts w:eastAsia="Times New Roman" w:cstheme="minorHAnsi"/>
          <w:sz w:val="24"/>
          <w:szCs w:val="24"/>
          <w:lang w:eastAsia="en-GB"/>
        </w:rPr>
        <w:t>. [online] Warwickshire Police. Available at: https://www.warwickshire.police.uk/police-forces/warwickshire-police/areas/warwickshire-police/campaigns/campaigns/county-lines/types-of-exploitation/ [Accessed 27 Sep. 2022].</w:t>
      </w:r>
    </w:p>
    <w:p w:rsidR="009949F6" w:rsidRPr="009949F6" w:rsidRDefault="009949F6" w:rsidP="009949F6">
      <w:pPr>
        <w:pStyle w:val="NormalWeb"/>
        <w:spacing w:before="0" w:beforeAutospacing="0" w:after="240" w:afterAutospacing="0" w:line="360" w:lineRule="auto"/>
        <w:rPr>
          <w:rFonts w:asciiTheme="minorHAnsi" w:hAnsiTheme="minorHAnsi" w:cstheme="minorHAnsi"/>
        </w:rPr>
      </w:pPr>
      <w:r w:rsidRPr="009949F6">
        <w:rPr>
          <w:rFonts w:asciiTheme="minorHAnsi" w:hAnsiTheme="minorHAnsi" w:cstheme="minorHAnsi"/>
        </w:rPr>
        <w:t xml:space="preserve">Wikipedia Contributors (2019). </w:t>
      </w:r>
      <w:r w:rsidRPr="009949F6">
        <w:rPr>
          <w:rFonts w:asciiTheme="minorHAnsi" w:hAnsiTheme="minorHAnsi" w:cstheme="minorHAnsi"/>
          <w:i/>
          <w:iCs/>
        </w:rPr>
        <w:t>Sus law</w:t>
      </w:r>
      <w:r w:rsidRPr="009949F6">
        <w:rPr>
          <w:rFonts w:asciiTheme="minorHAnsi" w:hAnsiTheme="minorHAnsi" w:cstheme="minorHAnsi"/>
        </w:rPr>
        <w:t>. [online] Wikipedia. Available at: https://en.wikipedia.org/wiki/Sus_law [Accessed 9 Sep. 2022].</w:t>
      </w:r>
    </w:p>
    <w:p w:rsidR="009949F6" w:rsidRPr="009949F6" w:rsidRDefault="009949F6" w:rsidP="009949F6">
      <w:pPr>
        <w:pStyle w:val="NormalWeb"/>
        <w:spacing w:before="0" w:beforeAutospacing="0" w:after="240" w:afterAutospacing="0" w:line="360" w:lineRule="auto"/>
        <w:rPr>
          <w:rFonts w:asciiTheme="minorHAnsi" w:hAnsiTheme="minorHAnsi" w:cstheme="minorHAnsi"/>
        </w:rPr>
      </w:pPr>
      <w:r w:rsidRPr="009949F6">
        <w:rPr>
          <w:rFonts w:asciiTheme="minorHAnsi" w:hAnsiTheme="minorHAnsi" w:cstheme="minorHAnsi"/>
        </w:rPr>
        <w:t xml:space="preserve">Wikipedia. (2022). </w:t>
      </w:r>
      <w:r w:rsidRPr="009949F6">
        <w:rPr>
          <w:rFonts w:asciiTheme="minorHAnsi" w:hAnsiTheme="minorHAnsi" w:cstheme="minorHAnsi"/>
          <w:i/>
          <w:iCs/>
        </w:rPr>
        <w:t>Murder of Maxwell Confait</w:t>
      </w:r>
      <w:r w:rsidRPr="009949F6">
        <w:rPr>
          <w:rFonts w:asciiTheme="minorHAnsi" w:hAnsiTheme="minorHAnsi" w:cstheme="minorHAnsi"/>
        </w:rPr>
        <w:t>. [online] Available at: https://en.wikipedia.org/wiki/Murder_of_Maxwell_Confait#Fisher_enquiry_and_report [Accessed 9 Sep. 2022].</w:t>
      </w:r>
    </w:p>
    <w:p w:rsidR="009949F6" w:rsidRDefault="009949F6" w:rsidP="009949F6"/>
    <w:p w:rsidR="00661C6A" w:rsidRDefault="00661C6A"/>
    <w:sectPr w:rsidR="00661C6A" w:rsidSect="009949F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49F6" w:rsidRDefault="009949F6" w:rsidP="009949F6">
      <w:pPr>
        <w:spacing w:after="0" w:line="240" w:lineRule="auto"/>
      </w:pPr>
      <w:r>
        <w:separator/>
      </w:r>
    </w:p>
  </w:endnote>
  <w:endnote w:type="continuationSeparator" w:id="0">
    <w:p w:rsidR="009949F6" w:rsidRDefault="009949F6" w:rsidP="009949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49F6" w:rsidRDefault="009949F6" w:rsidP="009949F6">
    <w:pPr>
      <w:pStyle w:val="Footer"/>
      <w:rPr>
        <w:color w:val="000000"/>
        <w:sz w:val="17"/>
      </w:rPr>
    </w:pPr>
    <w:bookmarkStart w:id="3" w:name="TITUS1FooterEvenPages"/>
    <w:r w:rsidRPr="009949F6">
      <w:rPr>
        <w:color w:val="000000"/>
        <w:sz w:val="17"/>
      </w:rPr>
      <w:t> </w:t>
    </w:r>
  </w:p>
  <w:bookmarkEnd w:id="3"/>
  <w:p w:rsidR="009949F6" w:rsidRDefault="009949F6" w:rsidP="009949F6">
    <w:pPr>
      <w:pStyle w:val="Footer"/>
    </w:pPr>
  </w:p>
  <w:p w:rsidR="009E7B35" w:rsidRDefault="009949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7B35" w:rsidRDefault="009949F6" w:rsidP="009949F6">
    <w:pPr>
      <w:pStyle w:val="Footer"/>
      <w:rPr>
        <w:color w:val="000000"/>
        <w:sz w:val="17"/>
      </w:rPr>
    </w:pPr>
    <w:bookmarkStart w:id="4" w:name="TITUS1FooterPrimary"/>
    <w:r>
      <w:rPr>
        <w:color w:val="000000"/>
        <w:sz w:val="17"/>
      </w:rPr>
      <w:t> </w:t>
    </w:r>
  </w:p>
  <w:bookmarkEnd w:id="4"/>
  <w:p w:rsidR="009E7B35" w:rsidRDefault="009949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7B35" w:rsidRDefault="009949F6" w:rsidP="009949F6">
    <w:pPr>
      <w:pStyle w:val="Footer"/>
      <w:rPr>
        <w:color w:val="000000"/>
        <w:sz w:val="17"/>
      </w:rPr>
    </w:pPr>
    <w:bookmarkStart w:id="6" w:name="TITUS1FooterFirstPage"/>
    <w:r>
      <w:rPr>
        <w:color w:val="000000"/>
        <w:sz w:val="17"/>
      </w:rPr>
      <w:t> </w:t>
    </w:r>
  </w:p>
  <w:bookmarkEnd w:id="6"/>
  <w:p w:rsidR="009E7B35" w:rsidRDefault="009949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49F6" w:rsidRDefault="009949F6" w:rsidP="009949F6">
      <w:pPr>
        <w:spacing w:after="0" w:line="240" w:lineRule="auto"/>
      </w:pPr>
      <w:r>
        <w:separator/>
      </w:r>
    </w:p>
  </w:footnote>
  <w:footnote w:type="continuationSeparator" w:id="0">
    <w:p w:rsidR="009949F6" w:rsidRDefault="009949F6" w:rsidP="009949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49F6" w:rsidRDefault="009949F6" w:rsidP="009949F6">
    <w:pPr>
      <w:pStyle w:val="Header"/>
      <w:rPr>
        <w:color w:val="000000"/>
        <w:sz w:val="17"/>
      </w:rPr>
    </w:pPr>
    <w:bookmarkStart w:id="1" w:name="TITUS1HeaderEvenPages"/>
    <w:r w:rsidRPr="009949F6">
      <w:rPr>
        <w:color w:val="000000"/>
        <w:sz w:val="17"/>
      </w:rPr>
      <w:t> </w:t>
    </w:r>
  </w:p>
  <w:bookmarkEnd w:id="1"/>
  <w:p w:rsidR="009949F6" w:rsidRDefault="009949F6" w:rsidP="009949F6">
    <w:pPr>
      <w:pStyle w:val="Header"/>
    </w:pPr>
  </w:p>
  <w:p w:rsidR="009E7B35" w:rsidRDefault="009949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7B35" w:rsidRDefault="009949F6" w:rsidP="009949F6">
    <w:pPr>
      <w:pStyle w:val="Header"/>
      <w:rPr>
        <w:color w:val="000000"/>
        <w:sz w:val="17"/>
      </w:rPr>
    </w:pPr>
    <w:bookmarkStart w:id="2" w:name="TITUS1HeaderPrimary"/>
    <w:r>
      <w:rPr>
        <w:color w:val="000000"/>
        <w:sz w:val="17"/>
      </w:rPr>
      <w:t> </w:t>
    </w:r>
  </w:p>
  <w:bookmarkEnd w:id="2"/>
  <w:p w:rsidR="009E7B35" w:rsidRDefault="009949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7B35" w:rsidRDefault="009949F6" w:rsidP="009949F6">
    <w:pPr>
      <w:pStyle w:val="Header"/>
      <w:rPr>
        <w:color w:val="000000"/>
        <w:sz w:val="17"/>
      </w:rPr>
    </w:pPr>
    <w:bookmarkStart w:id="5" w:name="TITUS1HeaderFirstPage"/>
    <w:r>
      <w:rPr>
        <w:color w:val="000000"/>
        <w:sz w:val="17"/>
      </w:rPr>
      <w:t> </w:t>
    </w:r>
  </w:p>
  <w:bookmarkEnd w:id="5"/>
  <w:p w:rsidR="009E7B35" w:rsidRDefault="009949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49F6"/>
    <w:rsid w:val="00661C6A"/>
    <w:rsid w:val="00994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36F430"/>
  <w15:chartTrackingRefBased/>
  <w15:docId w15:val="{1D73E923-AE24-419D-A3B5-688BD4A9E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49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49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9F6"/>
  </w:style>
  <w:style w:type="paragraph" w:styleId="Footer">
    <w:name w:val="footer"/>
    <w:basedOn w:val="Normal"/>
    <w:link w:val="FooterChar"/>
    <w:uiPriority w:val="99"/>
    <w:unhideWhenUsed/>
    <w:rsid w:val="009949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9F6"/>
  </w:style>
  <w:style w:type="paragraph" w:styleId="NormalWeb">
    <w:name w:val="Normal (Web)"/>
    <w:basedOn w:val="Normal"/>
    <w:uiPriority w:val="99"/>
    <w:semiHidden/>
    <w:unhideWhenUsed/>
    <w:rsid w:val="009949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949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cfrs/wp-content/uploads/in-harms-way.pdf"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bbc.co.uk/bbcthree/article/751ddfd4-2b7a-4f3f-9a07-2f2ec29c985a"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74324F-CFBF-4044-8D74-B904DBCD8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3305</Words>
  <Characters>18839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Packer,Siobhan swp6971</dc:creator>
  <cp:keywords/>
  <dc:description/>
  <cp:lastModifiedBy>Packer,Siobhan swp6971</cp:lastModifiedBy>
  <cp:revision>1</cp:revision>
  <dcterms:created xsi:type="dcterms:W3CDTF">2022-10-24T20:00:00Z</dcterms:created>
  <dcterms:modified xsi:type="dcterms:W3CDTF">2022-10-24T20:07:00Z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0be3ca8f-2dd3-4068-8d1c-dc949d91636d</vt:lpwstr>
  </property>
  <property fmtid="{D5CDD505-2E9C-101B-9397-08002B2CF9AE}" pid="3" name="Classification">
    <vt:lpwstr>OFFICIAL</vt:lpwstr>
  </property>
  <property fmtid="{D5CDD505-2E9C-101B-9397-08002B2CF9AE}" pid="4" name="Visibility">
    <vt:lpwstr>NOT VISIBLE</vt:lpwstr>
  </property>
</Properties>
</file>