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FDBD1" w14:textId="77777777" w:rsidR="00CD04C3" w:rsidRPr="00BF2811" w:rsidRDefault="00CD04C3" w:rsidP="00680511">
      <w:pPr>
        <w:pStyle w:val="Subtitle"/>
        <w:rPr>
          <w:rFonts w:eastAsia="Times New Roman"/>
          <w:lang w:eastAsia="en-GB"/>
        </w:rPr>
      </w:pPr>
      <w:r>
        <w:br/>
      </w:r>
      <w:r w:rsidRPr="00BF2811">
        <w:br/>
        <w:t xml:space="preserve">Module: </w:t>
      </w:r>
      <w:r w:rsidRPr="00BF2811">
        <w:rPr>
          <w:rFonts w:eastAsia="Times New Roman"/>
          <w:lang w:eastAsia="en-GB"/>
        </w:rPr>
        <w:t xml:space="preserve">Introduction to Health and Social Care </w:t>
      </w:r>
      <w:r w:rsidRPr="00BF2811">
        <w:rPr>
          <w:rFonts w:eastAsia="Times New Roman"/>
          <w:lang w:eastAsia="en-GB"/>
        </w:rPr>
        <w:br/>
      </w:r>
    </w:p>
    <w:p w14:paraId="6150D177" w14:textId="77777777" w:rsidR="00CD04C3" w:rsidRPr="00BF2811" w:rsidRDefault="00CD04C3" w:rsidP="00680511">
      <w:pPr>
        <w:pStyle w:val="Subtitle"/>
        <w:rPr>
          <w:rFonts w:eastAsia="Times New Roman"/>
          <w:lang w:eastAsia="en-GB"/>
        </w:rPr>
      </w:pPr>
      <w:r w:rsidRPr="00BF2811">
        <w:rPr>
          <w:rFonts w:eastAsia="Times New Roman"/>
          <w:lang w:eastAsia="en-GB"/>
        </w:rPr>
        <w:t xml:space="preserve">Module code:  </w:t>
      </w:r>
      <w:r w:rsidRPr="00BF2811">
        <w:rPr>
          <w:rFonts w:eastAsia="Times New Roman"/>
          <w:b/>
          <w:bCs/>
          <w:lang w:eastAsia="en-GB"/>
        </w:rPr>
        <w:t xml:space="preserve">LCHS4003 </w:t>
      </w:r>
    </w:p>
    <w:p w14:paraId="7480BBB0" w14:textId="77777777" w:rsidR="00CD04C3" w:rsidRPr="00BF2811" w:rsidRDefault="00CD04C3" w:rsidP="00680511">
      <w:pPr>
        <w:pStyle w:val="Subtitle"/>
      </w:pPr>
      <w:r w:rsidRPr="00BF2811">
        <w:rPr>
          <w:rFonts w:eastAsia="Times New Roman"/>
          <w:lang w:eastAsia="en-GB"/>
        </w:rPr>
        <w:t xml:space="preserve">Lecturer: </w:t>
      </w:r>
      <w:r>
        <w:rPr>
          <w:rFonts w:eastAsia="Times New Roman"/>
          <w:lang w:eastAsia="en-GB"/>
        </w:rPr>
        <w:t xml:space="preserve"> </w:t>
      </w:r>
      <w:r w:rsidRPr="00BF2811">
        <w:rPr>
          <w:b/>
          <w:bCs/>
          <w:lang w:val="en-US"/>
        </w:rPr>
        <w:t>Farah Wiita</w:t>
      </w:r>
      <w:r w:rsidRPr="00BF2811">
        <w:rPr>
          <w:lang w:val="en-US"/>
        </w:rPr>
        <w:t>​</w:t>
      </w:r>
    </w:p>
    <w:p w14:paraId="09AD39A4" w14:textId="77777777" w:rsidR="00CD04C3" w:rsidRPr="00BF2811" w:rsidRDefault="00CD04C3" w:rsidP="00680511">
      <w:pPr>
        <w:pStyle w:val="Subtitle"/>
      </w:pPr>
      <w:r w:rsidRPr="00BF2811">
        <w:rPr>
          <w:rFonts w:eastAsia="Times New Roman"/>
          <w:lang w:eastAsia="en-GB"/>
        </w:rPr>
        <w:t xml:space="preserve">Student name: </w:t>
      </w:r>
      <w:r>
        <w:rPr>
          <w:rFonts w:eastAsia="Times New Roman"/>
          <w:lang w:eastAsia="en-GB"/>
        </w:rPr>
        <w:t xml:space="preserve"> </w:t>
      </w:r>
      <w:r w:rsidRPr="00BF2811">
        <w:rPr>
          <w:b/>
          <w:bCs/>
          <w:lang w:val="en-US"/>
        </w:rPr>
        <w:t>Aladdin Mohammed</w:t>
      </w:r>
      <w:r w:rsidRPr="00BF2811">
        <w:rPr>
          <w:lang w:val="en-US"/>
        </w:rPr>
        <w:t>​</w:t>
      </w:r>
    </w:p>
    <w:p w14:paraId="5588EEDE" w14:textId="77777777" w:rsidR="00CD04C3" w:rsidRPr="00BF2811" w:rsidRDefault="00CD04C3" w:rsidP="00680511">
      <w:pPr>
        <w:pStyle w:val="Subtitle"/>
      </w:pPr>
      <w:r w:rsidRPr="00BF2811">
        <w:rPr>
          <w:rFonts w:eastAsia="Times New Roman"/>
          <w:lang w:eastAsia="en-GB"/>
        </w:rPr>
        <w:t xml:space="preserve">Student ID number: </w:t>
      </w:r>
      <w:r>
        <w:rPr>
          <w:rFonts w:eastAsia="Times New Roman"/>
          <w:lang w:eastAsia="en-GB"/>
        </w:rPr>
        <w:t xml:space="preserve"> </w:t>
      </w:r>
      <w:r w:rsidRPr="00BF2811">
        <w:rPr>
          <w:b/>
          <w:bCs/>
          <w:lang w:val="en-US"/>
        </w:rPr>
        <w:t>2410516</w:t>
      </w:r>
      <w:r w:rsidRPr="00BF2811">
        <w:rPr>
          <w:lang w:val="en-US"/>
        </w:rPr>
        <w:t>​</w:t>
      </w:r>
    </w:p>
    <w:p w14:paraId="01408D86" w14:textId="6E60381F" w:rsidR="00CD04C3" w:rsidRDefault="00CD04C3" w:rsidP="00680511">
      <w:pPr>
        <w:pStyle w:val="Subtitle"/>
        <w:rPr>
          <w:rFonts w:eastAsia="Times New Roman"/>
          <w:b/>
          <w:bCs/>
          <w:lang w:eastAsia="en-GB"/>
        </w:rPr>
      </w:pPr>
      <w:r>
        <w:rPr>
          <w:rFonts w:eastAsia="Times New Roman"/>
          <w:lang w:eastAsia="en-GB"/>
        </w:rPr>
        <w:t xml:space="preserve">Data : </w:t>
      </w:r>
      <w:r w:rsidRPr="00BF2811">
        <w:rPr>
          <w:rFonts w:eastAsia="Times New Roman"/>
          <w:b/>
          <w:bCs/>
          <w:lang w:eastAsia="en-GB"/>
        </w:rPr>
        <w:t>1</w:t>
      </w:r>
      <w:r>
        <w:rPr>
          <w:rFonts w:eastAsia="Times New Roman"/>
          <w:b/>
          <w:bCs/>
          <w:lang w:eastAsia="en-GB"/>
        </w:rPr>
        <w:t>9</w:t>
      </w:r>
      <w:r w:rsidRPr="00BF2811">
        <w:rPr>
          <w:rFonts w:eastAsia="Times New Roman"/>
          <w:b/>
          <w:bCs/>
          <w:lang w:eastAsia="en-GB"/>
        </w:rPr>
        <w:t xml:space="preserve"> / 1</w:t>
      </w:r>
      <w:r>
        <w:rPr>
          <w:rFonts w:eastAsia="Times New Roman"/>
          <w:b/>
          <w:bCs/>
          <w:lang w:eastAsia="en-GB"/>
        </w:rPr>
        <w:t>2</w:t>
      </w:r>
      <w:r w:rsidRPr="00BF2811">
        <w:rPr>
          <w:rFonts w:eastAsia="Times New Roman"/>
          <w:b/>
          <w:bCs/>
          <w:lang w:eastAsia="en-GB"/>
        </w:rPr>
        <w:t>/ 25</w:t>
      </w:r>
    </w:p>
    <w:p w14:paraId="7C55F91D" w14:textId="0942D77B" w:rsidR="00FD15A2" w:rsidRDefault="00FD15A2" w:rsidP="00680511">
      <w:pPr>
        <w:pStyle w:val="Subtitle"/>
        <w:rPr>
          <w:rFonts w:eastAsia="Times New Roman"/>
          <w:b/>
          <w:bCs/>
          <w:lang w:eastAsia="en-GB"/>
        </w:rPr>
      </w:pPr>
      <w:r>
        <w:rPr>
          <w:rFonts w:eastAsia="Times New Roman"/>
          <w:b/>
          <w:bCs/>
          <w:lang w:eastAsia="en-GB"/>
        </w:rPr>
        <w:br w:type="page"/>
      </w:r>
    </w:p>
    <w:p w14:paraId="64514C98" w14:textId="1DF444ED" w:rsidR="00FD15A2" w:rsidRDefault="00FD15A2" w:rsidP="00680511">
      <w:pPr>
        <w:pStyle w:val="Subtitle"/>
        <w:rPr>
          <w:rFonts w:eastAsia="Times New Roman"/>
          <w:lang w:eastAsia="en-GB"/>
        </w:rPr>
      </w:pPr>
    </w:p>
    <w:p w14:paraId="04D8A770" w14:textId="0C8974B1" w:rsidR="00FD15A2" w:rsidRPr="00CC2571" w:rsidRDefault="00FD15A2" w:rsidP="00680511">
      <w:pPr>
        <w:pStyle w:val="Subtitle"/>
        <w:rPr>
          <w:rFonts w:eastAsia="Times New Roman"/>
          <w:b/>
          <w:bCs/>
          <w:lang w:eastAsia="en-GB"/>
        </w:rPr>
      </w:pPr>
      <w:r w:rsidRPr="00CC2571">
        <w:rPr>
          <w:rFonts w:eastAsia="Times New Roman"/>
          <w:b/>
          <w:bCs/>
          <w:lang w:eastAsia="en-GB"/>
        </w:rPr>
        <w:t xml:space="preserve">Introduction </w:t>
      </w:r>
    </w:p>
    <w:p w14:paraId="069C2E96" w14:textId="77777777" w:rsidR="00FD15A2" w:rsidRPr="00FD15A2" w:rsidRDefault="00FD15A2" w:rsidP="00680511">
      <w:pPr>
        <w:pStyle w:val="Subtitle"/>
        <w:rPr>
          <w:rFonts w:eastAsia="Times New Roman"/>
          <w:lang w:eastAsia="en-GB"/>
        </w:rPr>
      </w:pPr>
      <w:r w:rsidRPr="00FD15A2">
        <w:rPr>
          <w:rFonts w:eastAsia="Times New Roman"/>
          <w:lang w:eastAsia="en-GB"/>
        </w:rPr>
        <w:t>Effective communication, accurate administrative practices, and collaborative working are fundamental to delivering safe and person-centred care within health and social care settings. These elements are particularly important when supporting older adults with complex needs. This report focuses on the case study of Mrs Mann, a 72-year-old woman who has recently been discharged from hospital following hip replacement surgery. Mrs Mann lives alone and relies on domiciliary care workers for daily support with personal care and mobility. Her care also involves multiple professionals, including her GP and a community physiotherapist. As Mrs Mann’s first language is Urdu and she has limited English proficiency, communication within her care requires careful consideration to ensure her needs are understood and respected.</w:t>
      </w:r>
    </w:p>
    <w:p w14:paraId="30B3DB21" w14:textId="77777777" w:rsidR="00FD15A2" w:rsidRPr="00FD15A2" w:rsidRDefault="00FD15A2" w:rsidP="00680511">
      <w:pPr>
        <w:pStyle w:val="Subtitle"/>
        <w:rPr>
          <w:rFonts w:eastAsia="Times New Roman"/>
          <w:lang w:eastAsia="en-GB"/>
        </w:rPr>
      </w:pPr>
      <w:r w:rsidRPr="00FD15A2">
        <w:rPr>
          <w:rFonts w:eastAsia="Times New Roman"/>
          <w:lang w:eastAsia="en-GB"/>
        </w:rPr>
        <w:t>The report will examine three key aspects of professional practice within the context of Mrs Mann’s care. Firstly, it will discuss the importance of effective communication with service users and their families, drawing on the Equality Act 2010 and an appropriate communication model. Secondly, it will explore the significance of good administrative skills, with particular emphasis on accurate record-keeping and the application of the Data Protection Act 2018, especially in light of the recent concerns around documentation and medication management. Finally, the report will consider the importance of collaborative working between professionals involved in Mrs Mann’s care, highlighting strategies to support effective multi-agency practice. Through this case study, the report demonstrates how legislation and professional standards underpin safe and high-quality care delivery.</w:t>
      </w:r>
    </w:p>
    <w:p w14:paraId="3F050C8B" w14:textId="77777777" w:rsidR="00FD15A2" w:rsidRPr="00BF2811" w:rsidRDefault="00FD15A2" w:rsidP="00680511">
      <w:pPr>
        <w:pStyle w:val="Subtitle"/>
        <w:rPr>
          <w:rFonts w:eastAsia="Times New Roman"/>
          <w:lang w:eastAsia="en-GB"/>
        </w:rPr>
      </w:pPr>
    </w:p>
    <w:p w14:paraId="6BDE3BD4" w14:textId="13EC73A0" w:rsidR="00CD04C3" w:rsidRDefault="00CD04C3" w:rsidP="00680511">
      <w:pPr>
        <w:pStyle w:val="Subtitle"/>
      </w:pPr>
    </w:p>
    <w:p w14:paraId="4459B33B" w14:textId="77777777" w:rsidR="00CC2571" w:rsidRPr="00CC2571" w:rsidRDefault="00CC2571" w:rsidP="00680511">
      <w:pPr>
        <w:pStyle w:val="Subtitle"/>
        <w:rPr>
          <w:b/>
          <w:bCs/>
        </w:rPr>
      </w:pPr>
      <w:r w:rsidRPr="00CC2571">
        <w:rPr>
          <w:b/>
          <w:bCs/>
        </w:rPr>
        <w:t>2. Importance of Effective Communication in Mrs Mann’s Care</w:t>
      </w:r>
    </w:p>
    <w:p w14:paraId="403DB919" w14:textId="77777777" w:rsidR="00CC2571" w:rsidRPr="00CC2571" w:rsidRDefault="00CC2571" w:rsidP="00680511">
      <w:pPr>
        <w:pStyle w:val="Subtitle"/>
      </w:pPr>
      <w:r w:rsidRPr="00CC2571">
        <w:t>Effective communication is central to delivering safe, person-centred care, particularly for service users with complex health needs and language barriers. In Mrs Mann’s case, clear and respectful communication is essential to ensure she understands her care plan following hip replacement surgery and can participate in decisions about her rehabilitation. Person-centred communication involves listening actively, using appropriate language, and respecting individual preferences, values, and cultural background. As Mrs Mann’s first language is Urdu and she speaks limited English, communication must be adapted to avoid misunderstanding. Cultural sensitivity is also important, as cultural beliefs may influence how she perceives health, pain, and recovery. Involving her daughter as a supportive family member can help bridge communication gaps, provided this is done with Mrs Mann’s consent and does not replace professional interpretation when discussing complex or sensitive information.</w:t>
      </w:r>
    </w:p>
    <w:p w14:paraId="1AF2C5AE" w14:textId="77777777" w:rsidR="00CC2571" w:rsidRPr="00CC2571" w:rsidRDefault="00CC2571" w:rsidP="00680511">
      <w:pPr>
        <w:pStyle w:val="Subtitle"/>
      </w:pPr>
      <w:r w:rsidRPr="00CC2571">
        <w:t>The Equality Act 2010 plays a key role in ensuring that Mrs Mann receives fair and equitable care. The Act promotes equality, dignity, and non-discrimination, and places a legal duty on health and social care providers to make reasonable adjustments for individuals with protected characteristics, including race and language. In practice, this means ensuring that communication barriers do not limit Mrs Mann’s access to care or understanding of treatment. Reasonable adjustments may include providing professional interpreters, translated written information, and allowing extra time during consultations. These measures support Mrs Mann’s right to be involved in her care and help prevent inequality in service delivery.</w:t>
      </w:r>
    </w:p>
    <w:p w14:paraId="6E9676A1" w14:textId="77777777" w:rsidR="00CC2571" w:rsidRPr="00CC2571" w:rsidRDefault="00CC2571" w:rsidP="00680511">
      <w:pPr>
        <w:pStyle w:val="Subtitle"/>
      </w:pPr>
      <w:r w:rsidRPr="00CC2571">
        <w:t xml:space="preserve">To support effective communication, the </w:t>
      </w:r>
      <w:r w:rsidRPr="00CC2571">
        <w:rPr>
          <w:b/>
          <w:bCs/>
        </w:rPr>
        <w:t>Transactional Communication Model</w:t>
      </w:r>
      <w:r w:rsidRPr="00CC2571">
        <w:t xml:space="preserve"> is particularly relevant to Mrs Mann’s care. This model views communication as a two-way, dynamic process in which both the sender and receiver actively participate and continuously influence each other. It recognises the importance of feedback, context, and potential barriers such as language or cultural differences. Applying this model to Mrs Mann’s care highlights the need for professionals to check understanding, encourage questions, and adapt their communication approach. For example, care workers and healthcare professionals should confirm that information about medication changes or physiotherapy exercises is understood, using interpreters where necessary and observing non-verbal cues.</w:t>
      </w:r>
    </w:p>
    <w:p w14:paraId="1D51F733" w14:textId="77777777" w:rsidR="00CC2571" w:rsidRPr="00CC2571" w:rsidRDefault="00CC2571" w:rsidP="00680511">
      <w:pPr>
        <w:pStyle w:val="Subtitle"/>
      </w:pPr>
      <w:r w:rsidRPr="00CC2571">
        <w:t>Poor communication can have serious consequences, as demonstrated by the missed communication that led to a delayed medication adjustment in Mrs Mann’s care. Inadequate information sharing increases the risk of errors, compromises patient safety, and can lead to confusion or distress for both the service user and their family. Over time, repeated communication failures may reduce trust in care providers and negatively affect the quality and continuity of care. Effective communication is therefore essential to safeguarding Mrs Mann’s wellbeing and supporting her recovery.</w:t>
      </w:r>
    </w:p>
    <w:p w14:paraId="4E3CDA45" w14:textId="77777777" w:rsidR="00CC2571" w:rsidRPr="00CC2571" w:rsidRDefault="00CC2571" w:rsidP="00680511">
      <w:pPr>
        <w:pStyle w:val="Subtitle"/>
        <w:rPr>
          <w:b/>
          <w:bCs/>
        </w:rPr>
      </w:pPr>
      <w:r>
        <w:br/>
      </w:r>
      <w:r>
        <w:br/>
      </w:r>
      <w:r w:rsidRPr="00CC2571">
        <w:rPr>
          <w:b/>
          <w:bCs/>
        </w:rPr>
        <w:t>3. Importance of Good Administrative Skills and Record-Keeping</w:t>
      </w:r>
    </w:p>
    <w:p w14:paraId="0F8E5F50" w14:textId="77777777" w:rsidR="00CC2571" w:rsidRPr="00CC2571" w:rsidRDefault="00CC2571" w:rsidP="00680511">
      <w:pPr>
        <w:pStyle w:val="Subtitle"/>
      </w:pPr>
      <w:r w:rsidRPr="00CC2571">
        <w:t>Good administrative skills, particularly effective record-keeping, are essential within health and social care practice to ensure safe, coordinated, and high-quality care. Accurate, timely, and consistent documentation allows professionals to share important information, track changes in a service user’s condition, and make informed decisions. In Mrs Mann’s case, where multiple professionals and care providers are involved, clear records are vital for maintaining continuity of care. Record-keeping also supports accountability, as it provides an auditable trail of decisions and actions taken, helping to protect both service users and professionals.</w:t>
      </w:r>
    </w:p>
    <w:p w14:paraId="63EB3629" w14:textId="77777777" w:rsidR="00CC2571" w:rsidRPr="00CC2571" w:rsidRDefault="00CC2571" w:rsidP="00680511">
      <w:pPr>
        <w:pStyle w:val="Subtitle"/>
      </w:pPr>
      <w:r w:rsidRPr="00CC2571">
        <w:t>The Data Protection Act 2018 provides a legal framework for managing personal and sensitive information in health and social care settings. Key principles of the Act include lawfulness, fairness, and transparency, meaning that information must be collected and used appropriately, with the service user’s knowledge and consent where required. Accuracy is particularly important, as records must be correct and up to date to support safe care. Confidentiality requires that information is stored securely and only shared with those who are authorised to access it. Purpose limitation ensures that personal data is used only for specific and legitimate reasons related to care delivery. In practice, applying these principles to Mrs Mann’s records means ensuring her care notes are accurate, securely stored, and shared appropriately among the care team to support her recovery.</w:t>
      </w:r>
    </w:p>
    <w:p w14:paraId="5189A247" w14:textId="77777777" w:rsidR="00CC2571" w:rsidRPr="00CC2571" w:rsidRDefault="00CC2571" w:rsidP="00680511">
      <w:pPr>
        <w:pStyle w:val="Subtitle"/>
      </w:pPr>
      <w:r w:rsidRPr="00CC2571">
        <w:t xml:space="preserve">In addition to the Data Protection Act 2018, the </w:t>
      </w:r>
      <w:r w:rsidRPr="00CC2571">
        <w:rPr>
          <w:b/>
          <w:bCs/>
        </w:rPr>
        <w:t>Caldicott Principles</w:t>
      </w:r>
      <w:r w:rsidRPr="00CC2571">
        <w:t xml:space="preserve"> provide further guidance on the ethical use of personal information in health and social care. These principles emphasise the need to justify the use of confidential information, use the minimum necessary data, and ensure that access is on a strict need-to-know basis. Organisational policies on documentation also guide staff on how records should be completed, stored, and reviewed. Professional standards, such as those set by regulatory bodies like the Nursing and Midwifery Council (NMC) and the Health and Care Professions Council (HCPC), reinforce the expectation that records must be clear, accurate, and completed promptly.</w:t>
      </w:r>
    </w:p>
    <w:p w14:paraId="28236066" w14:textId="77777777" w:rsidR="00CC2571" w:rsidRPr="00CC2571" w:rsidRDefault="00CC2571" w:rsidP="00680511">
      <w:pPr>
        <w:pStyle w:val="Subtitle"/>
      </w:pPr>
      <w:r w:rsidRPr="00CC2571">
        <w:t>In Mrs Mann’s case, inconsistent documentation contributed to a missed communication and delayed medication adjustment, highlighting the risks associated with poor administrative practice. Such errors can compromise patient safety, delay recovery, and undermine trust in care services. This example demonstrates how effective record-keeping is not merely an administrative task but a critical component of safe, person-centred care.</w:t>
      </w:r>
    </w:p>
    <w:p w14:paraId="4309C8D5" w14:textId="77777777" w:rsidR="00CC2571" w:rsidRPr="00CC2571" w:rsidRDefault="00CC2571" w:rsidP="00680511">
      <w:pPr>
        <w:pStyle w:val="Subtitle"/>
        <w:rPr>
          <w:b/>
          <w:bCs/>
        </w:rPr>
      </w:pPr>
      <w:r>
        <w:br/>
      </w:r>
      <w:r>
        <w:br/>
      </w:r>
      <w:r w:rsidRPr="00CC2571">
        <w:rPr>
          <w:b/>
          <w:bCs/>
        </w:rPr>
        <w:t>4. Importance of Collaborative Working in Mrs Mann’s Care</w:t>
      </w:r>
    </w:p>
    <w:p w14:paraId="696A6FFD" w14:textId="77777777" w:rsidR="00CC2571" w:rsidRPr="00CC2571" w:rsidRDefault="00CC2571" w:rsidP="00680511">
      <w:pPr>
        <w:pStyle w:val="Subtitle"/>
      </w:pPr>
      <w:r w:rsidRPr="00CC2571">
        <w:t>Collaborative working, also referred to as multi-agency working, is essential when supporting service users with complex health and social care needs. In Mrs Mann’s care, several professionals are involved, including her GP, community physiotherapist, domiciliary care workers, and her daughter as an informal carer. Each professional has a distinct role: the GP oversees medical care and medication management, the physiotherapist supports rehabilitation and mobility, and domiciliary carers assist with daily personal care. Effective collaboration between these individuals ensures that Mrs Mann receives coordinated, holistic care that supports her recovery and independence. For older adults, collaborative working helps reduce duplication of services, prevents gaps in care, and improves overall health outcomes.</w:t>
      </w:r>
    </w:p>
    <w:p w14:paraId="33572A3B" w14:textId="77777777" w:rsidR="00CC2571" w:rsidRPr="00CC2571" w:rsidRDefault="00CC2571" w:rsidP="00680511">
      <w:pPr>
        <w:pStyle w:val="Subtitle"/>
      </w:pPr>
      <w:r w:rsidRPr="00CC2571">
        <w:t>To achieve effective collaboration, clear communication channels are vital. Professionals must share accurate and timely information to ensure everyone involved understands the care plan and any changes to Mrs Mann’s condition or treatment. Shared care plans are particularly important, as they provide a central record of agreed goals, responsibilities, and interventions. Regular reviews and updates allow the care team to monitor progress, identify emerging concerns, and adjust support as needed. Including Mrs Mann and her daughter in these discussions promotes person-centred care and helps ensure that decisions reflect her preferences and needs.</w:t>
      </w:r>
    </w:p>
    <w:p w14:paraId="31FBF3CC" w14:textId="77777777" w:rsidR="00CC2571" w:rsidRPr="00CC2571" w:rsidRDefault="00CC2571" w:rsidP="00680511">
      <w:pPr>
        <w:pStyle w:val="Subtitle"/>
      </w:pPr>
      <w:r w:rsidRPr="00CC2571">
        <w:t>Despite its benefits, collaborative working can present challenges. Poor communication between services may lead to misunderstandings or delays, while unclear roles can cause confusion about responsibilities. Time constraints and heavy workloads may also limit opportunities for joint working. These challenges can be addressed through structured information-sharing processes, clear leadership within the care team, and the use of care coordination tools such as shared digital records or multidisciplinary meetings. By adopting these strategies, professionals can work more effectively together to provide safe, consistent, and high-quality care for Mrs Mann.</w:t>
      </w:r>
    </w:p>
    <w:p w14:paraId="7F921FA8" w14:textId="032ED95E" w:rsidR="00CC2571" w:rsidRPr="00CC2571" w:rsidRDefault="00CC2571" w:rsidP="00680511">
      <w:pPr>
        <w:pStyle w:val="Subtitle"/>
        <w:rPr>
          <w:b/>
          <w:bCs/>
        </w:rPr>
      </w:pPr>
      <w:r>
        <w:br/>
      </w:r>
      <w:r>
        <w:br/>
      </w:r>
      <w:r w:rsidR="009230A2">
        <w:rPr>
          <w:b/>
          <w:bCs/>
        </w:rPr>
        <w:t xml:space="preserve">5. </w:t>
      </w:r>
      <w:r w:rsidRPr="00CC2571">
        <w:rPr>
          <w:b/>
          <w:bCs/>
        </w:rPr>
        <w:t xml:space="preserve">Conclusion </w:t>
      </w:r>
    </w:p>
    <w:p w14:paraId="23D56EAA" w14:textId="77777777" w:rsidR="00CC2571" w:rsidRPr="00CC2571" w:rsidRDefault="00CC2571" w:rsidP="00680511">
      <w:pPr>
        <w:pStyle w:val="Subtitle"/>
      </w:pPr>
      <w:r w:rsidRPr="00CC2571">
        <w:t>This report has explored the importance of effective communication, accurate administrative practices, and collaborative working within the context of Mrs Mann’s care. Clear and person-centred communication is essential to ensure that service users with language barriers, such as Mrs Mann, are fully involved in decisions about their care and are treated with dignity and respect, in line with the Equality Act 2010. The discussion has also highlighted how good record-keeping and mentioned legislation, including the Data Protection Act 2018 and the Caldicott Principles, underpin safe and accountable practice. Inconsistent documentation in Mrs Mann’s case demonstrated how poor administrative skills can compromise patient safety and delay treatment. Furthermore, the report emphasised the value of collaborative working between healthcare professionals, care workers, and family members in delivering coordinated and effective care. By applying clear communication strategies, robust record-keeping, and strong multi-agency collaboration, health and social care professionals can significantly improve care quality, safety, and outcomes for service users like Mrs Mann.</w:t>
      </w:r>
    </w:p>
    <w:p w14:paraId="6B52B209" w14:textId="2A4264D0" w:rsidR="006913C2" w:rsidRPr="006913C2" w:rsidRDefault="006913C2" w:rsidP="00680511">
      <w:pPr>
        <w:pStyle w:val="Subtitle"/>
        <w:rPr>
          <w:b/>
          <w:bCs/>
        </w:rPr>
      </w:pPr>
      <w:r>
        <w:br/>
      </w:r>
      <w:r>
        <w:br/>
      </w:r>
      <w:r w:rsidR="00153260">
        <w:rPr>
          <w:b/>
          <w:bCs/>
        </w:rPr>
        <w:t xml:space="preserve">6. </w:t>
      </w:r>
      <w:r w:rsidRPr="006913C2">
        <w:rPr>
          <w:b/>
          <w:bCs/>
        </w:rPr>
        <w:t>Reference List (UWTSD Harvard Style)</w:t>
      </w:r>
    </w:p>
    <w:p w14:paraId="5E85051E" w14:textId="19E0761A" w:rsidR="006913C2" w:rsidRDefault="006913C2" w:rsidP="00680511">
      <w:pPr>
        <w:pStyle w:val="Subtitle"/>
      </w:pPr>
      <w:r w:rsidRPr="006913C2">
        <w:t xml:space="preserve">Department of Health and Social Care (2018) </w:t>
      </w:r>
      <w:r w:rsidRPr="006913C2">
        <w:rPr>
          <w:i/>
          <w:iCs/>
        </w:rPr>
        <w:t>The Caldicott principles: guidance on confidentiality and information sharing</w:t>
      </w:r>
      <w:r w:rsidRPr="006913C2">
        <w:t>. London: DHSC.</w:t>
      </w:r>
    </w:p>
    <w:p w14:paraId="531F944B" w14:textId="77777777" w:rsidR="006913C2" w:rsidRPr="006913C2" w:rsidRDefault="006913C2" w:rsidP="00680511">
      <w:pPr>
        <w:pStyle w:val="Subtitle"/>
      </w:pPr>
    </w:p>
    <w:p w14:paraId="302247DC" w14:textId="7D88DAB5" w:rsidR="006913C2" w:rsidRDefault="006913C2" w:rsidP="00680511">
      <w:pPr>
        <w:pStyle w:val="Subtitle"/>
      </w:pPr>
      <w:r w:rsidRPr="006913C2">
        <w:t xml:space="preserve">Equality Act 2010. (2010) </w:t>
      </w:r>
      <w:r w:rsidRPr="006913C2">
        <w:rPr>
          <w:i/>
          <w:iCs/>
        </w:rPr>
        <w:t>Equality Act 2010</w:t>
      </w:r>
      <w:r w:rsidRPr="006913C2">
        <w:t xml:space="preserve">. London: The Stationery Office. Available at: </w:t>
      </w:r>
      <w:hyperlink r:id="rId7" w:tgtFrame="_new" w:history="1">
        <w:r w:rsidRPr="006913C2">
          <w:rPr>
            <w:rStyle w:val="Hyperlink"/>
            <w:rFonts w:ascii="Arial" w:hAnsi="Arial" w:cs="Arial"/>
            <w:sz w:val="22"/>
            <w:szCs w:val="22"/>
          </w:rPr>
          <w:t>https://www.legislation.gov.uk/ukpga/2010/15/contents</w:t>
        </w:r>
      </w:hyperlink>
      <w:r w:rsidRPr="006913C2">
        <w:t xml:space="preserve"> (Accessed: 1</w:t>
      </w:r>
      <w:r>
        <w:t>1</w:t>
      </w:r>
      <w:r w:rsidRPr="006913C2">
        <w:t xml:space="preserve"> December 2025).</w:t>
      </w:r>
    </w:p>
    <w:p w14:paraId="063B4D51" w14:textId="77777777" w:rsidR="006913C2" w:rsidRPr="006913C2" w:rsidRDefault="006913C2" w:rsidP="00680511">
      <w:pPr>
        <w:pStyle w:val="Subtitle"/>
      </w:pPr>
    </w:p>
    <w:p w14:paraId="2E2B9558" w14:textId="2C11BDC5" w:rsidR="006913C2" w:rsidRDefault="006913C2" w:rsidP="00680511">
      <w:pPr>
        <w:pStyle w:val="Subtitle"/>
      </w:pPr>
      <w:r w:rsidRPr="006913C2">
        <w:t xml:space="preserve">Health and Care Professions Council (HCPC) (2022) </w:t>
      </w:r>
      <w:r w:rsidRPr="006913C2">
        <w:rPr>
          <w:i/>
          <w:iCs/>
        </w:rPr>
        <w:t>Standards of conduct, performance and ethics</w:t>
      </w:r>
      <w:r w:rsidRPr="006913C2">
        <w:t>. London: HCPC.</w:t>
      </w:r>
    </w:p>
    <w:p w14:paraId="3FAA01E3" w14:textId="77777777" w:rsidR="006913C2" w:rsidRPr="006913C2" w:rsidRDefault="006913C2" w:rsidP="00680511">
      <w:pPr>
        <w:pStyle w:val="Subtitle"/>
      </w:pPr>
    </w:p>
    <w:p w14:paraId="590D2350" w14:textId="78173AB4" w:rsidR="006913C2" w:rsidRDefault="006913C2" w:rsidP="00680511">
      <w:pPr>
        <w:pStyle w:val="Subtitle"/>
      </w:pPr>
      <w:r w:rsidRPr="006913C2">
        <w:t xml:space="preserve">McCormack, B. and McCance, T. (2017) </w:t>
      </w:r>
      <w:r w:rsidRPr="006913C2">
        <w:rPr>
          <w:i/>
          <w:iCs/>
        </w:rPr>
        <w:t>Person-centred practice in nursing and health care: theory and practice</w:t>
      </w:r>
      <w:r w:rsidRPr="006913C2">
        <w:t>. 2nd edn. Chichester: Wiley Blackwell.</w:t>
      </w:r>
    </w:p>
    <w:p w14:paraId="2E33F20B" w14:textId="77777777" w:rsidR="006913C2" w:rsidRPr="006913C2" w:rsidRDefault="006913C2" w:rsidP="00680511">
      <w:pPr>
        <w:pStyle w:val="Subtitle"/>
      </w:pPr>
    </w:p>
    <w:p w14:paraId="6810A5CD" w14:textId="19D96425" w:rsidR="006913C2" w:rsidRDefault="006913C2" w:rsidP="00680511">
      <w:pPr>
        <w:pStyle w:val="Subtitle"/>
      </w:pPr>
      <w:r w:rsidRPr="006913C2">
        <w:t xml:space="preserve">Nursing and Midwifery Council (NMC) (2018) </w:t>
      </w:r>
      <w:r w:rsidRPr="006913C2">
        <w:rPr>
          <w:i/>
          <w:iCs/>
        </w:rPr>
        <w:t>The Code: Professional standards of practice and behaviour for nurses, midwives and nursing associates</w:t>
      </w:r>
      <w:r w:rsidRPr="006913C2">
        <w:t>. London: NMC.</w:t>
      </w:r>
    </w:p>
    <w:p w14:paraId="43E3923E" w14:textId="77777777" w:rsidR="006913C2" w:rsidRPr="006913C2" w:rsidRDefault="006913C2" w:rsidP="00680511">
      <w:pPr>
        <w:pStyle w:val="Subtitle"/>
      </w:pPr>
    </w:p>
    <w:p w14:paraId="61B59F55" w14:textId="0C6E3436" w:rsidR="006913C2" w:rsidRDefault="006913C2" w:rsidP="00680511">
      <w:pPr>
        <w:pStyle w:val="Subtitle"/>
      </w:pPr>
      <w:r w:rsidRPr="006913C2">
        <w:t xml:space="preserve">Shannon, C.E. and Weaver, W. (1949) </w:t>
      </w:r>
      <w:r w:rsidRPr="006913C2">
        <w:rPr>
          <w:i/>
          <w:iCs/>
        </w:rPr>
        <w:t>The mathematical theory of communication</w:t>
      </w:r>
      <w:r w:rsidRPr="006913C2">
        <w:t>. Urbana: University of Illinois Press.</w:t>
      </w:r>
    </w:p>
    <w:p w14:paraId="7AD5AD5E" w14:textId="77777777" w:rsidR="006913C2" w:rsidRPr="006913C2" w:rsidRDefault="006913C2" w:rsidP="00680511">
      <w:pPr>
        <w:pStyle w:val="Subtitle"/>
      </w:pPr>
    </w:p>
    <w:p w14:paraId="0FAE755F" w14:textId="7268E05D" w:rsidR="006913C2" w:rsidRDefault="006913C2" w:rsidP="00680511">
      <w:pPr>
        <w:pStyle w:val="Subtitle"/>
      </w:pPr>
      <w:r w:rsidRPr="006913C2">
        <w:t xml:space="preserve">UK Government (2018) </w:t>
      </w:r>
      <w:r w:rsidRPr="006913C2">
        <w:rPr>
          <w:i/>
          <w:iCs/>
        </w:rPr>
        <w:t>Data Protection Act 2018</w:t>
      </w:r>
      <w:r w:rsidRPr="006913C2">
        <w:t xml:space="preserve">. London: The Stationery Office. Available at: </w:t>
      </w:r>
      <w:hyperlink r:id="rId8" w:tgtFrame="_new" w:history="1">
        <w:r w:rsidRPr="006913C2">
          <w:rPr>
            <w:rStyle w:val="Hyperlink"/>
            <w:rFonts w:ascii="Arial" w:hAnsi="Arial" w:cs="Arial"/>
            <w:sz w:val="22"/>
            <w:szCs w:val="22"/>
          </w:rPr>
          <w:t>https://www.legislation.gov.uk/ukpga/2018/12/contents/enacted</w:t>
        </w:r>
      </w:hyperlink>
      <w:r w:rsidRPr="006913C2">
        <w:t xml:space="preserve"> (Accessed: 12 December 2025).</w:t>
      </w:r>
    </w:p>
    <w:p w14:paraId="3C743B4F" w14:textId="77777777" w:rsidR="006913C2" w:rsidRPr="006913C2" w:rsidRDefault="006913C2" w:rsidP="00680511">
      <w:pPr>
        <w:pStyle w:val="Subtitle"/>
      </w:pPr>
    </w:p>
    <w:p w14:paraId="32D969CC" w14:textId="77777777" w:rsidR="006913C2" w:rsidRPr="006913C2" w:rsidRDefault="006913C2" w:rsidP="00680511">
      <w:pPr>
        <w:pStyle w:val="Subtitle"/>
      </w:pPr>
      <w:r w:rsidRPr="006913C2">
        <w:t xml:space="preserve">World Health Organization (2010) </w:t>
      </w:r>
      <w:r w:rsidRPr="006913C2">
        <w:rPr>
          <w:i/>
          <w:iCs/>
        </w:rPr>
        <w:t>Framework for action on interprofessional education and collaborative practice</w:t>
      </w:r>
      <w:r w:rsidRPr="006913C2">
        <w:t>. Geneva: WHO.</w:t>
      </w:r>
    </w:p>
    <w:p w14:paraId="711C7BF1" w14:textId="59BC77FF" w:rsidR="00CC2571" w:rsidRPr="00CD04C3" w:rsidRDefault="00CC2571" w:rsidP="00680511">
      <w:pPr>
        <w:pStyle w:val="Subtitle"/>
      </w:pPr>
    </w:p>
    <w:sectPr w:rsidR="00CC2571" w:rsidRPr="00CD04C3">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1BCF2" w14:textId="77777777" w:rsidR="001246CE" w:rsidRDefault="001246CE" w:rsidP="00FD15A2">
      <w:r>
        <w:separator/>
      </w:r>
    </w:p>
  </w:endnote>
  <w:endnote w:type="continuationSeparator" w:id="0">
    <w:p w14:paraId="48EAC2A8" w14:textId="77777777" w:rsidR="001246CE" w:rsidRDefault="001246CE" w:rsidP="00FD1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8117716"/>
      <w:docPartObj>
        <w:docPartGallery w:val="Page Numbers (Bottom of Page)"/>
        <w:docPartUnique/>
      </w:docPartObj>
    </w:sdtPr>
    <w:sdtEndPr>
      <w:rPr>
        <w:rStyle w:val="PageNumber"/>
      </w:rPr>
    </w:sdtEndPr>
    <w:sdtContent>
      <w:p w14:paraId="66E6816B" w14:textId="7AD11C94" w:rsidR="009D70F7" w:rsidRDefault="009D70F7" w:rsidP="00857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3C9487" w14:textId="77777777" w:rsidR="009D70F7" w:rsidRDefault="009D70F7" w:rsidP="009D70F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00211843"/>
      <w:docPartObj>
        <w:docPartGallery w:val="Page Numbers (Bottom of Page)"/>
        <w:docPartUnique/>
      </w:docPartObj>
    </w:sdtPr>
    <w:sdtEndPr>
      <w:rPr>
        <w:rStyle w:val="PageNumber"/>
      </w:rPr>
    </w:sdtEndPr>
    <w:sdtContent>
      <w:p w14:paraId="503C7483" w14:textId="0D72AE54" w:rsidR="009D70F7" w:rsidRDefault="009D70F7" w:rsidP="008572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C2F5FF" w14:textId="77777777" w:rsidR="009D70F7" w:rsidRDefault="009D70F7" w:rsidP="009D70F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F3D8E" w14:textId="77777777" w:rsidR="001246CE" w:rsidRDefault="001246CE" w:rsidP="00FD15A2">
      <w:r>
        <w:separator/>
      </w:r>
    </w:p>
  </w:footnote>
  <w:footnote w:type="continuationSeparator" w:id="0">
    <w:p w14:paraId="3E9A848F" w14:textId="77777777" w:rsidR="001246CE" w:rsidRDefault="001246CE" w:rsidP="00FD15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F8931" w14:textId="41B24079" w:rsidR="00FD15A2" w:rsidRDefault="00FD15A2">
    <w:pPr>
      <w:pStyle w:val="Header"/>
    </w:pPr>
    <w:r w:rsidRPr="00BF2811">
      <w:rPr>
        <w:rFonts w:ascii="Arial" w:hAnsi="Arial" w:cs="Arial"/>
        <w:b/>
        <w:bCs/>
        <w:sz w:val="22"/>
        <w:szCs w:val="22"/>
        <w:lang w:val="en-US"/>
      </w:rPr>
      <w:t>2410516</w:t>
    </w:r>
    <w:r w:rsidRPr="00BF2811">
      <w:rPr>
        <w:rFonts w:ascii="Arial" w:hAnsi="Arial" w:cs="Arial"/>
        <w:sz w:val="22"/>
        <w:szCs w:val="22"/>
        <w:lang w:val="en-U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E285F"/>
    <w:multiLevelType w:val="hybridMultilevel"/>
    <w:tmpl w:val="8D72D2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5242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4C3"/>
    <w:rsid w:val="001246CE"/>
    <w:rsid w:val="00153260"/>
    <w:rsid w:val="00680511"/>
    <w:rsid w:val="006913C2"/>
    <w:rsid w:val="008B55EF"/>
    <w:rsid w:val="009230A2"/>
    <w:rsid w:val="009D70F7"/>
    <w:rsid w:val="00AD58DC"/>
    <w:rsid w:val="00CC2571"/>
    <w:rsid w:val="00CD04C3"/>
    <w:rsid w:val="00FD1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3DAA20"/>
  <w15:chartTrackingRefBased/>
  <w15:docId w15:val="{E24A5CC2-E60B-0E48-A8D5-C5A80BAB2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04C3"/>
  </w:style>
  <w:style w:type="paragraph" w:styleId="Heading2">
    <w:name w:val="heading 2"/>
    <w:basedOn w:val="Normal"/>
    <w:next w:val="Normal"/>
    <w:link w:val="Heading2Char"/>
    <w:uiPriority w:val="9"/>
    <w:semiHidden/>
    <w:unhideWhenUsed/>
    <w:qFormat/>
    <w:rsid w:val="00CC257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04C3"/>
    <w:rPr>
      <w:rFonts w:ascii="Times New Roman" w:hAnsi="Times New Roman" w:cs="Times New Roman"/>
    </w:rPr>
  </w:style>
  <w:style w:type="paragraph" w:styleId="Header">
    <w:name w:val="header"/>
    <w:basedOn w:val="Normal"/>
    <w:link w:val="HeaderChar"/>
    <w:uiPriority w:val="99"/>
    <w:unhideWhenUsed/>
    <w:rsid w:val="00FD15A2"/>
    <w:pPr>
      <w:tabs>
        <w:tab w:val="center" w:pos="4513"/>
        <w:tab w:val="right" w:pos="9026"/>
      </w:tabs>
    </w:pPr>
  </w:style>
  <w:style w:type="character" w:customStyle="1" w:styleId="HeaderChar">
    <w:name w:val="Header Char"/>
    <w:basedOn w:val="DefaultParagraphFont"/>
    <w:link w:val="Header"/>
    <w:uiPriority w:val="99"/>
    <w:rsid w:val="00FD15A2"/>
  </w:style>
  <w:style w:type="paragraph" w:styleId="Footer">
    <w:name w:val="footer"/>
    <w:basedOn w:val="Normal"/>
    <w:link w:val="FooterChar"/>
    <w:uiPriority w:val="99"/>
    <w:unhideWhenUsed/>
    <w:rsid w:val="00FD15A2"/>
    <w:pPr>
      <w:tabs>
        <w:tab w:val="center" w:pos="4513"/>
        <w:tab w:val="right" w:pos="9026"/>
      </w:tabs>
    </w:pPr>
  </w:style>
  <w:style w:type="character" w:customStyle="1" w:styleId="FooterChar">
    <w:name w:val="Footer Char"/>
    <w:basedOn w:val="DefaultParagraphFont"/>
    <w:link w:val="Footer"/>
    <w:uiPriority w:val="99"/>
    <w:rsid w:val="00FD15A2"/>
  </w:style>
  <w:style w:type="character" w:customStyle="1" w:styleId="Heading2Char">
    <w:name w:val="Heading 2 Char"/>
    <w:basedOn w:val="DefaultParagraphFont"/>
    <w:link w:val="Heading2"/>
    <w:uiPriority w:val="9"/>
    <w:semiHidden/>
    <w:rsid w:val="00CC2571"/>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C2571"/>
    <w:pPr>
      <w:ind w:left="720"/>
      <w:contextualSpacing/>
    </w:pPr>
  </w:style>
  <w:style w:type="character" w:styleId="Hyperlink">
    <w:name w:val="Hyperlink"/>
    <w:basedOn w:val="DefaultParagraphFont"/>
    <w:uiPriority w:val="99"/>
    <w:unhideWhenUsed/>
    <w:rsid w:val="006913C2"/>
    <w:rPr>
      <w:color w:val="0563C1" w:themeColor="hyperlink"/>
      <w:u w:val="single"/>
    </w:rPr>
  </w:style>
  <w:style w:type="character" w:styleId="UnresolvedMention">
    <w:name w:val="Unresolved Mention"/>
    <w:basedOn w:val="DefaultParagraphFont"/>
    <w:uiPriority w:val="99"/>
    <w:semiHidden/>
    <w:unhideWhenUsed/>
    <w:rsid w:val="006913C2"/>
    <w:rPr>
      <w:color w:val="605E5C"/>
      <w:shd w:val="clear" w:color="auto" w:fill="E1DFDD"/>
    </w:rPr>
  </w:style>
  <w:style w:type="character" w:styleId="FollowedHyperlink">
    <w:name w:val="FollowedHyperlink"/>
    <w:basedOn w:val="DefaultParagraphFont"/>
    <w:uiPriority w:val="99"/>
    <w:semiHidden/>
    <w:unhideWhenUsed/>
    <w:rsid w:val="006913C2"/>
    <w:rPr>
      <w:color w:val="954F72" w:themeColor="followedHyperlink"/>
      <w:u w:val="single"/>
    </w:rPr>
  </w:style>
  <w:style w:type="character" w:styleId="PageNumber">
    <w:name w:val="page number"/>
    <w:basedOn w:val="DefaultParagraphFont"/>
    <w:uiPriority w:val="99"/>
    <w:semiHidden/>
    <w:unhideWhenUsed/>
    <w:rsid w:val="009D70F7"/>
  </w:style>
  <w:style w:type="paragraph" w:styleId="Title">
    <w:name w:val="Title"/>
    <w:basedOn w:val="Normal"/>
    <w:next w:val="Normal"/>
    <w:link w:val="TitleChar"/>
    <w:uiPriority w:val="10"/>
    <w:qFormat/>
    <w:rsid w:val="006805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0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05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0511"/>
    <w:rPr>
      <w:rFonts w:eastAsiaTheme="majorEastAsia" w:cstheme="majorBidi"/>
      <w:color w:val="595959" w:themeColor="text1" w:themeTint="A6"/>
      <w:spacing w:val="15"/>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4395">
      <w:bodyDiv w:val="1"/>
      <w:marLeft w:val="0"/>
      <w:marRight w:val="0"/>
      <w:marTop w:val="0"/>
      <w:marBottom w:val="0"/>
      <w:divBdr>
        <w:top w:val="none" w:sz="0" w:space="0" w:color="auto"/>
        <w:left w:val="none" w:sz="0" w:space="0" w:color="auto"/>
        <w:bottom w:val="none" w:sz="0" w:space="0" w:color="auto"/>
        <w:right w:val="none" w:sz="0" w:space="0" w:color="auto"/>
      </w:divBdr>
    </w:div>
    <w:div w:id="335235659">
      <w:bodyDiv w:val="1"/>
      <w:marLeft w:val="0"/>
      <w:marRight w:val="0"/>
      <w:marTop w:val="0"/>
      <w:marBottom w:val="0"/>
      <w:divBdr>
        <w:top w:val="none" w:sz="0" w:space="0" w:color="auto"/>
        <w:left w:val="none" w:sz="0" w:space="0" w:color="auto"/>
        <w:bottom w:val="none" w:sz="0" w:space="0" w:color="auto"/>
        <w:right w:val="none" w:sz="0" w:space="0" w:color="auto"/>
      </w:divBdr>
    </w:div>
    <w:div w:id="369385026">
      <w:bodyDiv w:val="1"/>
      <w:marLeft w:val="0"/>
      <w:marRight w:val="0"/>
      <w:marTop w:val="0"/>
      <w:marBottom w:val="0"/>
      <w:divBdr>
        <w:top w:val="none" w:sz="0" w:space="0" w:color="auto"/>
        <w:left w:val="none" w:sz="0" w:space="0" w:color="auto"/>
        <w:bottom w:val="none" w:sz="0" w:space="0" w:color="auto"/>
        <w:right w:val="none" w:sz="0" w:space="0" w:color="auto"/>
      </w:divBdr>
    </w:div>
    <w:div w:id="581138035">
      <w:bodyDiv w:val="1"/>
      <w:marLeft w:val="0"/>
      <w:marRight w:val="0"/>
      <w:marTop w:val="0"/>
      <w:marBottom w:val="0"/>
      <w:divBdr>
        <w:top w:val="none" w:sz="0" w:space="0" w:color="auto"/>
        <w:left w:val="none" w:sz="0" w:space="0" w:color="auto"/>
        <w:bottom w:val="none" w:sz="0" w:space="0" w:color="auto"/>
        <w:right w:val="none" w:sz="0" w:space="0" w:color="auto"/>
      </w:divBdr>
    </w:div>
    <w:div w:id="891770508">
      <w:bodyDiv w:val="1"/>
      <w:marLeft w:val="0"/>
      <w:marRight w:val="0"/>
      <w:marTop w:val="0"/>
      <w:marBottom w:val="0"/>
      <w:divBdr>
        <w:top w:val="none" w:sz="0" w:space="0" w:color="auto"/>
        <w:left w:val="none" w:sz="0" w:space="0" w:color="auto"/>
        <w:bottom w:val="none" w:sz="0" w:space="0" w:color="auto"/>
        <w:right w:val="none" w:sz="0" w:space="0" w:color="auto"/>
      </w:divBdr>
    </w:div>
    <w:div w:id="927155262">
      <w:bodyDiv w:val="1"/>
      <w:marLeft w:val="0"/>
      <w:marRight w:val="0"/>
      <w:marTop w:val="0"/>
      <w:marBottom w:val="0"/>
      <w:divBdr>
        <w:top w:val="none" w:sz="0" w:space="0" w:color="auto"/>
        <w:left w:val="none" w:sz="0" w:space="0" w:color="auto"/>
        <w:bottom w:val="none" w:sz="0" w:space="0" w:color="auto"/>
        <w:right w:val="none" w:sz="0" w:space="0" w:color="auto"/>
      </w:divBdr>
    </w:div>
    <w:div w:id="969868109">
      <w:bodyDiv w:val="1"/>
      <w:marLeft w:val="0"/>
      <w:marRight w:val="0"/>
      <w:marTop w:val="0"/>
      <w:marBottom w:val="0"/>
      <w:divBdr>
        <w:top w:val="none" w:sz="0" w:space="0" w:color="auto"/>
        <w:left w:val="none" w:sz="0" w:space="0" w:color="auto"/>
        <w:bottom w:val="none" w:sz="0" w:space="0" w:color="auto"/>
        <w:right w:val="none" w:sz="0" w:space="0" w:color="auto"/>
      </w:divBdr>
    </w:div>
    <w:div w:id="1038513000">
      <w:bodyDiv w:val="1"/>
      <w:marLeft w:val="0"/>
      <w:marRight w:val="0"/>
      <w:marTop w:val="0"/>
      <w:marBottom w:val="0"/>
      <w:divBdr>
        <w:top w:val="none" w:sz="0" w:space="0" w:color="auto"/>
        <w:left w:val="none" w:sz="0" w:space="0" w:color="auto"/>
        <w:bottom w:val="none" w:sz="0" w:space="0" w:color="auto"/>
        <w:right w:val="none" w:sz="0" w:space="0" w:color="auto"/>
      </w:divBdr>
    </w:div>
    <w:div w:id="1422138494">
      <w:bodyDiv w:val="1"/>
      <w:marLeft w:val="0"/>
      <w:marRight w:val="0"/>
      <w:marTop w:val="0"/>
      <w:marBottom w:val="0"/>
      <w:divBdr>
        <w:top w:val="none" w:sz="0" w:space="0" w:color="auto"/>
        <w:left w:val="none" w:sz="0" w:space="0" w:color="auto"/>
        <w:bottom w:val="none" w:sz="0" w:space="0" w:color="auto"/>
        <w:right w:val="none" w:sz="0" w:space="0" w:color="auto"/>
      </w:divBdr>
    </w:div>
    <w:div w:id="1559709007">
      <w:bodyDiv w:val="1"/>
      <w:marLeft w:val="0"/>
      <w:marRight w:val="0"/>
      <w:marTop w:val="0"/>
      <w:marBottom w:val="0"/>
      <w:divBdr>
        <w:top w:val="none" w:sz="0" w:space="0" w:color="auto"/>
        <w:left w:val="none" w:sz="0" w:space="0" w:color="auto"/>
        <w:bottom w:val="none" w:sz="0" w:space="0" w:color="auto"/>
        <w:right w:val="none" w:sz="0" w:space="0" w:color="auto"/>
      </w:divBdr>
    </w:div>
    <w:div w:id="1576355735">
      <w:bodyDiv w:val="1"/>
      <w:marLeft w:val="0"/>
      <w:marRight w:val="0"/>
      <w:marTop w:val="0"/>
      <w:marBottom w:val="0"/>
      <w:divBdr>
        <w:top w:val="none" w:sz="0" w:space="0" w:color="auto"/>
        <w:left w:val="none" w:sz="0" w:space="0" w:color="auto"/>
        <w:bottom w:val="none" w:sz="0" w:space="0" w:color="auto"/>
        <w:right w:val="none" w:sz="0" w:space="0" w:color="auto"/>
      </w:divBdr>
    </w:div>
    <w:div w:id="207430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enacte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1870</Words>
  <Characters>10665</Characters>
  <Application>Microsoft Office Word</Application>
  <DocSecurity>0</DocSecurity>
  <Lines>88</Lines>
  <Paragraphs>25</Paragraphs>
  <ScaleCrop>false</ScaleCrop>
  <Company/>
  <LinksUpToDate>false</LinksUpToDate>
  <CharactersWithSpaces>12510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Kifah Alhassan (STU113752)</dc:creator>
  <cp:keywords/>
  <dc:description/>
  <cp:lastModifiedBy>Aladdin Hamza Ahmed Mohammed (2410516)</cp:lastModifiedBy>
  <cp:revision>3</cp:revision>
  <dcterms:created xsi:type="dcterms:W3CDTF">2025-12-19T12:31:00Z</dcterms:created>
  <dcterms:modified xsi:type="dcterms:W3CDTF">2025-12-19T12:37:00Z</dcterms:modified>
</cp:coreProperties>
</file>