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329B0" w14:textId="77777777" w:rsidR="007870C7" w:rsidRDefault="007870C7" w:rsidP="00085C6B">
      <w:pPr>
        <w:pStyle w:val="Heading1"/>
        <w:rPr>
          <w:rFonts w:ascii="Arial" w:hAnsi="Arial" w:cs="Arial"/>
          <w:b/>
          <w:bCs/>
          <w:color w:val="auto"/>
        </w:rPr>
      </w:pPr>
    </w:p>
    <w:sdt>
      <w:sdtPr>
        <w:rPr>
          <w:rFonts w:asciiTheme="minorHAnsi" w:eastAsiaTheme="minorEastAsia" w:hAnsiTheme="minorHAnsi" w:cstheme="minorBidi"/>
          <w:color w:val="auto"/>
          <w:kern w:val="2"/>
          <w:sz w:val="22"/>
          <w:szCs w:val="22"/>
          <w:lang w:val="en-GB" w:eastAsia="zh-CN"/>
          <w14:ligatures w14:val="standardContextual"/>
        </w:rPr>
        <w:id w:val="1558816940"/>
        <w:docPartObj>
          <w:docPartGallery w:val="Table of Contents"/>
          <w:docPartUnique/>
        </w:docPartObj>
      </w:sdtPr>
      <w:sdtEndPr>
        <w:rPr>
          <w:b/>
          <w:bCs/>
          <w:noProof/>
        </w:rPr>
      </w:sdtEndPr>
      <w:sdtContent>
        <w:p w14:paraId="595FD8BD" w14:textId="6E5555C2" w:rsidR="009039EE" w:rsidRPr="00616418" w:rsidRDefault="009039EE">
          <w:pPr>
            <w:pStyle w:val="TOCHeading"/>
            <w:rPr>
              <w:rFonts w:ascii="Arial" w:hAnsi="Arial" w:cs="Arial"/>
              <w:color w:val="auto"/>
            </w:rPr>
          </w:pPr>
          <w:r w:rsidRPr="00616418">
            <w:rPr>
              <w:rFonts w:ascii="Arial" w:hAnsi="Arial" w:cs="Arial"/>
              <w:color w:val="auto"/>
            </w:rPr>
            <w:t>Contents</w:t>
          </w:r>
        </w:p>
        <w:p w14:paraId="38C38C80" w14:textId="2C915932" w:rsidR="009039EE" w:rsidRDefault="009039EE">
          <w:pPr>
            <w:pStyle w:val="TOC1"/>
            <w:tabs>
              <w:tab w:val="right" w:leader="dot" w:pos="9016"/>
            </w:tabs>
            <w:rPr>
              <w:noProof/>
            </w:rPr>
          </w:pPr>
          <w:r>
            <w:fldChar w:fldCharType="begin"/>
          </w:r>
          <w:r>
            <w:instrText xml:space="preserve"> TOC \o "1-3" \h \z \u </w:instrText>
          </w:r>
          <w:r>
            <w:fldChar w:fldCharType="separate"/>
          </w:r>
          <w:hyperlink w:anchor="_Toc153271142" w:history="1">
            <w:r w:rsidRPr="006664F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_Toc153271142 \h </w:instrText>
            </w:r>
            <w:r>
              <w:rPr>
                <w:noProof/>
                <w:webHidden/>
              </w:rPr>
            </w:r>
            <w:r>
              <w:rPr>
                <w:noProof/>
                <w:webHidden/>
              </w:rPr>
              <w:fldChar w:fldCharType="separate"/>
            </w:r>
            <w:r>
              <w:rPr>
                <w:noProof/>
                <w:webHidden/>
              </w:rPr>
              <w:t>2</w:t>
            </w:r>
            <w:r>
              <w:rPr>
                <w:noProof/>
                <w:webHidden/>
              </w:rPr>
              <w:fldChar w:fldCharType="end"/>
            </w:r>
          </w:hyperlink>
        </w:p>
        <w:p w14:paraId="40F1D162" w14:textId="421DFB95" w:rsidR="009039EE" w:rsidRDefault="00000000">
          <w:pPr>
            <w:pStyle w:val="TOC1"/>
            <w:tabs>
              <w:tab w:val="right" w:leader="dot" w:pos="9016"/>
            </w:tabs>
            <w:rPr>
              <w:noProof/>
            </w:rPr>
          </w:pPr>
          <w:hyperlink w:anchor="_Toc153271143" w:history="1">
            <w:r w:rsidR="009039EE" w:rsidRPr="006664FB">
              <w:rPr>
                <w:rStyle w:val="Hyperlink"/>
                <w:rFonts w:ascii="Arial" w:hAnsi="Arial" w:cs="Arial"/>
                <w:b/>
                <w:bCs/>
                <w:noProof/>
              </w:rPr>
              <w:t>Research Methodology</w:t>
            </w:r>
            <w:r w:rsidR="009039EE">
              <w:rPr>
                <w:noProof/>
                <w:webHidden/>
              </w:rPr>
              <w:tab/>
            </w:r>
            <w:r w:rsidR="009039EE">
              <w:rPr>
                <w:noProof/>
                <w:webHidden/>
              </w:rPr>
              <w:fldChar w:fldCharType="begin"/>
            </w:r>
            <w:r w:rsidR="009039EE">
              <w:rPr>
                <w:noProof/>
                <w:webHidden/>
              </w:rPr>
              <w:instrText xml:space="preserve"> PAGEREF _Toc153271143 \h </w:instrText>
            </w:r>
            <w:r w:rsidR="009039EE">
              <w:rPr>
                <w:noProof/>
                <w:webHidden/>
              </w:rPr>
            </w:r>
            <w:r w:rsidR="009039EE">
              <w:rPr>
                <w:noProof/>
                <w:webHidden/>
              </w:rPr>
              <w:fldChar w:fldCharType="separate"/>
            </w:r>
            <w:r w:rsidR="009039EE">
              <w:rPr>
                <w:noProof/>
                <w:webHidden/>
              </w:rPr>
              <w:t>2</w:t>
            </w:r>
            <w:r w:rsidR="009039EE">
              <w:rPr>
                <w:noProof/>
                <w:webHidden/>
              </w:rPr>
              <w:fldChar w:fldCharType="end"/>
            </w:r>
          </w:hyperlink>
        </w:p>
        <w:p w14:paraId="17FA7000" w14:textId="0098D228" w:rsidR="009039EE" w:rsidRDefault="00000000">
          <w:pPr>
            <w:pStyle w:val="TOC2"/>
            <w:tabs>
              <w:tab w:val="right" w:leader="dot" w:pos="9016"/>
            </w:tabs>
            <w:rPr>
              <w:noProof/>
            </w:rPr>
          </w:pPr>
          <w:hyperlink w:anchor="_Toc153271144" w:history="1">
            <w:r w:rsidR="009039EE" w:rsidRPr="006664FB">
              <w:rPr>
                <w:rStyle w:val="Hyperlink"/>
                <w:rFonts w:ascii="Arial" w:hAnsi="Arial" w:cs="Arial"/>
                <w:b/>
                <w:bCs/>
                <w:noProof/>
              </w:rPr>
              <w:t>Research method</w:t>
            </w:r>
            <w:r w:rsidR="009039EE">
              <w:rPr>
                <w:noProof/>
                <w:webHidden/>
              </w:rPr>
              <w:tab/>
            </w:r>
            <w:r w:rsidR="009039EE">
              <w:rPr>
                <w:noProof/>
                <w:webHidden/>
              </w:rPr>
              <w:fldChar w:fldCharType="begin"/>
            </w:r>
            <w:r w:rsidR="009039EE">
              <w:rPr>
                <w:noProof/>
                <w:webHidden/>
              </w:rPr>
              <w:instrText xml:space="preserve"> PAGEREF _Toc153271144 \h </w:instrText>
            </w:r>
            <w:r w:rsidR="009039EE">
              <w:rPr>
                <w:noProof/>
                <w:webHidden/>
              </w:rPr>
            </w:r>
            <w:r w:rsidR="009039EE">
              <w:rPr>
                <w:noProof/>
                <w:webHidden/>
              </w:rPr>
              <w:fldChar w:fldCharType="separate"/>
            </w:r>
            <w:r w:rsidR="009039EE">
              <w:rPr>
                <w:noProof/>
                <w:webHidden/>
              </w:rPr>
              <w:t>2</w:t>
            </w:r>
            <w:r w:rsidR="009039EE">
              <w:rPr>
                <w:noProof/>
                <w:webHidden/>
              </w:rPr>
              <w:fldChar w:fldCharType="end"/>
            </w:r>
          </w:hyperlink>
        </w:p>
        <w:p w14:paraId="7DA769D7" w14:textId="376BED9A" w:rsidR="009039EE" w:rsidRDefault="00000000">
          <w:pPr>
            <w:pStyle w:val="TOC2"/>
            <w:tabs>
              <w:tab w:val="right" w:leader="dot" w:pos="9016"/>
            </w:tabs>
            <w:rPr>
              <w:noProof/>
            </w:rPr>
          </w:pPr>
          <w:hyperlink w:anchor="_Toc153271145" w:history="1">
            <w:r w:rsidR="009039EE" w:rsidRPr="006664FB">
              <w:rPr>
                <w:rStyle w:val="Hyperlink"/>
                <w:rFonts w:ascii="Arial" w:hAnsi="Arial" w:cs="Arial"/>
                <w:b/>
                <w:bCs/>
                <w:noProof/>
              </w:rPr>
              <w:t>Research Design</w:t>
            </w:r>
            <w:r w:rsidR="009039EE">
              <w:rPr>
                <w:noProof/>
                <w:webHidden/>
              </w:rPr>
              <w:tab/>
            </w:r>
            <w:r w:rsidR="009039EE">
              <w:rPr>
                <w:noProof/>
                <w:webHidden/>
              </w:rPr>
              <w:fldChar w:fldCharType="begin"/>
            </w:r>
            <w:r w:rsidR="009039EE">
              <w:rPr>
                <w:noProof/>
                <w:webHidden/>
              </w:rPr>
              <w:instrText xml:space="preserve"> PAGEREF _Toc153271145 \h </w:instrText>
            </w:r>
            <w:r w:rsidR="009039EE">
              <w:rPr>
                <w:noProof/>
                <w:webHidden/>
              </w:rPr>
            </w:r>
            <w:r w:rsidR="009039EE">
              <w:rPr>
                <w:noProof/>
                <w:webHidden/>
              </w:rPr>
              <w:fldChar w:fldCharType="separate"/>
            </w:r>
            <w:r w:rsidR="009039EE">
              <w:rPr>
                <w:noProof/>
                <w:webHidden/>
              </w:rPr>
              <w:t>2</w:t>
            </w:r>
            <w:r w:rsidR="009039EE">
              <w:rPr>
                <w:noProof/>
                <w:webHidden/>
              </w:rPr>
              <w:fldChar w:fldCharType="end"/>
            </w:r>
          </w:hyperlink>
        </w:p>
        <w:p w14:paraId="1A946601" w14:textId="5E4A6E0E" w:rsidR="009039EE" w:rsidRDefault="00000000">
          <w:pPr>
            <w:pStyle w:val="TOC2"/>
            <w:tabs>
              <w:tab w:val="right" w:leader="dot" w:pos="9016"/>
            </w:tabs>
            <w:rPr>
              <w:noProof/>
            </w:rPr>
          </w:pPr>
          <w:hyperlink w:anchor="_Toc153271146" w:history="1">
            <w:r w:rsidR="009039EE" w:rsidRPr="006664FB">
              <w:rPr>
                <w:rStyle w:val="Hyperlink"/>
                <w:rFonts w:ascii="Arial" w:hAnsi="Arial" w:cs="Arial"/>
                <w:b/>
                <w:bCs/>
                <w:noProof/>
              </w:rPr>
              <w:t>Recruitment, Sampling &amp; Study Participants</w:t>
            </w:r>
            <w:r w:rsidR="009039EE">
              <w:rPr>
                <w:noProof/>
                <w:webHidden/>
              </w:rPr>
              <w:tab/>
            </w:r>
            <w:r w:rsidR="009039EE">
              <w:rPr>
                <w:noProof/>
                <w:webHidden/>
              </w:rPr>
              <w:fldChar w:fldCharType="begin"/>
            </w:r>
            <w:r w:rsidR="009039EE">
              <w:rPr>
                <w:noProof/>
                <w:webHidden/>
              </w:rPr>
              <w:instrText xml:space="preserve"> PAGEREF _Toc153271146 \h </w:instrText>
            </w:r>
            <w:r w:rsidR="009039EE">
              <w:rPr>
                <w:noProof/>
                <w:webHidden/>
              </w:rPr>
            </w:r>
            <w:r w:rsidR="009039EE">
              <w:rPr>
                <w:noProof/>
                <w:webHidden/>
              </w:rPr>
              <w:fldChar w:fldCharType="separate"/>
            </w:r>
            <w:r w:rsidR="009039EE">
              <w:rPr>
                <w:noProof/>
                <w:webHidden/>
              </w:rPr>
              <w:t>3</w:t>
            </w:r>
            <w:r w:rsidR="009039EE">
              <w:rPr>
                <w:noProof/>
                <w:webHidden/>
              </w:rPr>
              <w:fldChar w:fldCharType="end"/>
            </w:r>
          </w:hyperlink>
        </w:p>
        <w:p w14:paraId="4A19E272" w14:textId="6BAA6912" w:rsidR="009039EE" w:rsidRDefault="00000000">
          <w:pPr>
            <w:pStyle w:val="TOC2"/>
            <w:tabs>
              <w:tab w:val="right" w:leader="dot" w:pos="9016"/>
            </w:tabs>
            <w:rPr>
              <w:noProof/>
            </w:rPr>
          </w:pPr>
          <w:hyperlink w:anchor="_Toc153271147" w:history="1">
            <w:r w:rsidR="009039EE" w:rsidRPr="006664FB">
              <w:rPr>
                <w:rStyle w:val="Hyperlink"/>
                <w:rFonts w:ascii="Arial" w:hAnsi="Arial" w:cs="Arial"/>
                <w:b/>
                <w:bCs/>
                <w:noProof/>
              </w:rPr>
              <w:t>Materials/Data Collection Method(s)/procedures</w:t>
            </w:r>
            <w:r w:rsidR="009039EE">
              <w:rPr>
                <w:noProof/>
                <w:webHidden/>
              </w:rPr>
              <w:tab/>
            </w:r>
            <w:r w:rsidR="009039EE">
              <w:rPr>
                <w:noProof/>
                <w:webHidden/>
              </w:rPr>
              <w:fldChar w:fldCharType="begin"/>
            </w:r>
            <w:r w:rsidR="009039EE">
              <w:rPr>
                <w:noProof/>
                <w:webHidden/>
              </w:rPr>
              <w:instrText xml:space="preserve"> PAGEREF _Toc153271147 \h </w:instrText>
            </w:r>
            <w:r w:rsidR="009039EE">
              <w:rPr>
                <w:noProof/>
                <w:webHidden/>
              </w:rPr>
            </w:r>
            <w:r w:rsidR="009039EE">
              <w:rPr>
                <w:noProof/>
                <w:webHidden/>
              </w:rPr>
              <w:fldChar w:fldCharType="separate"/>
            </w:r>
            <w:r w:rsidR="009039EE">
              <w:rPr>
                <w:noProof/>
                <w:webHidden/>
              </w:rPr>
              <w:t>3</w:t>
            </w:r>
            <w:r w:rsidR="009039EE">
              <w:rPr>
                <w:noProof/>
                <w:webHidden/>
              </w:rPr>
              <w:fldChar w:fldCharType="end"/>
            </w:r>
          </w:hyperlink>
        </w:p>
        <w:p w14:paraId="5E10FE16" w14:textId="440DEF27" w:rsidR="009039EE" w:rsidRDefault="00000000">
          <w:pPr>
            <w:pStyle w:val="TOC2"/>
            <w:tabs>
              <w:tab w:val="right" w:leader="dot" w:pos="9016"/>
            </w:tabs>
            <w:rPr>
              <w:noProof/>
            </w:rPr>
          </w:pPr>
          <w:hyperlink w:anchor="_Toc153271148" w:history="1">
            <w:r w:rsidR="009039EE" w:rsidRPr="006664FB">
              <w:rPr>
                <w:rStyle w:val="Hyperlink"/>
                <w:rFonts w:ascii="Arial" w:hAnsi="Arial" w:cs="Arial"/>
                <w:b/>
                <w:bCs/>
                <w:noProof/>
              </w:rPr>
              <w:t xml:space="preserve">Data </w:t>
            </w:r>
            <w:r w:rsidR="00616418">
              <w:rPr>
                <w:rStyle w:val="Hyperlink"/>
                <w:rFonts w:ascii="Arial" w:hAnsi="Arial" w:cs="Arial"/>
                <w:b/>
                <w:bCs/>
                <w:noProof/>
              </w:rPr>
              <w:t>Analysis Technique</w:t>
            </w:r>
            <w:r w:rsidR="009039EE">
              <w:rPr>
                <w:noProof/>
                <w:webHidden/>
              </w:rPr>
              <w:tab/>
            </w:r>
            <w:r w:rsidR="009039EE">
              <w:rPr>
                <w:noProof/>
                <w:webHidden/>
              </w:rPr>
              <w:fldChar w:fldCharType="begin"/>
            </w:r>
            <w:r w:rsidR="009039EE">
              <w:rPr>
                <w:noProof/>
                <w:webHidden/>
              </w:rPr>
              <w:instrText xml:space="preserve"> PAGEREF _Toc153271148 \h </w:instrText>
            </w:r>
            <w:r w:rsidR="009039EE">
              <w:rPr>
                <w:noProof/>
                <w:webHidden/>
              </w:rPr>
            </w:r>
            <w:r w:rsidR="009039EE">
              <w:rPr>
                <w:noProof/>
                <w:webHidden/>
              </w:rPr>
              <w:fldChar w:fldCharType="separate"/>
            </w:r>
            <w:r w:rsidR="009039EE">
              <w:rPr>
                <w:noProof/>
                <w:webHidden/>
              </w:rPr>
              <w:t>3</w:t>
            </w:r>
            <w:r w:rsidR="009039EE">
              <w:rPr>
                <w:noProof/>
                <w:webHidden/>
              </w:rPr>
              <w:fldChar w:fldCharType="end"/>
            </w:r>
          </w:hyperlink>
        </w:p>
        <w:p w14:paraId="4CF0878E" w14:textId="3CF35829" w:rsidR="009039EE" w:rsidRDefault="00000000">
          <w:pPr>
            <w:pStyle w:val="TOC2"/>
            <w:tabs>
              <w:tab w:val="right" w:leader="dot" w:pos="9016"/>
            </w:tabs>
            <w:rPr>
              <w:noProof/>
            </w:rPr>
          </w:pPr>
          <w:hyperlink w:anchor="_Toc153271149" w:history="1">
            <w:r w:rsidR="009039EE" w:rsidRPr="006664FB">
              <w:rPr>
                <w:rStyle w:val="Hyperlink"/>
                <w:rFonts w:ascii="Arial" w:hAnsi="Arial" w:cs="Arial"/>
                <w:b/>
                <w:bCs/>
                <w:noProof/>
              </w:rPr>
              <w:t>Ethical considerations</w:t>
            </w:r>
            <w:r w:rsidR="009039EE">
              <w:rPr>
                <w:noProof/>
                <w:webHidden/>
              </w:rPr>
              <w:tab/>
            </w:r>
            <w:r w:rsidR="009039EE">
              <w:rPr>
                <w:noProof/>
                <w:webHidden/>
              </w:rPr>
              <w:fldChar w:fldCharType="begin"/>
            </w:r>
            <w:r w:rsidR="009039EE">
              <w:rPr>
                <w:noProof/>
                <w:webHidden/>
              </w:rPr>
              <w:instrText xml:space="preserve"> PAGEREF _Toc153271149 \h </w:instrText>
            </w:r>
            <w:r w:rsidR="009039EE">
              <w:rPr>
                <w:noProof/>
                <w:webHidden/>
              </w:rPr>
            </w:r>
            <w:r w:rsidR="009039EE">
              <w:rPr>
                <w:noProof/>
                <w:webHidden/>
              </w:rPr>
              <w:fldChar w:fldCharType="separate"/>
            </w:r>
            <w:r w:rsidR="009039EE">
              <w:rPr>
                <w:noProof/>
                <w:webHidden/>
              </w:rPr>
              <w:t>3</w:t>
            </w:r>
            <w:r w:rsidR="009039EE">
              <w:rPr>
                <w:noProof/>
                <w:webHidden/>
              </w:rPr>
              <w:fldChar w:fldCharType="end"/>
            </w:r>
          </w:hyperlink>
        </w:p>
        <w:p w14:paraId="4D0AAEC4" w14:textId="5E89FA54" w:rsidR="009039EE" w:rsidRDefault="009039EE">
          <w:r>
            <w:rPr>
              <w:b/>
              <w:bCs/>
              <w:noProof/>
            </w:rPr>
            <w:fldChar w:fldCharType="end"/>
          </w:r>
        </w:p>
      </w:sdtContent>
    </w:sdt>
    <w:p w14:paraId="6054DC77" w14:textId="77777777" w:rsidR="00FB0929" w:rsidRPr="00FB0929" w:rsidRDefault="00FB0929" w:rsidP="00FB0929">
      <w:pPr>
        <w:rPr>
          <w:rFonts w:ascii="Arial" w:hAnsi="Arial" w:cs="Arial"/>
          <w:b/>
          <w:bCs/>
        </w:rPr>
      </w:pPr>
      <w:r w:rsidRPr="00FB0929">
        <w:rPr>
          <w:rFonts w:ascii="Arial" w:hAnsi="Arial" w:cs="Arial"/>
          <w:b/>
          <w:bCs/>
        </w:rPr>
        <w:t>Research questions:</w:t>
      </w:r>
    </w:p>
    <w:p w14:paraId="329AA124" w14:textId="77777777" w:rsidR="00FB0929" w:rsidRPr="00FB0929" w:rsidRDefault="00FB0929" w:rsidP="00FB0929">
      <w:pPr>
        <w:rPr>
          <w:rFonts w:ascii="Arial" w:hAnsi="Arial" w:cs="Arial"/>
          <w:b/>
          <w:bCs/>
        </w:rPr>
      </w:pPr>
    </w:p>
    <w:p w14:paraId="7124A8BC" w14:textId="77777777" w:rsidR="00FB0929" w:rsidRPr="00FB0929" w:rsidRDefault="00FB0929" w:rsidP="00FB0929">
      <w:pPr>
        <w:rPr>
          <w:rFonts w:ascii="Arial" w:hAnsi="Arial" w:cs="Arial"/>
          <w:b/>
          <w:bCs/>
        </w:rPr>
      </w:pPr>
      <w:r w:rsidRPr="00FB0929">
        <w:rPr>
          <w:rFonts w:ascii="Arial" w:hAnsi="Arial" w:cs="Arial"/>
          <w:b/>
          <w:bCs/>
        </w:rPr>
        <w:t>1) what factors contributes professionalism in post-graduate students ?</w:t>
      </w:r>
    </w:p>
    <w:p w14:paraId="266A1927" w14:textId="77777777" w:rsidR="00FB0929" w:rsidRPr="00FB0929" w:rsidRDefault="00FB0929" w:rsidP="00FB0929">
      <w:pPr>
        <w:rPr>
          <w:rFonts w:ascii="Arial" w:hAnsi="Arial" w:cs="Arial"/>
          <w:b/>
          <w:bCs/>
        </w:rPr>
      </w:pPr>
    </w:p>
    <w:p w14:paraId="3C34E520" w14:textId="591B0B06" w:rsidR="007870C7" w:rsidRDefault="00FB0929" w:rsidP="00FB0929">
      <w:pPr>
        <w:rPr>
          <w:rFonts w:ascii="Arial" w:eastAsiaTheme="majorEastAsia" w:hAnsi="Arial" w:cs="Arial"/>
          <w:b/>
          <w:bCs/>
          <w:sz w:val="32"/>
          <w:szCs w:val="32"/>
        </w:rPr>
      </w:pPr>
      <w:r w:rsidRPr="00FB0929">
        <w:rPr>
          <w:rFonts w:ascii="Arial" w:hAnsi="Arial" w:cs="Arial"/>
          <w:b/>
          <w:bCs/>
        </w:rPr>
        <w:t xml:space="preserve">2) How </w:t>
      </w:r>
      <w:proofErr w:type="gramStart"/>
      <w:r w:rsidRPr="00FB0929">
        <w:rPr>
          <w:rFonts w:ascii="Arial" w:hAnsi="Arial" w:cs="Arial"/>
          <w:b/>
          <w:bCs/>
        </w:rPr>
        <w:t>factors are</w:t>
      </w:r>
      <w:proofErr w:type="gramEnd"/>
      <w:r w:rsidRPr="00FB0929">
        <w:rPr>
          <w:rFonts w:ascii="Arial" w:hAnsi="Arial" w:cs="Arial"/>
          <w:b/>
          <w:bCs/>
        </w:rPr>
        <w:t xml:space="preserve"> influences on professionalism in post-graduate students ? </w:t>
      </w:r>
      <w:r w:rsidR="007870C7">
        <w:rPr>
          <w:rFonts w:ascii="Arial" w:hAnsi="Arial" w:cs="Arial"/>
          <w:b/>
          <w:bCs/>
        </w:rPr>
        <w:br w:type="page"/>
      </w:r>
    </w:p>
    <w:p w14:paraId="415BADCB" w14:textId="7E130F0A" w:rsidR="000507BB" w:rsidRDefault="000507BB" w:rsidP="00085C6B">
      <w:pPr>
        <w:pStyle w:val="Heading1"/>
        <w:rPr>
          <w:rFonts w:ascii="Arial" w:hAnsi="Arial" w:cs="Arial"/>
          <w:b/>
          <w:bCs/>
          <w:color w:val="auto"/>
        </w:rPr>
      </w:pPr>
      <w:bookmarkStart w:id="0" w:name="_Toc153271142"/>
      <w:r w:rsidRPr="005E48B1">
        <w:rPr>
          <w:rFonts w:ascii="Arial" w:hAnsi="Arial" w:cs="Arial"/>
          <w:b/>
          <w:bCs/>
          <w:color w:val="auto"/>
        </w:rPr>
        <w:lastRenderedPageBreak/>
        <w:t>Introduction</w:t>
      </w:r>
      <w:bookmarkEnd w:id="0"/>
    </w:p>
    <w:p w14:paraId="0C79C743" w14:textId="77777777" w:rsidR="007A0F99" w:rsidRPr="007A0F99" w:rsidRDefault="007A0F99" w:rsidP="007A0F99"/>
    <w:p w14:paraId="4973D1E2" w14:textId="10535FD6" w:rsidR="00E50562" w:rsidRDefault="00B97F6E" w:rsidP="00437187">
      <w:pPr>
        <w:spacing w:line="360" w:lineRule="auto"/>
        <w:rPr>
          <w:rFonts w:ascii="Arial" w:hAnsi="Arial" w:cs="Arial"/>
        </w:rPr>
      </w:pPr>
      <w:r w:rsidRPr="00B97F6E">
        <w:rPr>
          <w:rFonts w:ascii="Arial" w:hAnsi="Arial" w:cs="Arial"/>
        </w:rPr>
        <w:t>Professional behaviour in general consists of seven principles, which include selflessness, integrity, objectivity, accountability, openness, honesty and leadership</w:t>
      </w:r>
      <w:r w:rsidR="009D73CA">
        <w:rPr>
          <w:rFonts w:ascii="Arial" w:hAnsi="Arial" w:cs="Arial"/>
        </w:rPr>
        <w:t xml:space="preserve"> </w:t>
      </w:r>
      <w:r w:rsidR="00486AB6">
        <w:rPr>
          <w:rFonts w:ascii="Arial" w:hAnsi="Arial" w:cs="Arial"/>
        </w:rPr>
        <w:t>(</w:t>
      </w:r>
      <w:r w:rsidR="009D73CA">
        <w:rPr>
          <w:rFonts w:ascii="Segoe UI" w:hAnsi="Segoe UI" w:cs="Segoe UI"/>
          <w:color w:val="374151"/>
        </w:rPr>
        <w:t>Committee on Standards in Public Life</w:t>
      </w:r>
      <w:r w:rsidR="00486AB6">
        <w:rPr>
          <w:rFonts w:ascii="Arial" w:hAnsi="Arial" w:cs="Arial"/>
        </w:rPr>
        <w:t>, 2014)</w:t>
      </w:r>
      <w:r w:rsidRPr="00B97F6E">
        <w:rPr>
          <w:rFonts w:ascii="Arial" w:hAnsi="Arial" w:cs="Arial"/>
        </w:rPr>
        <w:t>. These seven principles apply to individuals working in the public service as well as to those providing public services in all sectors</w:t>
      </w:r>
      <w:r>
        <w:rPr>
          <w:rFonts w:ascii="Arial" w:hAnsi="Arial" w:cs="Arial" w:hint="eastAsia"/>
        </w:rPr>
        <w:t>.</w:t>
      </w:r>
      <w:r>
        <w:rPr>
          <w:rFonts w:ascii="Arial" w:hAnsi="Arial" w:cs="Arial"/>
        </w:rPr>
        <w:t xml:space="preserve"> </w:t>
      </w:r>
      <w:r w:rsidR="00E50562" w:rsidRPr="00E50562">
        <w:rPr>
          <w:rFonts w:ascii="Arial" w:hAnsi="Arial" w:cs="Arial"/>
        </w:rPr>
        <w:t xml:space="preserve">Together, these principles provide a framework for ensuring ethical behaviour, maintaining public trust and maintaining the integrity of public institutions and services. </w:t>
      </w:r>
    </w:p>
    <w:p w14:paraId="5F7F78D2" w14:textId="0396C0EC" w:rsidR="00FE59FB" w:rsidRPr="00437187" w:rsidRDefault="00923E0D" w:rsidP="00437187">
      <w:pPr>
        <w:spacing w:line="360" w:lineRule="auto"/>
        <w:rPr>
          <w:rFonts w:ascii="Arial" w:hAnsi="Arial" w:cs="Arial"/>
        </w:rPr>
      </w:pPr>
      <w:r w:rsidRPr="00437187">
        <w:rPr>
          <w:rFonts w:ascii="Arial" w:hAnsi="Arial" w:cs="Arial"/>
        </w:rPr>
        <w:t>Professional</w:t>
      </w:r>
      <w:r w:rsidR="006A4300">
        <w:rPr>
          <w:rFonts w:ascii="Arial" w:hAnsi="Arial" w:cs="Arial"/>
        </w:rPr>
        <w:t xml:space="preserve"> </w:t>
      </w:r>
      <w:r w:rsidR="006D6794">
        <w:rPr>
          <w:rFonts w:ascii="Arial" w:hAnsi="Arial" w:cs="Arial"/>
        </w:rPr>
        <w:t>behaviour</w:t>
      </w:r>
      <w:r w:rsidRPr="00437187">
        <w:rPr>
          <w:rFonts w:ascii="Arial" w:hAnsi="Arial" w:cs="Arial"/>
        </w:rPr>
        <w:t xml:space="preserve"> in academia is a many-sided concept that contains a range of behaviours, attitudes and values essential for an individual to possess in an educational setting, particularly at the </w:t>
      </w:r>
      <w:r w:rsidR="00437187" w:rsidRPr="00437187">
        <w:rPr>
          <w:rFonts w:ascii="Arial" w:hAnsi="Arial" w:cs="Arial"/>
        </w:rPr>
        <w:t>post</w:t>
      </w:r>
      <w:r w:rsidRPr="00437187">
        <w:rPr>
          <w:rFonts w:ascii="Arial" w:hAnsi="Arial" w:cs="Arial"/>
        </w:rPr>
        <w:t>graduate level</w:t>
      </w:r>
      <w:r w:rsidR="000C2BF0" w:rsidRPr="000C2BF0">
        <w:rPr>
          <w:rFonts w:ascii="Roboto" w:hAnsi="Roboto"/>
          <w:color w:val="2C3E50"/>
          <w:sz w:val="23"/>
          <w:szCs w:val="23"/>
          <w:shd w:val="clear" w:color="auto" w:fill="FFFFFF"/>
        </w:rPr>
        <w:t xml:space="preserve"> </w:t>
      </w:r>
      <w:r w:rsidR="000C2BF0">
        <w:rPr>
          <w:rFonts w:ascii="Roboto" w:hAnsi="Roboto"/>
          <w:color w:val="2C3E50"/>
          <w:sz w:val="23"/>
          <w:szCs w:val="23"/>
          <w:shd w:val="clear" w:color="auto" w:fill="FFFFFF"/>
        </w:rPr>
        <w:t> (Hadi and Muhammad, 2019)</w:t>
      </w:r>
      <w:r w:rsidRPr="00437187">
        <w:rPr>
          <w:rFonts w:ascii="Arial" w:hAnsi="Arial" w:cs="Arial"/>
        </w:rPr>
        <w:t xml:space="preserve">. It includes adherence to ethical standards, commitment to continuous learning, </w:t>
      </w:r>
      <w:r w:rsidR="00437187" w:rsidRPr="00437187">
        <w:rPr>
          <w:rFonts w:ascii="Arial" w:hAnsi="Arial" w:cs="Arial"/>
        </w:rPr>
        <w:t>responsibility</w:t>
      </w:r>
      <w:r w:rsidRPr="00437187">
        <w:rPr>
          <w:rFonts w:ascii="Arial" w:hAnsi="Arial" w:cs="Arial"/>
        </w:rPr>
        <w:t xml:space="preserve">, and effective communication skills. In the case of academia, professionalism is not only about academic abilities but also about the </w:t>
      </w:r>
      <w:r w:rsidR="00437187" w:rsidRPr="00437187">
        <w:rPr>
          <w:rFonts w:ascii="Arial" w:hAnsi="Arial" w:cs="Arial"/>
        </w:rPr>
        <w:t>individual's overall development</w:t>
      </w:r>
      <w:r w:rsidRPr="00437187">
        <w:rPr>
          <w:rFonts w:ascii="Arial" w:hAnsi="Arial" w:cs="Arial"/>
        </w:rPr>
        <w:t xml:space="preserve"> as a responsible and ethical professional.</w:t>
      </w:r>
    </w:p>
    <w:p w14:paraId="57BA4C75" w14:textId="78CAD75D" w:rsidR="000F3B87" w:rsidRDefault="000F3B87" w:rsidP="00437187">
      <w:pPr>
        <w:spacing w:line="360" w:lineRule="auto"/>
        <w:rPr>
          <w:rFonts w:ascii="Arial" w:hAnsi="Arial" w:cs="Arial"/>
        </w:rPr>
      </w:pPr>
      <w:r w:rsidRPr="000F3B87">
        <w:rPr>
          <w:rFonts w:ascii="Arial" w:hAnsi="Arial" w:cs="Arial"/>
        </w:rPr>
        <w:t>One study</w:t>
      </w:r>
      <w:r w:rsidR="00AF625A" w:rsidRPr="00AF625A">
        <w:rPr>
          <w:rFonts w:ascii="Roboto" w:hAnsi="Roboto"/>
          <w:color w:val="2C3E50"/>
          <w:sz w:val="23"/>
          <w:szCs w:val="23"/>
          <w:shd w:val="clear" w:color="auto" w:fill="FFFFFF"/>
        </w:rPr>
        <w:t xml:space="preserve"> </w:t>
      </w:r>
      <w:r w:rsidR="00AF625A">
        <w:rPr>
          <w:rFonts w:ascii="Roboto" w:hAnsi="Roboto"/>
          <w:color w:val="2C3E50"/>
          <w:sz w:val="23"/>
          <w:szCs w:val="23"/>
          <w:shd w:val="clear" w:color="auto" w:fill="FFFFFF"/>
        </w:rPr>
        <w:t>(Berger et al., 2019)</w:t>
      </w:r>
      <w:r w:rsidRPr="000F3B87">
        <w:rPr>
          <w:rFonts w:ascii="Arial" w:hAnsi="Arial" w:cs="Arial"/>
        </w:rPr>
        <w:t xml:space="preserve"> identified several factors </w:t>
      </w:r>
      <w:r w:rsidR="006655D2">
        <w:rPr>
          <w:rFonts w:ascii="Arial" w:hAnsi="Arial" w:cs="Arial"/>
        </w:rPr>
        <w:t>contributing</w:t>
      </w:r>
      <w:r w:rsidRPr="000F3B87">
        <w:rPr>
          <w:rFonts w:ascii="Arial" w:hAnsi="Arial" w:cs="Arial"/>
        </w:rPr>
        <w:t xml:space="preserve"> to graduate student professionalism. First, role models play an </w:t>
      </w:r>
      <w:r w:rsidR="006655D2">
        <w:rPr>
          <w:rFonts w:ascii="Arial" w:hAnsi="Arial" w:cs="Arial"/>
        </w:rPr>
        <w:t>essential</w:t>
      </w:r>
      <w:r w:rsidRPr="000F3B87">
        <w:rPr>
          <w:rFonts w:ascii="Arial" w:hAnsi="Arial" w:cs="Arial"/>
        </w:rPr>
        <w:t xml:space="preserve"> role in influencing professional behaviour. When students see their lecturers and supervisors demonstrating professionalism, their own behaviour is positively influenced. </w:t>
      </w:r>
      <w:r w:rsidR="00FB7951">
        <w:rPr>
          <w:rFonts w:ascii="Arial" w:hAnsi="Arial" w:cs="Arial"/>
        </w:rPr>
        <w:t>Secondly</w:t>
      </w:r>
      <w:r w:rsidRPr="000F3B87">
        <w:rPr>
          <w:rFonts w:ascii="Arial" w:hAnsi="Arial" w:cs="Arial"/>
        </w:rPr>
        <w:t>, opportunities for reflection allow students to critically assess their own behaviours, attitudes and values, thereby promoting growth in self-awareness and professionalism. In addition, knowledge plays a vital role in professionalism as understanding the ethical principles, communication skills and other competencies required for professional behaviour is essential.</w:t>
      </w:r>
      <w:r w:rsidR="00BD3E98">
        <w:rPr>
          <w:rFonts w:ascii="Arial" w:hAnsi="Arial" w:cs="Arial"/>
        </w:rPr>
        <w:t xml:space="preserve"> </w:t>
      </w:r>
      <w:r w:rsidR="00D92AD8">
        <w:rPr>
          <w:rFonts w:ascii="Arial" w:hAnsi="Arial" w:cs="Arial"/>
        </w:rPr>
        <w:t>Neve</w:t>
      </w:r>
      <w:r w:rsidR="00821186">
        <w:rPr>
          <w:rFonts w:ascii="Arial" w:hAnsi="Arial" w:cs="Arial"/>
        </w:rPr>
        <w:t>rtheless</w:t>
      </w:r>
      <w:r w:rsidR="00BD3E98">
        <w:rPr>
          <w:rFonts w:ascii="Arial" w:hAnsi="Arial" w:cs="Arial"/>
        </w:rPr>
        <w:t>,</w:t>
      </w:r>
      <w:r w:rsidR="009E7C9C">
        <w:rPr>
          <w:rFonts w:ascii="Arial" w:hAnsi="Arial" w:cs="Arial"/>
        </w:rPr>
        <w:t xml:space="preserve"> </w:t>
      </w:r>
      <w:r w:rsidR="00BD3E98" w:rsidRPr="00BD3E98">
        <w:rPr>
          <w:rFonts w:ascii="Arial" w:hAnsi="Arial" w:cs="Arial"/>
        </w:rPr>
        <w:t>One of the limitations is that the research in this study was conducted in the United States, which may limit the generalisability of the findings to other countries</w:t>
      </w:r>
      <w:r w:rsidR="006655D2">
        <w:rPr>
          <w:rFonts w:ascii="Arial" w:hAnsi="Arial" w:cs="Arial"/>
        </w:rPr>
        <w:t>.</w:t>
      </w:r>
    </w:p>
    <w:p w14:paraId="12D4E702" w14:textId="77777777" w:rsidR="00821186" w:rsidRDefault="00821186" w:rsidP="00821186">
      <w:pPr>
        <w:spacing w:line="360" w:lineRule="auto"/>
        <w:rPr>
          <w:rFonts w:ascii="Arial" w:hAnsi="Arial" w:cs="Arial"/>
        </w:rPr>
      </w:pPr>
      <w:r>
        <w:rPr>
          <w:rFonts w:ascii="Arial" w:hAnsi="Arial" w:cs="Arial"/>
        </w:rPr>
        <w:t>Previous research found</w:t>
      </w:r>
      <w:r w:rsidRPr="009C07DA">
        <w:rPr>
          <w:rFonts w:ascii="Arial" w:hAnsi="Arial" w:cs="Arial"/>
        </w:rPr>
        <w:t xml:space="preserve"> a number of avoidance </w:t>
      </w:r>
      <w:r>
        <w:rPr>
          <w:rFonts w:ascii="Arial" w:hAnsi="Arial" w:cs="Arial"/>
        </w:rPr>
        <w:t>behaviours</w:t>
      </w:r>
      <w:r w:rsidRPr="009C07DA">
        <w:rPr>
          <w:rFonts w:ascii="Arial" w:hAnsi="Arial" w:cs="Arial"/>
        </w:rPr>
        <w:t xml:space="preserve">, such as avoidance of challenging tasks and avoidance of learning and feedback opportunities influenced by </w:t>
      </w:r>
      <w:proofErr w:type="gramStart"/>
      <w:r>
        <w:rPr>
          <w:rFonts w:ascii="Arial" w:hAnsi="Arial" w:cs="Arial"/>
        </w:rPr>
        <w:t>students'</w:t>
      </w:r>
      <w:proofErr w:type="gramEnd"/>
      <w:r w:rsidRPr="009C07DA">
        <w:rPr>
          <w:rFonts w:ascii="Arial" w:hAnsi="Arial" w:cs="Arial"/>
        </w:rPr>
        <w:t xml:space="preserve"> fixed-type thinking, which are important for employability and resilience in student practice. On the other hand, students with a 'growth mindset' towards learning are more persistent in the face of challenges and actively seek out more demanding tasks, they also exhibit higher levels of mental health</w:t>
      </w:r>
      <w:r>
        <w:rPr>
          <w:rFonts w:ascii="Arial" w:hAnsi="Arial" w:cs="Arial"/>
        </w:rPr>
        <w:t xml:space="preserve"> </w:t>
      </w:r>
      <w:r>
        <w:rPr>
          <w:rFonts w:ascii="Arial" w:hAnsi="Arial" w:cs="Arial" w:hint="eastAsia"/>
        </w:rPr>
        <w:t>(Armitage</w:t>
      </w:r>
      <w:r>
        <w:rPr>
          <w:rFonts w:ascii="Arial" w:hAnsi="Arial" w:cs="Arial" w:hint="eastAsia"/>
        </w:rPr>
        <w:t>‐</w:t>
      </w:r>
      <w:r>
        <w:rPr>
          <w:rFonts w:ascii="Arial" w:hAnsi="Arial" w:cs="Arial" w:hint="eastAsia"/>
        </w:rPr>
        <w:t>Chan and Maddison, 2019), especially in areas requiring</w:t>
      </w:r>
      <w:r w:rsidRPr="00437187">
        <w:rPr>
          <w:rFonts w:ascii="Arial" w:hAnsi="Arial" w:cs="Arial"/>
        </w:rPr>
        <w:t xml:space="preserve"> a high level of responsibility and ethical judgment. Factors such as curriculum, supervision, peer influence and academic culture have been found to influence the development of professional attitudes and behaviours.</w:t>
      </w:r>
      <w:r>
        <w:rPr>
          <w:rFonts w:ascii="Arial" w:hAnsi="Arial" w:cs="Arial"/>
        </w:rPr>
        <w:t xml:space="preserve"> However, </w:t>
      </w:r>
      <w:r w:rsidRPr="006268B4">
        <w:rPr>
          <w:rFonts w:ascii="Arial" w:hAnsi="Arial" w:cs="Arial"/>
        </w:rPr>
        <w:t xml:space="preserve">The study did not </w:t>
      </w:r>
      <w:r w:rsidRPr="006268B4">
        <w:rPr>
          <w:rFonts w:ascii="Arial" w:hAnsi="Arial" w:cs="Arial"/>
        </w:rPr>
        <w:lastRenderedPageBreak/>
        <w:t>explore the reasons behind students' professional reasoning mindset and calls for future research to address this limitation by exploring the reasons behind students' professional reasoning mindset.</w:t>
      </w:r>
    </w:p>
    <w:p w14:paraId="39B5E9BE" w14:textId="77777777" w:rsidR="00821186" w:rsidRDefault="00821186" w:rsidP="00437187">
      <w:pPr>
        <w:spacing w:line="360" w:lineRule="auto"/>
        <w:rPr>
          <w:rFonts w:ascii="Arial" w:hAnsi="Arial" w:cs="Arial"/>
        </w:rPr>
      </w:pPr>
    </w:p>
    <w:p w14:paraId="1BB24E02" w14:textId="77777777" w:rsidR="00E66BA4" w:rsidRDefault="00E66BA4" w:rsidP="00437187">
      <w:pPr>
        <w:spacing w:line="360" w:lineRule="auto"/>
        <w:rPr>
          <w:rFonts w:ascii="Arial" w:hAnsi="Arial" w:cs="Arial"/>
        </w:rPr>
      </w:pPr>
    </w:p>
    <w:p w14:paraId="7ABEE096" w14:textId="77777777" w:rsidR="00450F20" w:rsidRDefault="00A5347D" w:rsidP="00085C6B">
      <w:pPr>
        <w:pStyle w:val="Heading1"/>
        <w:rPr>
          <w:rFonts w:ascii="Arial" w:hAnsi="Arial" w:cs="Arial"/>
          <w:b/>
          <w:bCs/>
          <w:color w:val="auto"/>
        </w:rPr>
      </w:pPr>
      <w:bookmarkStart w:id="1" w:name="_Toc153271143"/>
      <w:r w:rsidRPr="005E48B1">
        <w:rPr>
          <w:rFonts w:ascii="Arial" w:hAnsi="Arial" w:cs="Arial"/>
          <w:b/>
          <w:bCs/>
          <w:color w:val="auto"/>
        </w:rPr>
        <w:t xml:space="preserve">Research </w:t>
      </w:r>
      <w:r w:rsidR="00894667" w:rsidRPr="005E48B1">
        <w:rPr>
          <w:rFonts w:ascii="Arial" w:hAnsi="Arial" w:cs="Arial"/>
          <w:b/>
          <w:bCs/>
          <w:color w:val="auto"/>
        </w:rPr>
        <w:t>Methodology</w:t>
      </w:r>
      <w:bookmarkEnd w:id="1"/>
    </w:p>
    <w:p w14:paraId="11E0EC73" w14:textId="77777777" w:rsidR="007870C7" w:rsidRPr="007870C7" w:rsidRDefault="007870C7" w:rsidP="007870C7"/>
    <w:p w14:paraId="05C0E63E" w14:textId="4ECEE99F" w:rsidR="00A5347D" w:rsidRDefault="00A5347D" w:rsidP="00085C6B">
      <w:pPr>
        <w:pStyle w:val="Heading2"/>
        <w:rPr>
          <w:rFonts w:ascii="Arial" w:hAnsi="Arial" w:cs="Arial"/>
          <w:b/>
          <w:bCs/>
          <w:color w:val="auto"/>
        </w:rPr>
      </w:pPr>
      <w:r w:rsidRPr="00450F20">
        <w:t xml:space="preserve"> </w:t>
      </w:r>
      <w:bookmarkStart w:id="2" w:name="_Toc153271144"/>
      <w:r w:rsidRPr="005E48B1">
        <w:rPr>
          <w:rFonts w:ascii="Arial" w:hAnsi="Arial" w:cs="Arial"/>
          <w:b/>
          <w:bCs/>
          <w:color w:val="auto"/>
        </w:rPr>
        <w:t>Research method</w:t>
      </w:r>
      <w:bookmarkEnd w:id="2"/>
    </w:p>
    <w:p w14:paraId="3FCAFC44" w14:textId="77777777" w:rsidR="00FE5CEE" w:rsidRPr="00FE5CEE" w:rsidRDefault="00FE5CEE" w:rsidP="00FE5CEE"/>
    <w:p w14:paraId="6CA3F468" w14:textId="122539BC" w:rsidR="00894667" w:rsidRPr="00A5347D" w:rsidRDefault="00894667" w:rsidP="00A5347D">
      <w:pPr>
        <w:spacing w:line="360" w:lineRule="auto"/>
        <w:rPr>
          <w:rFonts w:ascii="Arial" w:hAnsi="Arial" w:cs="Arial"/>
        </w:rPr>
      </w:pPr>
      <w:r w:rsidRPr="00894667">
        <w:rPr>
          <w:rFonts w:ascii="Arial" w:hAnsi="Arial" w:cs="Arial"/>
        </w:rPr>
        <w:t>The method chosen for this study was qualitative research. This method was chosen because of its strengths in exploring professionalism, which involves a depth of understanding that is often unquantifiable</w:t>
      </w:r>
      <w:r w:rsidR="0083472D">
        <w:rPr>
          <w:rFonts w:ascii="Arial" w:hAnsi="Arial" w:cs="Arial"/>
        </w:rPr>
        <w:t xml:space="preserve"> </w:t>
      </w:r>
      <w:r w:rsidR="0083472D">
        <w:rPr>
          <w:rFonts w:ascii="Roboto" w:hAnsi="Roboto"/>
          <w:color w:val="2C3E50"/>
          <w:sz w:val="23"/>
          <w:szCs w:val="23"/>
          <w:shd w:val="clear" w:color="auto" w:fill="FFFFFF"/>
        </w:rPr>
        <w:t>(Sabater et al., 2023)</w:t>
      </w:r>
      <w:r w:rsidRPr="00894667">
        <w:rPr>
          <w:rFonts w:ascii="Arial" w:hAnsi="Arial" w:cs="Arial"/>
        </w:rPr>
        <w:t>. Qualitative research is particularly well suited to capturing detailed, rich data about people's attitudes, experiences and behaviours, expressed in their own words and contexts</w:t>
      </w:r>
      <w:r w:rsidR="00956102">
        <w:rPr>
          <w:rFonts w:ascii="Arial" w:hAnsi="Arial" w:cs="Arial"/>
        </w:rPr>
        <w:t xml:space="preserve"> </w:t>
      </w:r>
      <w:r w:rsidR="00956102">
        <w:rPr>
          <w:rFonts w:ascii="Roboto" w:hAnsi="Roboto"/>
          <w:color w:val="2C3E50"/>
          <w:sz w:val="23"/>
          <w:szCs w:val="23"/>
          <w:shd w:val="clear" w:color="auto" w:fill="FFFFFF"/>
        </w:rPr>
        <w:t> (Rahman, 2016)</w:t>
      </w:r>
    </w:p>
    <w:p w14:paraId="1368D7B3" w14:textId="7AC5D34F" w:rsidR="001F6F90" w:rsidRDefault="00A5347D" w:rsidP="00085C6B">
      <w:pPr>
        <w:pStyle w:val="Heading2"/>
        <w:rPr>
          <w:rFonts w:ascii="Arial" w:hAnsi="Arial" w:cs="Arial"/>
          <w:b/>
          <w:bCs/>
          <w:color w:val="auto"/>
        </w:rPr>
      </w:pPr>
      <w:bookmarkStart w:id="3" w:name="_Toc153271145"/>
      <w:r w:rsidRPr="005E48B1">
        <w:rPr>
          <w:rFonts w:ascii="Arial" w:hAnsi="Arial" w:cs="Arial"/>
          <w:b/>
          <w:bCs/>
          <w:color w:val="auto"/>
        </w:rPr>
        <w:t>Research Design</w:t>
      </w:r>
      <w:bookmarkEnd w:id="3"/>
    </w:p>
    <w:p w14:paraId="5342F15C" w14:textId="77777777" w:rsidR="00FE5CEE" w:rsidRPr="00FE5CEE" w:rsidRDefault="00FE5CEE" w:rsidP="00FE5CEE"/>
    <w:p w14:paraId="7A6C2CBB" w14:textId="263FF3A3" w:rsidR="00B327FD" w:rsidRDefault="00B327FD" w:rsidP="00A5347D">
      <w:pPr>
        <w:spacing w:line="360" w:lineRule="auto"/>
        <w:rPr>
          <w:rFonts w:ascii="Arial" w:hAnsi="Arial" w:cs="Arial"/>
        </w:rPr>
      </w:pPr>
      <w:r w:rsidRPr="00B327FD">
        <w:rPr>
          <w:rFonts w:ascii="Arial" w:hAnsi="Arial" w:cs="Arial"/>
        </w:rPr>
        <w:t>This research design</w:t>
      </w:r>
      <w:r w:rsidR="00C02153">
        <w:rPr>
          <w:rFonts w:ascii="Arial" w:hAnsi="Arial" w:cs="Arial"/>
        </w:rPr>
        <w:t xml:space="preserve"> used Focus Group Talking and cross-sectional studies and</w:t>
      </w:r>
      <w:r w:rsidRPr="00B327FD">
        <w:rPr>
          <w:rFonts w:ascii="Arial" w:hAnsi="Arial" w:cs="Arial"/>
        </w:rPr>
        <w:t xml:space="preserve"> was particularly </w:t>
      </w:r>
      <w:r w:rsidR="008D500E">
        <w:rPr>
          <w:rFonts w:ascii="Arial" w:hAnsi="Arial" w:cs="Arial"/>
        </w:rPr>
        <w:t>well suited</w:t>
      </w:r>
      <w:r w:rsidRPr="00B327FD">
        <w:rPr>
          <w:rFonts w:ascii="Arial" w:hAnsi="Arial" w:cs="Arial"/>
        </w:rPr>
        <w:t xml:space="preserve"> for this </w:t>
      </w:r>
      <w:r w:rsidR="00D3220B">
        <w:rPr>
          <w:rFonts w:ascii="Arial" w:hAnsi="Arial" w:cs="Arial"/>
        </w:rPr>
        <w:t>research</w:t>
      </w:r>
      <w:r w:rsidR="00374D31">
        <w:rPr>
          <w:rFonts w:ascii="Arial" w:hAnsi="Arial" w:cs="Arial"/>
        </w:rPr>
        <w:t xml:space="preserve">. </w:t>
      </w:r>
      <w:r w:rsidR="00374D31" w:rsidRPr="00374D31">
        <w:rPr>
          <w:rFonts w:ascii="Arial" w:hAnsi="Arial" w:cs="Arial"/>
        </w:rPr>
        <w:t xml:space="preserve">It </w:t>
      </w:r>
      <w:proofErr w:type="gramStart"/>
      <w:r w:rsidR="00374D31" w:rsidRPr="00374D31">
        <w:rPr>
          <w:rFonts w:ascii="Arial" w:hAnsi="Arial" w:cs="Arial"/>
        </w:rPr>
        <w:t>is able to</w:t>
      </w:r>
      <w:proofErr w:type="gramEnd"/>
      <w:r w:rsidR="00374D31" w:rsidRPr="00374D31">
        <w:rPr>
          <w:rFonts w:ascii="Arial" w:hAnsi="Arial" w:cs="Arial"/>
        </w:rPr>
        <w:t xml:space="preserve"> explore complex, subjective experiences and complete data collection in a comprehensive, time-saving manne</w:t>
      </w:r>
      <w:r w:rsidR="00374D31">
        <w:rPr>
          <w:rFonts w:ascii="Arial" w:hAnsi="Arial" w:cs="Arial"/>
        </w:rPr>
        <w:t>r</w:t>
      </w:r>
      <w:r w:rsidR="000E1DC1">
        <w:rPr>
          <w:rFonts w:ascii="Arial" w:hAnsi="Arial" w:cs="Arial"/>
        </w:rPr>
        <w:t xml:space="preserve"> </w:t>
      </w:r>
      <w:r w:rsidR="000E1DC1">
        <w:rPr>
          <w:rFonts w:ascii="Roboto" w:hAnsi="Roboto"/>
          <w:color w:val="2C3E50"/>
          <w:sz w:val="23"/>
          <w:szCs w:val="23"/>
          <w:shd w:val="clear" w:color="auto" w:fill="FFFFFF"/>
        </w:rPr>
        <w:t>(Sim and Waterfield, 2019).</w:t>
      </w:r>
    </w:p>
    <w:p w14:paraId="22FE02B9" w14:textId="084778DF" w:rsidR="001F6F90" w:rsidRPr="001F6F90" w:rsidRDefault="001F6F90" w:rsidP="001F6F90">
      <w:pPr>
        <w:spacing w:line="360" w:lineRule="auto"/>
        <w:rPr>
          <w:rFonts w:ascii="Arial" w:hAnsi="Arial" w:cs="Arial"/>
        </w:rPr>
      </w:pPr>
      <w:r w:rsidRPr="001F6F90">
        <w:rPr>
          <w:rFonts w:ascii="Arial" w:hAnsi="Arial" w:cs="Arial"/>
        </w:rPr>
        <w:t xml:space="preserve">Focus groups are a qualitative research method in which a small group </w:t>
      </w:r>
      <w:r w:rsidR="00B327FD">
        <w:rPr>
          <w:rFonts w:ascii="Arial" w:hAnsi="Arial" w:cs="Arial"/>
        </w:rPr>
        <w:t>interact</w:t>
      </w:r>
      <w:r w:rsidRPr="001F6F90">
        <w:rPr>
          <w:rFonts w:ascii="Arial" w:hAnsi="Arial" w:cs="Arial"/>
        </w:rPr>
        <w:t xml:space="preserve"> through group rather than individual interviews</w:t>
      </w:r>
      <w:r w:rsidR="00B200A3">
        <w:rPr>
          <w:rFonts w:ascii="Arial" w:hAnsi="Arial" w:cs="Arial"/>
        </w:rPr>
        <w:t xml:space="preserve"> (</w:t>
      </w:r>
      <w:r w:rsidR="00B200A3">
        <w:rPr>
          <w:rFonts w:ascii="Roboto" w:hAnsi="Roboto"/>
          <w:color w:val="2C3E50"/>
          <w:sz w:val="23"/>
          <w:szCs w:val="23"/>
          <w:shd w:val="clear" w:color="auto" w:fill="FFFFFF"/>
        </w:rPr>
        <w:t>Goodman, 2011)</w:t>
      </w:r>
      <w:r w:rsidRPr="001F6F90">
        <w:rPr>
          <w:rFonts w:ascii="Arial" w:hAnsi="Arial" w:cs="Arial"/>
        </w:rPr>
        <w:t xml:space="preserve">. This method was particularly suitable for this study for </w:t>
      </w:r>
      <w:proofErr w:type="gramStart"/>
      <w:r w:rsidRPr="001F6F90">
        <w:rPr>
          <w:rFonts w:ascii="Arial" w:hAnsi="Arial" w:cs="Arial"/>
        </w:rPr>
        <w:t>a number of</w:t>
      </w:r>
      <w:proofErr w:type="gramEnd"/>
      <w:r w:rsidRPr="001F6F90">
        <w:rPr>
          <w:rFonts w:ascii="Arial" w:hAnsi="Arial" w:cs="Arial"/>
        </w:rPr>
        <w:t xml:space="preserve"> reasons.</w:t>
      </w:r>
    </w:p>
    <w:p w14:paraId="05BB2689" w14:textId="604C1857" w:rsidR="001F6F90" w:rsidRPr="001F6F90" w:rsidRDefault="001F6F90" w:rsidP="001F6F90">
      <w:pPr>
        <w:spacing w:line="360" w:lineRule="auto"/>
        <w:rPr>
          <w:rFonts w:ascii="Arial" w:hAnsi="Arial" w:cs="Arial"/>
        </w:rPr>
      </w:pPr>
      <w:r w:rsidRPr="001F6F90">
        <w:rPr>
          <w:rFonts w:ascii="Arial" w:hAnsi="Arial" w:cs="Arial"/>
        </w:rPr>
        <w:t xml:space="preserve">Firstly, the focus group facilitated an interactive discussion, enabling participants to react to each other's responses and build on them. This discussion dynamic facilitated an in-depth exploration of attitudes towards professionalism and the factors </w:t>
      </w:r>
      <w:r w:rsidR="00B327FD">
        <w:rPr>
          <w:rFonts w:ascii="Arial" w:hAnsi="Arial" w:cs="Arial"/>
        </w:rPr>
        <w:t>influencing</w:t>
      </w:r>
      <w:r w:rsidRPr="001F6F90">
        <w:rPr>
          <w:rFonts w:ascii="Arial" w:hAnsi="Arial" w:cs="Arial"/>
        </w:rPr>
        <w:t xml:space="preserve"> it.</w:t>
      </w:r>
    </w:p>
    <w:p w14:paraId="6C594B7E" w14:textId="42F362D3" w:rsidR="001F6F90" w:rsidRPr="001F6F90" w:rsidRDefault="001F6F90" w:rsidP="001F6F90">
      <w:pPr>
        <w:spacing w:line="360" w:lineRule="auto"/>
        <w:rPr>
          <w:rFonts w:ascii="Arial" w:hAnsi="Arial" w:cs="Arial"/>
        </w:rPr>
      </w:pPr>
      <w:r w:rsidRPr="001F6F90">
        <w:rPr>
          <w:rFonts w:ascii="Arial" w:hAnsi="Arial" w:cs="Arial"/>
        </w:rPr>
        <w:t>Second</w:t>
      </w:r>
      <w:r w:rsidR="006523AA">
        <w:rPr>
          <w:rFonts w:ascii="Arial" w:hAnsi="Arial" w:cs="Arial"/>
        </w:rPr>
        <w:t>ly</w:t>
      </w:r>
      <w:r w:rsidRPr="001F6F90">
        <w:rPr>
          <w:rFonts w:ascii="Arial" w:hAnsi="Arial" w:cs="Arial"/>
        </w:rPr>
        <w:t xml:space="preserve">, by allowing multiple people to participate at the same time, the focus group allowed for a variety of viewpoints to be captured. This diversity is particularly important for understanding all aspects of graduate professionalism. </w:t>
      </w:r>
    </w:p>
    <w:p w14:paraId="5418454B" w14:textId="38B214B0" w:rsidR="001F6F90" w:rsidRPr="00A5347D" w:rsidRDefault="001F6F90" w:rsidP="001F6F90">
      <w:pPr>
        <w:spacing w:line="360" w:lineRule="auto"/>
        <w:rPr>
          <w:rFonts w:ascii="Arial" w:hAnsi="Arial" w:cs="Arial"/>
        </w:rPr>
      </w:pPr>
      <w:r w:rsidRPr="001F6F90">
        <w:rPr>
          <w:rFonts w:ascii="Arial" w:hAnsi="Arial" w:cs="Arial"/>
        </w:rPr>
        <w:t>In addition, the focus group discussion format can produce rich, detailed qualitative data. Interaction often prompts participants to explore and clarify their perspectives in ways that may not occur in one-on-one interviews.</w:t>
      </w:r>
    </w:p>
    <w:p w14:paraId="3BF2A557" w14:textId="70372E67" w:rsidR="00A5347D" w:rsidRDefault="00A5347D" w:rsidP="00085C6B">
      <w:pPr>
        <w:pStyle w:val="Heading2"/>
        <w:rPr>
          <w:rFonts w:ascii="Arial" w:hAnsi="Arial" w:cs="Arial"/>
          <w:b/>
          <w:bCs/>
          <w:color w:val="auto"/>
        </w:rPr>
      </w:pPr>
      <w:bookmarkStart w:id="4" w:name="_Toc153271146"/>
      <w:r w:rsidRPr="005E48B1">
        <w:rPr>
          <w:rFonts w:ascii="Arial" w:hAnsi="Arial" w:cs="Arial"/>
          <w:b/>
          <w:bCs/>
          <w:color w:val="auto"/>
        </w:rPr>
        <w:lastRenderedPageBreak/>
        <w:t>Recruitment, Sampling &amp; Study Participants</w:t>
      </w:r>
      <w:bookmarkEnd w:id="4"/>
    </w:p>
    <w:p w14:paraId="2A1E2827" w14:textId="77777777" w:rsidR="00573476" w:rsidRPr="00573476" w:rsidRDefault="00573476" w:rsidP="00573476"/>
    <w:p w14:paraId="0221CFA3" w14:textId="2633E26B" w:rsidR="00FE5CEE" w:rsidRPr="00173205" w:rsidRDefault="00401D57" w:rsidP="00173205">
      <w:pPr>
        <w:spacing w:line="360" w:lineRule="auto"/>
        <w:rPr>
          <w:rFonts w:ascii="Arial" w:hAnsi="Arial" w:cs="Arial"/>
        </w:rPr>
      </w:pPr>
      <w:r w:rsidRPr="00173205">
        <w:rPr>
          <w:rFonts w:ascii="Arial" w:hAnsi="Arial" w:cs="Arial"/>
        </w:rPr>
        <w:t xml:space="preserve">Participants for </w:t>
      </w:r>
      <w:r w:rsidR="002A44FB" w:rsidRPr="00173205">
        <w:rPr>
          <w:rFonts w:ascii="Arial" w:hAnsi="Arial" w:cs="Arial"/>
        </w:rPr>
        <w:t xml:space="preserve">this study were recruited from postgraduate students </w:t>
      </w:r>
      <w:r w:rsidR="000E577A" w:rsidRPr="00173205">
        <w:rPr>
          <w:rFonts w:ascii="Arial" w:hAnsi="Arial" w:cs="Arial"/>
        </w:rPr>
        <w:t xml:space="preserve">with </w:t>
      </w:r>
      <w:r w:rsidR="00B1294A" w:rsidRPr="00173205">
        <w:rPr>
          <w:rFonts w:ascii="Arial" w:hAnsi="Arial" w:cs="Arial"/>
        </w:rPr>
        <w:t xml:space="preserve">a </w:t>
      </w:r>
      <w:r w:rsidR="000E577A" w:rsidRPr="00173205">
        <w:rPr>
          <w:rFonts w:ascii="Arial" w:hAnsi="Arial" w:cs="Arial"/>
        </w:rPr>
        <w:t xml:space="preserve">major </w:t>
      </w:r>
      <w:r w:rsidR="003B3308" w:rsidRPr="00173205">
        <w:rPr>
          <w:rFonts w:ascii="Arial" w:hAnsi="Arial" w:cs="Arial"/>
        </w:rPr>
        <w:t>in public health and social care in practice at the University of Wales Trinity Saint David</w:t>
      </w:r>
      <w:r w:rsidR="008B185D" w:rsidRPr="00173205">
        <w:rPr>
          <w:rFonts w:ascii="Arial" w:hAnsi="Arial" w:cs="Arial"/>
        </w:rPr>
        <w:t xml:space="preserve"> </w:t>
      </w:r>
      <w:r w:rsidR="003B3308" w:rsidRPr="00173205">
        <w:rPr>
          <w:rFonts w:ascii="Arial" w:hAnsi="Arial" w:cs="Arial"/>
        </w:rPr>
        <w:t>(</w:t>
      </w:r>
      <w:r w:rsidR="008B185D" w:rsidRPr="00173205">
        <w:rPr>
          <w:rFonts w:ascii="Arial" w:hAnsi="Arial" w:cs="Arial"/>
        </w:rPr>
        <w:t>UWTSD)</w:t>
      </w:r>
      <w:r w:rsidR="00B1294A" w:rsidRPr="00173205">
        <w:rPr>
          <w:rFonts w:ascii="Arial" w:hAnsi="Arial" w:cs="Arial"/>
        </w:rPr>
        <w:t>.</w:t>
      </w:r>
      <w:r w:rsidR="00573476" w:rsidRPr="00173205">
        <w:rPr>
          <w:rFonts w:ascii="Arial" w:hAnsi="Arial" w:cs="Arial"/>
        </w:rPr>
        <w:t xml:space="preserve"> The key focus will be on students who are enrolled in professional programmes, as they can provide up-to-date and relevant opinions on the factors affecting their studies and the professionalism of their future professional </w:t>
      </w:r>
      <w:r w:rsidR="00A10284">
        <w:rPr>
          <w:rFonts w:ascii="Arial" w:hAnsi="Arial" w:cs="Arial"/>
        </w:rPr>
        <w:t>lives</w:t>
      </w:r>
      <w:r w:rsidR="00573476" w:rsidRPr="00173205">
        <w:rPr>
          <w:rFonts w:ascii="Arial" w:hAnsi="Arial" w:cs="Arial"/>
        </w:rPr>
        <w:t>.</w:t>
      </w:r>
    </w:p>
    <w:p w14:paraId="71F8D4C2" w14:textId="28D84187" w:rsidR="00E94A20" w:rsidRPr="00173205" w:rsidRDefault="00916597" w:rsidP="00173205">
      <w:pPr>
        <w:spacing w:line="360" w:lineRule="auto"/>
        <w:rPr>
          <w:rFonts w:ascii="Arial" w:hAnsi="Arial" w:cs="Arial"/>
          <w:color w:val="2C3E50"/>
          <w:shd w:val="clear" w:color="auto" w:fill="FFFFFF"/>
        </w:rPr>
      </w:pPr>
      <w:r w:rsidRPr="00173205">
        <w:rPr>
          <w:rFonts w:ascii="Arial" w:hAnsi="Arial" w:cs="Arial"/>
        </w:rPr>
        <w:t xml:space="preserve">The convenience sampling </w:t>
      </w:r>
      <w:r w:rsidR="00200D96" w:rsidRPr="00173205">
        <w:rPr>
          <w:rFonts w:ascii="Arial" w:hAnsi="Arial" w:cs="Arial"/>
        </w:rPr>
        <w:t xml:space="preserve">technique </w:t>
      </w:r>
      <w:r w:rsidRPr="00173205">
        <w:rPr>
          <w:rFonts w:ascii="Arial" w:hAnsi="Arial" w:cs="Arial"/>
        </w:rPr>
        <w:t>was used in this study</w:t>
      </w:r>
      <w:r w:rsidR="007B3A1D" w:rsidRPr="00173205">
        <w:rPr>
          <w:rFonts w:ascii="Arial" w:hAnsi="Arial" w:cs="Arial"/>
        </w:rPr>
        <w:t>, t</w:t>
      </w:r>
      <w:r w:rsidRPr="00173205">
        <w:rPr>
          <w:rFonts w:ascii="Arial" w:hAnsi="Arial" w:cs="Arial"/>
        </w:rPr>
        <w:t xml:space="preserve">his </w:t>
      </w:r>
      <w:r w:rsidR="00850F79" w:rsidRPr="00173205">
        <w:rPr>
          <w:rFonts w:ascii="Arial" w:hAnsi="Arial" w:cs="Arial"/>
        </w:rPr>
        <w:t>method</w:t>
      </w:r>
      <w:r w:rsidRPr="00173205">
        <w:rPr>
          <w:rFonts w:ascii="Arial" w:hAnsi="Arial" w:cs="Arial"/>
        </w:rPr>
        <w:t xml:space="preserve"> involves selecting participants who are easily accessible and willing to participate at any time</w:t>
      </w:r>
      <w:r w:rsidR="007B3A1D" w:rsidRPr="00173205">
        <w:rPr>
          <w:rFonts w:ascii="Arial" w:hAnsi="Arial" w:cs="Arial"/>
        </w:rPr>
        <w:t xml:space="preserve"> </w:t>
      </w:r>
      <w:r w:rsidR="007B3A1D" w:rsidRPr="00173205">
        <w:rPr>
          <w:rFonts w:ascii="Arial" w:hAnsi="Arial" w:cs="Arial"/>
          <w:color w:val="2C3E50"/>
          <w:shd w:val="clear" w:color="auto" w:fill="FFFFFF"/>
        </w:rPr>
        <w:t>(Edgar and Manz, 2017)</w:t>
      </w:r>
      <w:r w:rsidR="00E94A20" w:rsidRPr="00173205">
        <w:rPr>
          <w:rFonts w:ascii="Arial" w:hAnsi="Arial" w:cs="Arial"/>
          <w:color w:val="2C3E50"/>
          <w:shd w:val="clear" w:color="auto" w:fill="FFFFFF"/>
        </w:rPr>
        <w:t>. The rationale for choosing this sampling method was based on several factors:</w:t>
      </w:r>
    </w:p>
    <w:p w14:paraId="1445EB3D" w14:textId="54EB2D5D" w:rsidR="00E94A20" w:rsidRPr="00173205" w:rsidRDefault="00E94A20" w:rsidP="00173205">
      <w:pPr>
        <w:spacing w:line="360" w:lineRule="auto"/>
        <w:rPr>
          <w:rFonts w:ascii="Arial" w:hAnsi="Arial" w:cs="Arial"/>
          <w:color w:val="2C3E50"/>
          <w:shd w:val="clear" w:color="auto" w:fill="FFFFFF"/>
        </w:rPr>
      </w:pPr>
      <w:r w:rsidRPr="00173205">
        <w:rPr>
          <w:rFonts w:ascii="Arial" w:hAnsi="Arial" w:cs="Arial"/>
          <w:color w:val="2C3E50"/>
          <w:shd w:val="clear" w:color="auto" w:fill="FFFFFF"/>
        </w:rPr>
        <w:t>Firstly, convenience sampling allows easy access to participants who are available at UWTSD, making the process of organising focus group sessions more manageable.</w:t>
      </w:r>
    </w:p>
    <w:p w14:paraId="0EA7D9C9" w14:textId="32B833C4" w:rsidR="00E94A20" w:rsidRPr="00173205" w:rsidRDefault="00E94A20" w:rsidP="00173205">
      <w:pPr>
        <w:spacing w:line="360" w:lineRule="auto"/>
        <w:rPr>
          <w:rFonts w:ascii="Arial" w:hAnsi="Arial" w:cs="Arial"/>
          <w:color w:val="2C3E50"/>
          <w:shd w:val="clear" w:color="auto" w:fill="FFFFFF"/>
        </w:rPr>
      </w:pPr>
      <w:r w:rsidRPr="00173205">
        <w:rPr>
          <w:rFonts w:ascii="Arial" w:hAnsi="Arial" w:cs="Arial"/>
          <w:color w:val="2C3E50"/>
          <w:shd w:val="clear" w:color="auto" w:fill="FFFFFF"/>
        </w:rPr>
        <w:t>Secondly, this method is less time and resource-consuming than other sampling methods, which is particularly beneficial for studies with limited resources.</w:t>
      </w:r>
    </w:p>
    <w:p w14:paraId="6131D629" w14:textId="2D48DAC8" w:rsidR="00573476" w:rsidRDefault="00E94A20" w:rsidP="00173205">
      <w:pPr>
        <w:spacing w:line="360" w:lineRule="auto"/>
        <w:rPr>
          <w:rFonts w:ascii="Arial" w:hAnsi="Arial" w:cs="Arial"/>
          <w:color w:val="2C3E50"/>
          <w:shd w:val="clear" w:color="auto" w:fill="FFFFFF"/>
        </w:rPr>
      </w:pPr>
      <w:r w:rsidRPr="00173205">
        <w:rPr>
          <w:rFonts w:ascii="Arial" w:hAnsi="Arial" w:cs="Arial"/>
          <w:color w:val="2C3E50"/>
          <w:shd w:val="clear" w:color="auto" w:fill="FFFFFF"/>
        </w:rPr>
        <w:t xml:space="preserve">Thirdly, convenience sampling is a practical method to collect a sample that is </w:t>
      </w:r>
      <w:proofErr w:type="gramStart"/>
      <w:r w:rsidRPr="00173205">
        <w:rPr>
          <w:rFonts w:ascii="Arial" w:hAnsi="Arial" w:cs="Arial"/>
          <w:color w:val="2C3E50"/>
          <w:shd w:val="clear" w:color="auto" w:fill="FFFFFF"/>
        </w:rPr>
        <w:t>in a position</w:t>
      </w:r>
      <w:proofErr w:type="gramEnd"/>
      <w:r w:rsidRPr="00173205">
        <w:rPr>
          <w:rFonts w:ascii="Arial" w:hAnsi="Arial" w:cs="Arial"/>
          <w:color w:val="2C3E50"/>
          <w:shd w:val="clear" w:color="auto" w:fill="FFFFFF"/>
        </w:rPr>
        <w:t xml:space="preserve"> to represent the population of interest within the constraints of the study</w:t>
      </w:r>
      <w:r w:rsidR="00AF3172">
        <w:rPr>
          <w:rFonts w:ascii="Arial" w:hAnsi="Arial" w:cs="Arial"/>
          <w:color w:val="2C3E50"/>
          <w:shd w:val="clear" w:color="auto" w:fill="FFFFFF"/>
        </w:rPr>
        <w:t>.</w:t>
      </w:r>
    </w:p>
    <w:p w14:paraId="5086BEC0" w14:textId="608C604C" w:rsidR="00AF3172" w:rsidRDefault="00071CCB" w:rsidP="00173205">
      <w:pPr>
        <w:spacing w:line="360" w:lineRule="auto"/>
        <w:rPr>
          <w:rFonts w:ascii="Roboto" w:hAnsi="Roboto"/>
          <w:color w:val="2C3E50"/>
          <w:sz w:val="23"/>
          <w:szCs w:val="23"/>
          <w:shd w:val="clear" w:color="auto" w:fill="FFFFFF"/>
        </w:rPr>
      </w:pPr>
      <w:r>
        <w:rPr>
          <w:rFonts w:ascii="Arial" w:hAnsi="Arial" w:cs="Arial"/>
          <w:color w:val="2C3E50"/>
          <w:shd w:val="clear" w:color="auto" w:fill="FFFFFF"/>
        </w:rPr>
        <w:t>A</w:t>
      </w:r>
      <w:r w:rsidR="00A515DC">
        <w:rPr>
          <w:rFonts w:ascii="Arial" w:hAnsi="Arial" w:cs="Arial"/>
          <w:color w:val="2C3E50"/>
          <w:shd w:val="clear" w:color="auto" w:fill="FFFFFF"/>
        </w:rPr>
        <w:t xml:space="preserve"> total of 6 people was identified for the focus group study</w:t>
      </w:r>
      <w:r w:rsidR="00323D9A">
        <w:rPr>
          <w:rFonts w:ascii="Arial" w:hAnsi="Arial" w:cs="Arial"/>
          <w:color w:val="2C3E50"/>
          <w:shd w:val="clear" w:color="auto" w:fill="FFFFFF"/>
        </w:rPr>
        <w:t>; the</w:t>
      </w:r>
      <w:r w:rsidR="00A7540A" w:rsidRPr="00A7540A">
        <w:rPr>
          <w:rFonts w:ascii="Arial" w:hAnsi="Arial" w:cs="Arial"/>
          <w:color w:val="2C3E50"/>
          <w:shd w:val="clear" w:color="auto" w:fill="FFFFFF"/>
        </w:rPr>
        <w:t xml:space="preserve"> small number of focus groups of this size ensures that each participant has a full opportunity to engage in the discussion, as the </w:t>
      </w:r>
      <w:r w:rsidR="00323D9A">
        <w:rPr>
          <w:rFonts w:ascii="Arial" w:hAnsi="Arial" w:cs="Arial"/>
          <w:color w:val="2C3E50"/>
          <w:shd w:val="clear" w:color="auto" w:fill="FFFFFF"/>
        </w:rPr>
        <w:t>right</w:t>
      </w:r>
      <w:r w:rsidR="00A7540A" w:rsidRPr="00A7540A">
        <w:rPr>
          <w:rFonts w:ascii="Arial" w:hAnsi="Arial" w:cs="Arial"/>
          <w:color w:val="2C3E50"/>
          <w:shd w:val="clear" w:color="auto" w:fill="FFFFFF"/>
        </w:rPr>
        <w:t xml:space="preserve"> number of people will not lose sight of one's point of view and is well suited to interactive discussion</w:t>
      </w:r>
      <w:r w:rsidR="00A954F9">
        <w:rPr>
          <w:rFonts w:ascii="Arial" w:hAnsi="Arial" w:cs="Arial"/>
          <w:color w:val="2C3E50"/>
          <w:shd w:val="clear" w:color="auto" w:fill="FFFFFF"/>
        </w:rPr>
        <w:t xml:space="preserve"> </w:t>
      </w:r>
      <w:r w:rsidR="00A954F9">
        <w:rPr>
          <w:rFonts w:ascii="Roboto" w:hAnsi="Roboto"/>
          <w:color w:val="2C3E50"/>
          <w:sz w:val="23"/>
          <w:szCs w:val="23"/>
          <w:shd w:val="clear" w:color="auto" w:fill="FFFFFF"/>
        </w:rPr>
        <w:t>(Onwuegbuzie et al., 2009)</w:t>
      </w:r>
    </w:p>
    <w:p w14:paraId="177F14BF" w14:textId="77777777" w:rsidR="008C7FF3" w:rsidRPr="00173205" w:rsidRDefault="008C7FF3" w:rsidP="00173205">
      <w:pPr>
        <w:spacing w:line="360" w:lineRule="auto"/>
        <w:rPr>
          <w:rFonts w:ascii="Arial" w:hAnsi="Arial" w:cs="Arial"/>
        </w:rPr>
      </w:pPr>
    </w:p>
    <w:p w14:paraId="66BDC6E1" w14:textId="77777777" w:rsidR="00A5347D" w:rsidRDefault="00A5347D" w:rsidP="00085C6B">
      <w:pPr>
        <w:pStyle w:val="Heading2"/>
        <w:rPr>
          <w:rFonts w:ascii="Arial" w:hAnsi="Arial" w:cs="Arial"/>
          <w:b/>
          <w:bCs/>
          <w:color w:val="auto"/>
        </w:rPr>
      </w:pPr>
      <w:bookmarkStart w:id="5" w:name="_Toc153271147"/>
      <w:r w:rsidRPr="005E48B1">
        <w:rPr>
          <w:rFonts w:ascii="Arial" w:hAnsi="Arial" w:cs="Arial"/>
          <w:b/>
          <w:bCs/>
          <w:color w:val="auto"/>
        </w:rPr>
        <w:t>Materials/Data Collection Method(s)/procedures</w:t>
      </w:r>
      <w:bookmarkEnd w:id="5"/>
    </w:p>
    <w:p w14:paraId="3E6BC425" w14:textId="77777777" w:rsidR="00307AEC" w:rsidRPr="00307AEC" w:rsidRDefault="00307AEC" w:rsidP="00307AEC"/>
    <w:p w14:paraId="3CED144F" w14:textId="120010D4" w:rsidR="00034193" w:rsidRDefault="000C1D39" w:rsidP="000C1D39">
      <w:pPr>
        <w:spacing w:line="360" w:lineRule="auto"/>
        <w:rPr>
          <w:rFonts w:ascii="Arial" w:hAnsi="Arial" w:cs="Arial"/>
        </w:rPr>
      </w:pPr>
      <w:r w:rsidRPr="000C1D39">
        <w:rPr>
          <w:rFonts w:ascii="Arial" w:hAnsi="Arial" w:cs="Arial"/>
        </w:rPr>
        <w:t xml:space="preserve">According to </w:t>
      </w:r>
      <w:r>
        <w:rPr>
          <w:rFonts w:ascii="Arial" w:hAnsi="Arial" w:cs="Arial"/>
        </w:rPr>
        <w:t xml:space="preserve">the </w:t>
      </w:r>
      <w:r w:rsidRPr="000C1D39">
        <w:rPr>
          <w:rFonts w:ascii="Arial" w:hAnsi="Arial" w:cs="Arial"/>
        </w:rPr>
        <w:t>recommended focus group methodology</w:t>
      </w:r>
      <w:r>
        <w:rPr>
          <w:rFonts w:ascii="Arial" w:hAnsi="Arial" w:cs="Arial"/>
        </w:rPr>
        <w:t>,</w:t>
      </w:r>
      <w:r w:rsidRPr="000C1D39">
        <w:rPr>
          <w:rFonts w:ascii="Arial" w:hAnsi="Arial" w:cs="Arial"/>
        </w:rPr>
        <w:t xml:space="preserve"> a semi-structured question guide was</w:t>
      </w:r>
      <w:r>
        <w:rPr>
          <w:rFonts w:ascii="Arial" w:hAnsi="Arial" w:cs="Arial"/>
        </w:rPr>
        <w:t xml:space="preserve"> </w:t>
      </w:r>
      <w:r w:rsidRPr="000C1D39">
        <w:rPr>
          <w:rFonts w:ascii="Arial" w:hAnsi="Arial" w:cs="Arial"/>
        </w:rPr>
        <w:t xml:space="preserve">developed by the course manager, aiming to identify factors </w:t>
      </w:r>
      <w:r w:rsidR="005305B5">
        <w:rPr>
          <w:rFonts w:ascii="Arial" w:hAnsi="Arial" w:cs="Arial"/>
        </w:rPr>
        <w:t xml:space="preserve">that </w:t>
      </w:r>
      <w:r>
        <w:rPr>
          <w:rFonts w:ascii="Arial" w:hAnsi="Arial" w:cs="Arial"/>
        </w:rPr>
        <w:t>contribute</w:t>
      </w:r>
      <w:r w:rsidRPr="000C1D39">
        <w:rPr>
          <w:rFonts w:ascii="Arial" w:hAnsi="Arial" w:cs="Arial"/>
        </w:rPr>
        <w:t xml:space="preserve"> professional </w:t>
      </w:r>
      <w:r>
        <w:rPr>
          <w:rFonts w:ascii="Arial" w:hAnsi="Arial" w:cs="Arial"/>
        </w:rPr>
        <w:t>behaviours</w:t>
      </w:r>
      <w:r w:rsidRPr="000C1D39">
        <w:rPr>
          <w:rFonts w:ascii="Arial" w:hAnsi="Arial" w:cs="Arial"/>
        </w:rPr>
        <w:t xml:space="preserve"> in post-graduate students and how factors </w:t>
      </w:r>
      <w:r>
        <w:rPr>
          <w:rFonts w:ascii="Arial" w:hAnsi="Arial" w:cs="Arial"/>
        </w:rPr>
        <w:t>influence</w:t>
      </w:r>
      <w:r w:rsidRPr="000C1D39">
        <w:rPr>
          <w:rFonts w:ascii="Arial" w:hAnsi="Arial" w:cs="Arial"/>
        </w:rPr>
        <w:t xml:space="preserve"> professionalism in </w:t>
      </w:r>
      <w:r>
        <w:rPr>
          <w:rFonts w:ascii="Arial" w:hAnsi="Arial" w:cs="Arial"/>
        </w:rPr>
        <w:t>post-graduate</w:t>
      </w:r>
      <w:r w:rsidRPr="000C1D39">
        <w:rPr>
          <w:rFonts w:ascii="Arial" w:hAnsi="Arial" w:cs="Arial"/>
        </w:rPr>
        <w:t xml:space="preserve"> students.</w:t>
      </w:r>
    </w:p>
    <w:p w14:paraId="58834D06" w14:textId="77777777" w:rsidR="00121C03" w:rsidRDefault="006A7C04" w:rsidP="00121C03">
      <w:pPr>
        <w:spacing w:line="360" w:lineRule="auto"/>
        <w:rPr>
          <w:rFonts w:ascii="Arial" w:hAnsi="Arial" w:cs="Arial"/>
        </w:rPr>
      </w:pPr>
      <w:r w:rsidRPr="00121C03">
        <w:rPr>
          <w:rFonts w:ascii="Arial" w:hAnsi="Arial" w:cs="Arial"/>
        </w:rPr>
        <w:t>The question guide includes</w:t>
      </w:r>
      <w:r w:rsidR="00480008" w:rsidRPr="00121C03">
        <w:rPr>
          <w:rFonts w:ascii="Arial" w:hAnsi="Arial" w:cs="Arial"/>
        </w:rPr>
        <w:t xml:space="preserve">, </w:t>
      </w:r>
    </w:p>
    <w:p w14:paraId="5B83C26A" w14:textId="77777777" w:rsidR="00194C47" w:rsidRDefault="00121C03" w:rsidP="00121C03">
      <w:pPr>
        <w:pStyle w:val="ListParagraph"/>
        <w:numPr>
          <w:ilvl w:val="0"/>
          <w:numId w:val="3"/>
        </w:numPr>
        <w:spacing w:line="360" w:lineRule="auto"/>
        <w:rPr>
          <w:rFonts w:ascii="Arial" w:hAnsi="Arial" w:cs="Arial"/>
        </w:rPr>
      </w:pPr>
      <w:r>
        <w:rPr>
          <w:rFonts w:ascii="Arial" w:hAnsi="Arial" w:cs="Arial"/>
        </w:rPr>
        <w:t>A</w:t>
      </w:r>
      <w:r w:rsidR="00480008" w:rsidRPr="00121C03">
        <w:rPr>
          <w:rFonts w:ascii="Arial" w:hAnsi="Arial" w:cs="Arial"/>
        </w:rPr>
        <w:t>n introduction</w:t>
      </w:r>
      <w:r w:rsidR="006A7C04" w:rsidRPr="00121C03">
        <w:rPr>
          <w:rFonts w:ascii="Arial" w:hAnsi="Arial" w:cs="Arial"/>
        </w:rPr>
        <w:t xml:space="preserve"> question:</w:t>
      </w:r>
      <w:r w:rsidR="003335B2" w:rsidRPr="00121C03">
        <w:rPr>
          <w:rFonts w:ascii="Arial" w:hAnsi="Arial" w:cs="Arial"/>
        </w:rPr>
        <w:t xml:space="preserve"> </w:t>
      </w:r>
      <w:r w:rsidR="005252A7" w:rsidRPr="00121C03">
        <w:rPr>
          <w:rFonts w:ascii="Arial" w:hAnsi="Arial" w:cs="Arial" w:hint="eastAsia"/>
        </w:rPr>
        <w:t>“</w:t>
      </w:r>
      <w:r w:rsidR="003335B2" w:rsidRPr="00121C03">
        <w:rPr>
          <w:rFonts w:ascii="Arial" w:hAnsi="Arial" w:cs="Arial"/>
        </w:rPr>
        <w:t>How would you define professional behaviour?</w:t>
      </w:r>
      <w:r w:rsidR="005252A7" w:rsidRPr="00121C03">
        <w:rPr>
          <w:rFonts w:ascii="Arial" w:hAnsi="Arial" w:cs="Arial" w:hint="eastAsia"/>
        </w:rPr>
        <w:t>”</w:t>
      </w:r>
      <w:r w:rsidR="005252A7" w:rsidRPr="00121C03">
        <w:rPr>
          <w:rFonts w:ascii="Arial" w:hAnsi="Arial" w:cs="Arial" w:hint="eastAsia"/>
        </w:rPr>
        <w:t>.</w:t>
      </w:r>
      <w:r w:rsidR="000179AD" w:rsidRPr="00121C03">
        <w:rPr>
          <w:rFonts w:ascii="Arial" w:hAnsi="Arial" w:cs="Arial"/>
        </w:rPr>
        <w:t xml:space="preserve"> </w:t>
      </w:r>
    </w:p>
    <w:p w14:paraId="22BC2434" w14:textId="42B90DDC" w:rsidR="00121C03" w:rsidRPr="004F144A" w:rsidRDefault="00DF6E4B" w:rsidP="004F144A">
      <w:pPr>
        <w:pStyle w:val="ListParagraph"/>
        <w:numPr>
          <w:ilvl w:val="0"/>
          <w:numId w:val="3"/>
        </w:numPr>
        <w:spacing w:line="360" w:lineRule="auto"/>
        <w:rPr>
          <w:rFonts w:ascii="Arial" w:hAnsi="Arial" w:cs="Arial"/>
        </w:rPr>
      </w:pPr>
      <w:r w:rsidRPr="00121C03">
        <w:rPr>
          <w:rFonts w:ascii="Arial" w:hAnsi="Arial" w:cs="Arial"/>
        </w:rPr>
        <w:t xml:space="preserve">Main Question: Focuses on the core research question. </w:t>
      </w:r>
      <w:r w:rsidRPr="004F144A">
        <w:rPr>
          <w:rFonts w:ascii="Arial" w:hAnsi="Arial" w:cs="Arial"/>
        </w:rPr>
        <w:t xml:space="preserve">Related questions explore students' </w:t>
      </w:r>
      <w:r w:rsidR="00DD3AFD" w:rsidRPr="004F144A">
        <w:rPr>
          <w:rFonts w:ascii="Arial" w:hAnsi="Arial" w:cs="Arial"/>
        </w:rPr>
        <w:t>views on</w:t>
      </w:r>
      <w:r w:rsidRPr="004F144A">
        <w:rPr>
          <w:rFonts w:ascii="Arial" w:hAnsi="Arial" w:cs="Arial"/>
        </w:rPr>
        <w:t xml:space="preserve"> professionalism</w:t>
      </w:r>
      <w:r w:rsidR="005252A7" w:rsidRPr="004F144A">
        <w:rPr>
          <w:rFonts w:ascii="Arial" w:hAnsi="Arial" w:cs="Arial"/>
        </w:rPr>
        <w:t xml:space="preserve">, </w:t>
      </w:r>
      <w:r w:rsidRPr="004F144A">
        <w:rPr>
          <w:rFonts w:ascii="Arial" w:hAnsi="Arial" w:cs="Arial"/>
        </w:rPr>
        <w:t xml:space="preserve">contrasting the differences between professionalism in the university and workplace and the role of their academic </w:t>
      </w:r>
      <w:r w:rsidRPr="004F144A">
        <w:rPr>
          <w:rFonts w:ascii="Arial" w:hAnsi="Arial" w:cs="Arial"/>
        </w:rPr>
        <w:lastRenderedPageBreak/>
        <w:t>programmes in developing professionalism</w:t>
      </w:r>
      <w:r w:rsidR="00194C47" w:rsidRPr="004F144A">
        <w:rPr>
          <w:rFonts w:ascii="Arial" w:hAnsi="Arial" w:cs="Arial"/>
        </w:rPr>
        <w:t xml:space="preserve">. </w:t>
      </w:r>
      <w:r w:rsidR="00712D89" w:rsidRPr="004F144A">
        <w:rPr>
          <w:rFonts w:ascii="Arial" w:hAnsi="Arial" w:cs="Arial"/>
        </w:rPr>
        <w:t xml:space="preserve">e.g. </w:t>
      </w:r>
      <w:r w:rsidR="0096751A" w:rsidRPr="004F144A">
        <w:rPr>
          <w:rFonts w:ascii="Arial" w:hAnsi="Arial" w:cs="Arial"/>
        </w:rPr>
        <w:t>“What does professional behaviour loo</w:t>
      </w:r>
      <w:r w:rsidR="009F7D25" w:rsidRPr="004F144A">
        <w:rPr>
          <w:rFonts w:ascii="Arial" w:hAnsi="Arial" w:cs="Arial"/>
        </w:rPr>
        <w:t xml:space="preserve">k and </w:t>
      </w:r>
      <w:r w:rsidR="00121C03" w:rsidRPr="004F144A">
        <w:rPr>
          <w:rFonts w:ascii="Arial" w:hAnsi="Arial" w:cs="Arial"/>
        </w:rPr>
        <w:t>feel</w:t>
      </w:r>
      <w:r w:rsidR="009F7D25" w:rsidRPr="004F144A">
        <w:rPr>
          <w:rFonts w:ascii="Arial" w:hAnsi="Arial" w:cs="Arial"/>
        </w:rPr>
        <w:t xml:space="preserve"> like in </w:t>
      </w:r>
      <w:proofErr w:type="gramStart"/>
      <w:r w:rsidR="009F7D25" w:rsidRPr="004F144A">
        <w:rPr>
          <w:rFonts w:ascii="Arial" w:hAnsi="Arial" w:cs="Arial"/>
        </w:rPr>
        <w:t>practice?</w:t>
      </w:r>
      <w:r w:rsidR="004D5C70" w:rsidRPr="004F144A">
        <w:rPr>
          <w:rFonts w:ascii="Arial" w:hAnsi="Arial" w:cs="Arial"/>
        </w:rPr>
        <w:t>;</w:t>
      </w:r>
      <w:proofErr w:type="gramEnd"/>
      <w:r w:rsidR="004D5C70" w:rsidRPr="004F144A">
        <w:rPr>
          <w:rFonts w:ascii="Arial" w:hAnsi="Arial" w:cs="Arial"/>
        </w:rPr>
        <w:t xml:space="preserve"> </w:t>
      </w:r>
      <w:r w:rsidR="00894FDE" w:rsidRPr="004F144A">
        <w:rPr>
          <w:rFonts w:ascii="Arial" w:hAnsi="Arial" w:cs="Arial"/>
        </w:rPr>
        <w:t>How would you define unprofessional</w:t>
      </w:r>
      <w:r w:rsidR="000F6410" w:rsidRPr="004F144A">
        <w:rPr>
          <w:rFonts w:ascii="Arial" w:hAnsi="Arial" w:cs="Arial"/>
        </w:rPr>
        <w:t xml:space="preserve"> behaviour and what can be </w:t>
      </w:r>
      <w:r w:rsidR="009D6A2E">
        <w:rPr>
          <w:rFonts w:ascii="Arial" w:hAnsi="Arial" w:cs="Arial"/>
        </w:rPr>
        <w:t xml:space="preserve">the </w:t>
      </w:r>
      <w:r w:rsidR="000F6410" w:rsidRPr="004F144A">
        <w:rPr>
          <w:rFonts w:ascii="Arial" w:hAnsi="Arial" w:cs="Arial"/>
        </w:rPr>
        <w:t>reasons for this behaviour?”</w:t>
      </w:r>
      <w:r w:rsidR="004D5C70" w:rsidRPr="004F144A">
        <w:rPr>
          <w:rFonts w:ascii="Arial" w:hAnsi="Arial" w:cs="Arial"/>
        </w:rPr>
        <w:t>)</w:t>
      </w:r>
      <w:r w:rsidR="002C7CA3" w:rsidRPr="004F144A">
        <w:rPr>
          <w:rFonts w:ascii="Arial" w:hAnsi="Arial" w:cs="Arial"/>
        </w:rPr>
        <w:t xml:space="preserve">. </w:t>
      </w:r>
    </w:p>
    <w:p w14:paraId="7A6B6CF2" w14:textId="304FAEA1" w:rsidR="00307AEC" w:rsidRDefault="002C7CA3" w:rsidP="00121C03">
      <w:pPr>
        <w:pStyle w:val="ListParagraph"/>
        <w:numPr>
          <w:ilvl w:val="0"/>
          <w:numId w:val="3"/>
        </w:numPr>
        <w:spacing w:line="360" w:lineRule="auto"/>
        <w:rPr>
          <w:rFonts w:ascii="Arial" w:hAnsi="Arial" w:cs="Arial"/>
        </w:rPr>
      </w:pPr>
      <w:r w:rsidRPr="00121C03">
        <w:rPr>
          <w:rFonts w:ascii="Arial" w:hAnsi="Arial" w:cs="Arial"/>
        </w:rPr>
        <w:t>Extended Questions: Build on the participants' questions.</w:t>
      </w:r>
      <w:r w:rsidR="00121C03">
        <w:rPr>
          <w:rFonts w:ascii="Arial" w:hAnsi="Arial" w:cs="Arial"/>
        </w:rPr>
        <w:t xml:space="preserve"> </w:t>
      </w:r>
      <w:r w:rsidR="004A4776" w:rsidRPr="00121C03">
        <w:rPr>
          <w:rFonts w:ascii="Arial" w:hAnsi="Arial" w:cs="Arial"/>
        </w:rPr>
        <w:t xml:space="preserve">e.g. </w:t>
      </w:r>
      <w:r w:rsidR="00194C47">
        <w:rPr>
          <w:rFonts w:ascii="Arial" w:hAnsi="Arial" w:cs="Arial"/>
        </w:rPr>
        <w:t>“</w:t>
      </w:r>
      <w:r w:rsidR="0010376D" w:rsidRPr="0010376D">
        <w:rPr>
          <w:rFonts w:ascii="Arial" w:hAnsi="Arial" w:cs="Arial"/>
        </w:rPr>
        <w:t>You agree that there is a difference in professional behaviour between younger and older</w:t>
      </w:r>
      <w:r w:rsidR="0010376D">
        <w:rPr>
          <w:rFonts w:ascii="Arial" w:hAnsi="Arial" w:cs="Arial"/>
        </w:rPr>
        <w:t>, but why?</w:t>
      </w:r>
      <w:r w:rsidR="00194C47">
        <w:rPr>
          <w:rFonts w:ascii="Arial" w:hAnsi="Arial" w:cs="Arial"/>
        </w:rPr>
        <w:t>”</w:t>
      </w:r>
    </w:p>
    <w:p w14:paraId="6409A05A" w14:textId="75F665DA" w:rsidR="001748FA" w:rsidRDefault="001748FA" w:rsidP="00121C03">
      <w:pPr>
        <w:pStyle w:val="ListParagraph"/>
        <w:numPr>
          <w:ilvl w:val="0"/>
          <w:numId w:val="3"/>
        </w:numPr>
        <w:spacing w:line="360" w:lineRule="auto"/>
        <w:rPr>
          <w:rFonts w:ascii="Arial" w:hAnsi="Arial" w:cs="Arial"/>
        </w:rPr>
      </w:pPr>
      <w:r w:rsidRPr="001748FA">
        <w:rPr>
          <w:rFonts w:ascii="Arial" w:hAnsi="Arial" w:cs="Arial"/>
        </w:rPr>
        <w:t>Closing questions: Thank the participants for their interaction and participation</w:t>
      </w:r>
      <w:r>
        <w:rPr>
          <w:rFonts w:ascii="Arial" w:hAnsi="Arial" w:cs="Arial"/>
        </w:rPr>
        <w:t xml:space="preserve">. </w:t>
      </w:r>
      <w:r w:rsidRPr="001748FA">
        <w:rPr>
          <w:rFonts w:ascii="Arial" w:hAnsi="Arial" w:cs="Arial"/>
        </w:rPr>
        <w:t xml:space="preserve">e.g., </w:t>
      </w:r>
      <w:r w:rsidR="009D6A2E">
        <w:rPr>
          <w:rFonts w:ascii="Arial" w:hAnsi="Arial" w:cs="Arial" w:hint="eastAsia"/>
        </w:rPr>
        <w:t>“</w:t>
      </w:r>
      <w:r>
        <w:rPr>
          <w:rFonts w:ascii="Arial" w:hAnsi="Arial" w:cs="Arial"/>
        </w:rPr>
        <w:t>T</w:t>
      </w:r>
      <w:r w:rsidRPr="001748FA">
        <w:rPr>
          <w:rFonts w:ascii="Arial" w:hAnsi="Arial" w:cs="Arial"/>
        </w:rPr>
        <w:t>hank you very much to everyone who spoke and interacted.</w:t>
      </w:r>
      <w:r w:rsidR="009D6A2E">
        <w:rPr>
          <w:rFonts w:ascii="Arial" w:hAnsi="Arial" w:cs="Arial" w:hint="eastAsia"/>
        </w:rPr>
        <w:t>”</w:t>
      </w:r>
    </w:p>
    <w:p w14:paraId="1D1FDE0E" w14:textId="7D394326" w:rsidR="00430FAB" w:rsidRDefault="00072626" w:rsidP="00064BF1">
      <w:pPr>
        <w:spacing w:line="360" w:lineRule="auto"/>
        <w:rPr>
          <w:rFonts w:ascii="Arial" w:hAnsi="Arial" w:cs="Arial"/>
        </w:rPr>
      </w:pPr>
      <w:r>
        <w:rPr>
          <w:rFonts w:ascii="Arial" w:hAnsi="Arial" w:cs="Arial"/>
        </w:rPr>
        <w:t>T</w:t>
      </w:r>
      <w:r w:rsidRPr="00072626">
        <w:rPr>
          <w:rFonts w:ascii="Arial" w:hAnsi="Arial" w:cs="Arial"/>
        </w:rPr>
        <w:t xml:space="preserve">he focus group was </w:t>
      </w:r>
      <w:r>
        <w:rPr>
          <w:rFonts w:ascii="Arial" w:hAnsi="Arial" w:cs="Arial"/>
        </w:rPr>
        <w:t>identified</w:t>
      </w:r>
      <w:r w:rsidRPr="00072626">
        <w:rPr>
          <w:rFonts w:ascii="Arial" w:hAnsi="Arial" w:cs="Arial"/>
        </w:rPr>
        <w:t xml:space="preserve"> in</w:t>
      </w:r>
      <w:r w:rsidR="00D97E4E">
        <w:rPr>
          <w:rFonts w:ascii="Arial" w:hAnsi="Arial" w:cs="Arial"/>
        </w:rPr>
        <w:t xml:space="preserve"> </w:t>
      </w:r>
      <w:r w:rsidRPr="00072626">
        <w:rPr>
          <w:rFonts w:ascii="Arial" w:hAnsi="Arial" w:cs="Arial"/>
        </w:rPr>
        <w:t xml:space="preserve">a quiet and comfortable classroom suitable for 6-8 participants within </w:t>
      </w:r>
      <w:r>
        <w:rPr>
          <w:rFonts w:ascii="Arial" w:hAnsi="Arial" w:cs="Arial"/>
        </w:rPr>
        <w:t xml:space="preserve">the </w:t>
      </w:r>
      <w:r w:rsidRPr="00072626">
        <w:rPr>
          <w:rFonts w:ascii="Arial" w:hAnsi="Arial" w:cs="Arial"/>
        </w:rPr>
        <w:t>Salisbury House building of the</w:t>
      </w:r>
      <w:r w:rsidR="00D30EF3">
        <w:rPr>
          <w:rFonts w:ascii="Arial" w:hAnsi="Arial" w:cs="Arial"/>
        </w:rPr>
        <w:t xml:space="preserve"> London Campus</w:t>
      </w:r>
      <w:r>
        <w:rPr>
          <w:rFonts w:ascii="Arial" w:hAnsi="Arial" w:cs="Arial"/>
        </w:rPr>
        <w:t xml:space="preserve"> </w:t>
      </w:r>
      <w:r w:rsidRPr="00173205">
        <w:rPr>
          <w:rFonts w:ascii="Arial" w:hAnsi="Arial" w:cs="Arial"/>
        </w:rPr>
        <w:t>University of Wales Trinity Saint David</w:t>
      </w:r>
      <w:r w:rsidR="00D30EF3">
        <w:rPr>
          <w:rFonts w:ascii="Arial" w:hAnsi="Arial" w:cs="Arial"/>
        </w:rPr>
        <w:t>.</w:t>
      </w:r>
      <w:r w:rsidR="00AF7EA1">
        <w:rPr>
          <w:rFonts w:ascii="Arial" w:hAnsi="Arial" w:cs="Arial"/>
        </w:rPr>
        <w:t xml:space="preserve"> </w:t>
      </w:r>
      <w:r w:rsidR="00430FAB" w:rsidRPr="00430FAB">
        <w:rPr>
          <w:rFonts w:ascii="Arial" w:hAnsi="Arial" w:cs="Arial"/>
        </w:rPr>
        <w:t>The researcher used the recording function on the mobile phones to collect data. Before the start of the focus group discussion, it was ensured that all recording devices (audio and/or video) were working properly and that note-taking materials were prepared.</w:t>
      </w:r>
      <w:r w:rsidR="00430FAB">
        <w:rPr>
          <w:rFonts w:ascii="Arial" w:hAnsi="Arial" w:cs="Arial"/>
        </w:rPr>
        <w:t xml:space="preserve"> </w:t>
      </w:r>
      <w:r w:rsidR="00430FAB" w:rsidRPr="004C38C1">
        <w:rPr>
          <w:rFonts w:ascii="Arial" w:hAnsi="Arial" w:cs="Arial"/>
        </w:rPr>
        <w:t>It was also confirmed that each participant had signed and returned the consent form before the focus group activity</w:t>
      </w:r>
      <w:r w:rsidR="00430FAB">
        <w:rPr>
          <w:rFonts w:ascii="Arial" w:hAnsi="Arial" w:cs="Arial"/>
        </w:rPr>
        <w:t>.</w:t>
      </w:r>
    </w:p>
    <w:p w14:paraId="20AECE53" w14:textId="06AFB0D7" w:rsidR="009D6A2E" w:rsidRPr="009D6A2E" w:rsidRDefault="00064BF1" w:rsidP="00064BF1">
      <w:pPr>
        <w:spacing w:line="360" w:lineRule="auto"/>
        <w:rPr>
          <w:rFonts w:ascii="Arial" w:hAnsi="Arial" w:cs="Arial"/>
        </w:rPr>
      </w:pPr>
      <w:r w:rsidRPr="00064BF1">
        <w:rPr>
          <w:rFonts w:ascii="Arial" w:hAnsi="Arial" w:cs="Arial"/>
        </w:rPr>
        <w:t>There was a chairperson, to begin with a short introduction explaining the purpose of the focus group and the main topic to be discussed.</w:t>
      </w:r>
      <w:r w:rsidR="001C31CC">
        <w:rPr>
          <w:rFonts w:ascii="Arial" w:hAnsi="Arial" w:cs="Arial"/>
        </w:rPr>
        <w:t xml:space="preserve"> </w:t>
      </w:r>
      <w:r w:rsidRPr="00064BF1">
        <w:rPr>
          <w:rFonts w:ascii="Arial" w:hAnsi="Arial" w:cs="Arial"/>
        </w:rPr>
        <w:t xml:space="preserve">and ensured that participants' responses </w:t>
      </w:r>
      <w:r w:rsidR="001C31CC">
        <w:rPr>
          <w:rFonts w:ascii="Arial" w:hAnsi="Arial" w:cs="Arial"/>
        </w:rPr>
        <w:t>were</w:t>
      </w:r>
      <w:r w:rsidRPr="00064BF1">
        <w:rPr>
          <w:rFonts w:ascii="Arial" w:hAnsi="Arial" w:cs="Arial"/>
        </w:rPr>
        <w:t xml:space="preserve"> confidential and anonymous.</w:t>
      </w:r>
      <w:r w:rsidR="00FB776D">
        <w:rPr>
          <w:rFonts w:ascii="Arial" w:hAnsi="Arial" w:cs="Arial"/>
        </w:rPr>
        <w:t xml:space="preserve"> </w:t>
      </w:r>
      <w:r w:rsidR="00FB776D" w:rsidRPr="00FB776D">
        <w:rPr>
          <w:rFonts w:ascii="Arial" w:hAnsi="Arial" w:cs="Arial"/>
        </w:rPr>
        <w:t xml:space="preserve">The focus group discussion was started with introductory questions to help participants feel comfortable and encourage them to </w:t>
      </w:r>
      <w:proofErr w:type="gramStart"/>
      <w:r w:rsidR="00FB776D" w:rsidRPr="00FB776D">
        <w:rPr>
          <w:rFonts w:ascii="Arial" w:hAnsi="Arial" w:cs="Arial"/>
        </w:rPr>
        <w:t>open up</w:t>
      </w:r>
      <w:proofErr w:type="gramEnd"/>
      <w:r w:rsidR="00FB776D" w:rsidRPr="00FB776D">
        <w:rPr>
          <w:rFonts w:ascii="Arial" w:hAnsi="Arial" w:cs="Arial"/>
        </w:rPr>
        <w:t>. A semi-structured question guide was used to guide the dialogue, ensuring that all participants had the opportunity to speak. Participants were encouraged to engage in the discussion, not just answer the facilitator's questions. The discussion was concluded with closing remarks.</w:t>
      </w:r>
    </w:p>
    <w:p w14:paraId="1983A27F" w14:textId="56C63B92" w:rsidR="00A5347D" w:rsidRDefault="00A5347D" w:rsidP="00085C6B">
      <w:pPr>
        <w:pStyle w:val="Heading2"/>
        <w:rPr>
          <w:rFonts w:ascii="Arial" w:hAnsi="Arial" w:cs="Arial"/>
          <w:b/>
          <w:bCs/>
          <w:color w:val="auto"/>
        </w:rPr>
      </w:pPr>
      <w:bookmarkStart w:id="6" w:name="_Toc153271148"/>
      <w:r w:rsidRPr="005E48B1">
        <w:rPr>
          <w:rFonts w:ascii="Arial" w:hAnsi="Arial" w:cs="Arial"/>
          <w:b/>
          <w:bCs/>
          <w:color w:val="auto"/>
        </w:rPr>
        <w:t>Data analysis technique</w:t>
      </w:r>
      <w:bookmarkEnd w:id="6"/>
    </w:p>
    <w:p w14:paraId="7923025D" w14:textId="77777777" w:rsidR="00D66B95" w:rsidRDefault="00D66B95" w:rsidP="00D66B95"/>
    <w:p w14:paraId="631C26BB" w14:textId="57FF2031" w:rsidR="00D66B95" w:rsidRDefault="00D66B95" w:rsidP="005F1480">
      <w:pPr>
        <w:spacing w:line="360" w:lineRule="auto"/>
        <w:rPr>
          <w:rFonts w:ascii="Arial" w:hAnsi="Arial" w:cs="Arial"/>
        </w:rPr>
      </w:pPr>
      <w:r w:rsidRPr="00DA6319">
        <w:rPr>
          <w:rFonts w:ascii="Arial" w:hAnsi="Arial" w:cs="Arial"/>
        </w:rPr>
        <w:t>This study used thematic analysis to analyse the qualitative data collected from the focus group. Thematic analysis is a widely used method in qualitative research that allows us to analyse different data, identify similar data, and categorise data according to different themes</w:t>
      </w:r>
      <w:r w:rsidR="00DA6319" w:rsidRPr="00DA6319">
        <w:rPr>
          <w:rFonts w:ascii="Arial" w:hAnsi="Arial" w:cs="Arial"/>
        </w:rPr>
        <w:t xml:space="preserve"> </w:t>
      </w:r>
      <w:r w:rsidR="00DA6319" w:rsidRPr="00DA6319">
        <w:rPr>
          <w:rFonts w:ascii="Arial" w:hAnsi="Arial" w:cs="Arial"/>
          <w:color w:val="2C3E50"/>
          <w:shd w:val="clear" w:color="auto" w:fill="FFFFFF"/>
        </w:rPr>
        <w:t>(Braun and Clarke, 2006)</w:t>
      </w:r>
      <w:r w:rsidRPr="00DA6319">
        <w:rPr>
          <w:rFonts w:ascii="Arial" w:hAnsi="Arial" w:cs="Arial"/>
        </w:rPr>
        <w:t>. It captures the complexity and differences in qualitative data and is therefore particularly suitable for research exploring concepts such as professionalism.</w:t>
      </w:r>
    </w:p>
    <w:p w14:paraId="1001D1C1" w14:textId="77777777" w:rsidR="008B5C22" w:rsidRPr="008B5C22" w:rsidRDefault="008B5C22" w:rsidP="005F1480">
      <w:pPr>
        <w:spacing w:line="360" w:lineRule="auto"/>
      </w:pPr>
    </w:p>
    <w:p w14:paraId="79C3083A" w14:textId="77777777" w:rsidR="00EC32EF" w:rsidRPr="00EC32EF" w:rsidRDefault="001F6BF8" w:rsidP="00EC32EF">
      <w:pPr>
        <w:spacing w:line="360" w:lineRule="auto"/>
        <w:rPr>
          <w:rFonts w:ascii="Arial" w:hAnsi="Arial" w:cs="Arial"/>
        </w:rPr>
      </w:pPr>
      <w:r w:rsidRPr="001F6BF8">
        <w:rPr>
          <w:rFonts w:ascii="Arial" w:hAnsi="Arial" w:cs="Arial"/>
        </w:rPr>
        <w:t xml:space="preserve">Data from the audio recordings of the focus group discussions were transferred to a Word document via Otter software and converted into </w:t>
      </w:r>
      <w:r w:rsidR="00AF68F1">
        <w:rPr>
          <w:rFonts w:ascii="Arial" w:hAnsi="Arial" w:cs="Arial"/>
        </w:rPr>
        <w:t xml:space="preserve">words. </w:t>
      </w:r>
      <w:r w:rsidR="00AF68F1" w:rsidRPr="00AF68F1">
        <w:rPr>
          <w:rFonts w:ascii="Arial" w:hAnsi="Arial" w:cs="Arial"/>
        </w:rPr>
        <w:t xml:space="preserve">In addition, to ensure that the transcribed data were sufficiently detailed and accurate, I also conducted manual </w:t>
      </w:r>
      <w:r w:rsidR="00AF68F1" w:rsidRPr="00AF68F1">
        <w:rPr>
          <w:rFonts w:ascii="Arial" w:hAnsi="Arial" w:cs="Arial"/>
        </w:rPr>
        <w:lastRenderedPageBreak/>
        <w:t>proofreading against the audio recordings and text</w:t>
      </w:r>
      <w:r w:rsidRPr="001F6BF8">
        <w:rPr>
          <w:rFonts w:ascii="Arial" w:hAnsi="Arial" w:cs="Arial"/>
        </w:rPr>
        <w:t>. The transcribed data totalled 6</w:t>
      </w:r>
      <w:r w:rsidR="00244158">
        <w:rPr>
          <w:rFonts w:ascii="Arial" w:hAnsi="Arial" w:cs="Arial"/>
        </w:rPr>
        <w:t>,</w:t>
      </w:r>
      <w:r w:rsidRPr="001F6BF8">
        <w:rPr>
          <w:rFonts w:ascii="Arial" w:hAnsi="Arial" w:cs="Arial"/>
        </w:rPr>
        <w:t>011 words</w:t>
      </w:r>
      <w:r w:rsidR="00AB5E2D">
        <w:rPr>
          <w:rFonts w:ascii="Arial" w:hAnsi="Arial" w:cs="Arial"/>
        </w:rPr>
        <w:t>.</w:t>
      </w:r>
      <w:r w:rsidR="00993782">
        <w:rPr>
          <w:rFonts w:ascii="Arial" w:hAnsi="Arial" w:cs="Arial"/>
        </w:rPr>
        <w:t xml:space="preserve"> </w:t>
      </w:r>
    </w:p>
    <w:p w14:paraId="720EE991" w14:textId="29ACCCC0" w:rsidR="001F6BF8" w:rsidRDefault="00EC32EF" w:rsidP="00EC32EF">
      <w:pPr>
        <w:spacing w:line="360" w:lineRule="auto"/>
        <w:rPr>
          <w:rFonts w:ascii="Arial" w:hAnsi="Arial" w:cs="Arial"/>
        </w:rPr>
      </w:pPr>
      <w:r w:rsidRPr="00EC32EF">
        <w:rPr>
          <w:rFonts w:ascii="Arial" w:hAnsi="Arial" w:cs="Arial"/>
        </w:rPr>
        <w:t>The primary data was first examined to identify some sort of recurring pattern. Initial codes were then identified throughout the data, which were then grouped into categories, and then different themes were identified from the different categories</w:t>
      </w:r>
      <w:r>
        <w:rPr>
          <w:rFonts w:ascii="Arial" w:hAnsi="Arial" w:cs="Arial"/>
        </w:rPr>
        <w:t>.</w:t>
      </w:r>
    </w:p>
    <w:p w14:paraId="2039681B" w14:textId="77777777" w:rsidR="00F15352" w:rsidRDefault="00F15352" w:rsidP="009D0105">
      <w:pPr>
        <w:spacing w:line="360" w:lineRule="auto"/>
        <w:rPr>
          <w:rFonts w:ascii="Arial" w:hAnsi="Arial" w:cs="Arial"/>
        </w:rPr>
      </w:pPr>
    </w:p>
    <w:p w14:paraId="2666DB5C" w14:textId="77777777" w:rsidR="006E58FB" w:rsidRDefault="006E58FB" w:rsidP="009D0105">
      <w:pPr>
        <w:spacing w:line="360" w:lineRule="auto"/>
        <w:rPr>
          <w:rFonts w:ascii="Arial" w:hAnsi="Arial" w:cs="Arial"/>
        </w:rPr>
      </w:pPr>
    </w:p>
    <w:p w14:paraId="53D71BB2" w14:textId="69FDA62B" w:rsidR="000C2BF0" w:rsidRPr="005E48B1" w:rsidRDefault="00A5347D" w:rsidP="00085C6B">
      <w:pPr>
        <w:pStyle w:val="Heading2"/>
        <w:rPr>
          <w:rFonts w:ascii="Arial" w:hAnsi="Arial" w:cs="Arial"/>
          <w:b/>
          <w:bCs/>
          <w:color w:val="auto"/>
        </w:rPr>
      </w:pPr>
      <w:bookmarkStart w:id="7" w:name="_Toc153271149"/>
      <w:r w:rsidRPr="005E48B1">
        <w:rPr>
          <w:rFonts w:ascii="Arial" w:hAnsi="Arial" w:cs="Arial"/>
          <w:b/>
          <w:bCs/>
          <w:color w:val="auto"/>
        </w:rPr>
        <w:t>Ethical considerations</w:t>
      </w:r>
      <w:bookmarkEnd w:id="7"/>
    </w:p>
    <w:p w14:paraId="3F423662" w14:textId="35EB8400" w:rsidR="00686FB0" w:rsidRDefault="00686FB0" w:rsidP="00A5347D">
      <w:pPr>
        <w:spacing w:line="360" w:lineRule="auto"/>
        <w:rPr>
          <w:rFonts w:ascii="Arial" w:hAnsi="Arial" w:cs="Arial"/>
        </w:rPr>
      </w:pPr>
      <w:r w:rsidRPr="00686FB0">
        <w:rPr>
          <w:rFonts w:ascii="Arial" w:hAnsi="Arial" w:cs="Arial"/>
        </w:rPr>
        <w:t xml:space="preserve">All the ethical issues must be explained in relation to the study and how all were addressed during the data collection and analysis </w:t>
      </w:r>
      <w:proofErr w:type="gramStart"/>
      <w:r w:rsidRPr="00686FB0">
        <w:rPr>
          <w:rFonts w:ascii="Arial" w:hAnsi="Arial" w:cs="Arial"/>
        </w:rPr>
        <w:t>stage</w:t>
      </w:r>
      <w:proofErr w:type="gramEnd"/>
    </w:p>
    <w:p w14:paraId="4D9B02E1" w14:textId="77777777" w:rsidR="000C2BF0" w:rsidRDefault="000C2BF0">
      <w:pPr>
        <w:rPr>
          <w:rFonts w:ascii="Arial" w:hAnsi="Arial" w:cs="Arial"/>
        </w:rPr>
      </w:pPr>
      <w:r>
        <w:rPr>
          <w:rFonts w:ascii="Arial" w:hAnsi="Arial" w:cs="Arial"/>
        </w:rPr>
        <w:br w:type="page"/>
      </w:r>
    </w:p>
    <w:p w14:paraId="1CF343F9" w14:textId="77777777" w:rsidR="000C2BF0" w:rsidRPr="000C2BF0" w:rsidRDefault="000C2BF0" w:rsidP="000C2BF0">
      <w:pPr>
        <w:pStyle w:val="NormalWeb"/>
        <w:spacing w:before="0" w:beforeAutospacing="0" w:after="0" w:afterAutospacing="0" w:line="360" w:lineRule="atLeast"/>
        <w:rPr>
          <w:rFonts w:ascii="Calibri" w:hAnsi="Calibri" w:cs="Calibri"/>
          <w:b/>
          <w:bCs/>
          <w:color w:val="000000"/>
          <w:sz w:val="27"/>
          <w:szCs w:val="27"/>
        </w:rPr>
      </w:pPr>
      <w:r w:rsidRPr="000C2BF0">
        <w:rPr>
          <w:rFonts w:ascii="Calibri" w:hAnsi="Calibri" w:cs="Calibri"/>
          <w:b/>
          <w:bCs/>
          <w:color w:val="000000"/>
          <w:sz w:val="27"/>
          <w:szCs w:val="27"/>
        </w:rPr>
        <w:lastRenderedPageBreak/>
        <w:t>References</w:t>
      </w:r>
    </w:p>
    <w:p w14:paraId="536C0213" w14:textId="0D8AB29F" w:rsidR="000C2BF0" w:rsidRDefault="000C2BF0" w:rsidP="000C2BF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Hadi, N.U. and Muhammad, B. (2019). Factors Influencing Postgraduate Students’ Performance: A high order </w:t>
      </w:r>
      <w:proofErr w:type="gramStart"/>
      <w:r>
        <w:rPr>
          <w:rFonts w:ascii="Calibri" w:hAnsi="Calibri" w:cs="Calibri"/>
          <w:color w:val="000000"/>
          <w:sz w:val="27"/>
          <w:szCs w:val="27"/>
        </w:rPr>
        <w:t>top down</w:t>
      </w:r>
      <w:proofErr w:type="gramEnd"/>
      <w:r>
        <w:rPr>
          <w:rFonts w:ascii="Calibri" w:hAnsi="Calibri" w:cs="Calibri"/>
          <w:color w:val="000000"/>
          <w:sz w:val="27"/>
          <w:szCs w:val="27"/>
        </w:rPr>
        <w:t xml:space="preserve"> structural equation modelling approach. </w:t>
      </w:r>
      <w:r>
        <w:rPr>
          <w:rFonts w:ascii="Calibri" w:hAnsi="Calibri" w:cs="Calibri"/>
          <w:i/>
          <w:iCs/>
          <w:color w:val="000000"/>
          <w:sz w:val="27"/>
          <w:szCs w:val="27"/>
        </w:rPr>
        <w:t>Educational Sciences: Theory &amp; Practice</w:t>
      </w:r>
      <w:r>
        <w:rPr>
          <w:rFonts w:ascii="Calibri" w:hAnsi="Calibri" w:cs="Calibri"/>
          <w:color w:val="000000"/>
          <w:sz w:val="27"/>
          <w:szCs w:val="27"/>
        </w:rPr>
        <w:t xml:space="preserve">, 19(2).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://doi.org/10.12738/estp.2019.2.004.</w:t>
      </w:r>
    </w:p>
    <w:p w14:paraId="738DA60D" w14:textId="5321F66D" w:rsidR="00DE6352" w:rsidRDefault="000C2BF0" w:rsidP="00DE635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DE6352" w:rsidRPr="00DE6352">
        <w:rPr>
          <w:rFonts w:ascii="Calibri" w:hAnsi="Calibri" w:cs="Calibri"/>
          <w:color w:val="000000"/>
          <w:sz w:val="27"/>
          <w:szCs w:val="27"/>
        </w:rPr>
        <w:t xml:space="preserve"> </w:t>
      </w:r>
      <w:r w:rsidR="00DE6352">
        <w:rPr>
          <w:rFonts w:ascii="Calibri" w:hAnsi="Calibri" w:cs="Calibri"/>
          <w:color w:val="000000"/>
          <w:sz w:val="27"/>
          <w:szCs w:val="27"/>
        </w:rPr>
        <w:t>Armitage‐Chan, E. and Maddison, J. (2019). The influences of curriculum area and student background on mindset to learning in the veterinary curriculum: a pilot study. </w:t>
      </w:r>
      <w:r w:rsidR="00DE6352">
        <w:rPr>
          <w:rFonts w:ascii="Calibri" w:hAnsi="Calibri" w:cs="Calibri"/>
          <w:i/>
          <w:iCs/>
          <w:color w:val="000000"/>
          <w:sz w:val="27"/>
          <w:szCs w:val="27"/>
        </w:rPr>
        <w:t>Veterinary Medicine &amp; Science</w:t>
      </w:r>
      <w:r w:rsidR="00DE6352">
        <w:rPr>
          <w:rFonts w:ascii="Calibri" w:hAnsi="Calibri" w:cs="Calibri"/>
          <w:color w:val="000000"/>
          <w:sz w:val="27"/>
          <w:szCs w:val="27"/>
        </w:rPr>
        <w:t xml:space="preserve">, [online] 5(3), pp.470–482. </w:t>
      </w:r>
      <w:proofErr w:type="spellStart"/>
      <w:r w:rsidR="00DE6352">
        <w:rPr>
          <w:rFonts w:ascii="Calibri" w:hAnsi="Calibri" w:cs="Calibri"/>
          <w:color w:val="000000"/>
          <w:sz w:val="27"/>
          <w:szCs w:val="27"/>
        </w:rPr>
        <w:t>doi:https</w:t>
      </w:r>
      <w:proofErr w:type="spellEnd"/>
      <w:r w:rsidR="00DE6352">
        <w:rPr>
          <w:rFonts w:ascii="Calibri" w:hAnsi="Calibri" w:cs="Calibri"/>
          <w:color w:val="000000"/>
          <w:sz w:val="27"/>
          <w:szCs w:val="27"/>
        </w:rPr>
        <w:t>://doi.org/10.1002/vms3.174.</w:t>
      </w:r>
    </w:p>
    <w:p w14:paraId="2FB198BF" w14:textId="3BC8C7D2" w:rsidR="004F4CF8" w:rsidRDefault="004F4CF8" w:rsidP="004F4CF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Rahman, S. (2016). The advantages and disadvantages of using qualitative and quantitative approaches and methods in language ‘testing and Assessment’ Research: a Literature Review. </w:t>
      </w:r>
      <w:r>
        <w:rPr>
          <w:rFonts w:ascii="Calibri" w:hAnsi="Calibri" w:cs="Calibri"/>
          <w:i/>
          <w:iCs/>
          <w:color w:val="000000"/>
          <w:sz w:val="27"/>
          <w:szCs w:val="27"/>
        </w:rPr>
        <w:t>Journal of Education and Learning</w:t>
      </w:r>
      <w:r>
        <w:rPr>
          <w:rFonts w:ascii="Calibri" w:hAnsi="Calibri" w:cs="Calibri"/>
          <w:color w:val="000000"/>
          <w:sz w:val="27"/>
          <w:szCs w:val="27"/>
        </w:rPr>
        <w:t xml:space="preserve">, [online] 6(1), pp.102–112. Available at: </w:t>
      </w:r>
      <w:hyperlink r:id="rId6" w:history="1">
        <w:r w:rsidR="00535BD5" w:rsidRPr="00D5157C">
          <w:rPr>
            <w:rStyle w:val="Hyperlink"/>
            <w:rFonts w:ascii="Calibri" w:hAnsi="Calibri" w:cs="Calibri"/>
            <w:sz w:val="27"/>
            <w:szCs w:val="27"/>
          </w:rPr>
          <w:t>https://files.eric.ed.gov/fulltext/EJ1120221.pdf</w:t>
        </w:r>
      </w:hyperlink>
      <w:r>
        <w:rPr>
          <w:rFonts w:ascii="Calibri" w:hAnsi="Calibri" w:cs="Calibri"/>
          <w:color w:val="000000"/>
          <w:sz w:val="27"/>
          <w:szCs w:val="27"/>
        </w:rPr>
        <w:t>.</w:t>
      </w:r>
    </w:p>
    <w:p w14:paraId="33289416" w14:textId="77777777" w:rsidR="00535BD5" w:rsidRDefault="00535BD5" w:rsidP="00535BD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Sabater, K., Barnes, A., </w:t>
      </w:r>
      <w:proofErr w:type="spellStart"/>
      <w:r>
        <w:rPr>
          <w:rFonts w:ascii="Calibri" w:hAnsi="Calibri" w:cs="Calibri"/>
          <w:color w:val="000000"/>
          <w:sz w:val="27"/>
          <w:szCs w:val="27"/>
        </w:rPr>
        <w:t>Fnp-Bc</w:t>
      </w:r>
      <w:proofErr w:type="spellEnd"/>
      <w:r>
        <w:rPr>
          <w:rFonts w:ascii="Calibri" w:hAnsi="Calibri" w:cs="Calibri"/>
          <w:color w:val="000000"/>
          <w:sz w:val="27"/>
          <w:szCs w:val="27"/>
        </w:rPr>
        <w:t>, Reid, T. and Webster, D. (2023). </w:t>
      </w:r>
      <w:r>
        <w:rPr>
          <w:rFonts w:ascii="Calibri" w:hAnsi="Calibri" w:cs="Calibri"/>
          <w:i/>
          <w:iCs/>
          <w:color w:val="000000"/>
          <w:sz w:val="27"/>
          <w:szCs w:val="27"/>
        </w:rPr>
        <w:t>Nurse Educator Scholarship and Qualitative Research Mentor, Professor of Nursing</w:t>
      </w:r>
      <w:r>
        <w:rPr>
          <w:rFonts w:ascii="Calibri" w:hAnsi="Calibri" w:cs="Calibri"/>
          <w:color w:val="000000"/>
          <w:sz w:val="27"/>
          <w:szCs w:val="27"/>
        </w:rPr>
        <w:t>. [online] Available at: https://api.mdsoar.org/server/api/core/bitstreams/fd512aff-653a-4429-a8cb-509fbb52b4fd/content [Accessed 10 Dec. 2023].</w:t>
      </w:r>
    </w:p>
    <w:p w14:paraId="00EE7C6A" w14:textId="1DC060B9" w:rsidR="000E1DC1" w:rsidRDefault="000E1DC1" w:rsidP="000E1DC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Sim, J. and Waterfield, J. (2019). Focus group methodology: Some ethical challenges. </w:t>
      </w:r>
      <w:r>
        <w:rPr>
          <w:rFonts w:ascii="Calibri" w:hAnsi="Calibri" w:cs="Calibri"/>
          <w:i/>
          <w:iCs/>
          <w:color w:val="000000"/>
          <w:sz w:val="27"/>
          <w:szCs w:val="27"/>
        </w:rPr>
        <w:t>Quality &amp; Quantity</w:t>
      </w:r>
      <w:r>
        <w:rPr>
          <w:rFonts w:ascii="Calibri" w:hAnsi="Calibri" w:cs="Calibri"/>
          <w:color w:val="000000"/>
          <w:sz w:val="27"/>
          <w:szCs w:val="27"/>
        </w:rPr>
        <w:t xml:space="preserve">, [online] 53(6), pp.3003–3022. Available at: </w:t>
      </w:r>
      <w:hyperlink r:id="rId7" w:history="1">
        <w:r w:rsidR="00E72718" w:rsidRPr="0053620D">
          <w:rPr>
            <w:rStyle w:val="Hyperlink"/>
            <w:rFonts w:ascii="Calibri" w:hAnsi="Calibri" w:cs="Calibri"/>
            <w:sz w:val="27"/>
            <w:szCs w:val="27"/>
          </w:rPr>
          <w:t>https://link.springer.com/article/10.1007/s11135-019-00914-5</w:t>
        </w:r>
      </w:hyperlink>
      <w:r>
        <w:rPr>
          <w:rFonts w:ascii="Calibri" w:hAnsi="Calibri" w:cs="Calibri"/>
          <w:color w:val="000000"/>
          <w:sz w:val="27"/>
          <w:szCs w:val="27"/>
        </w:rPr>
        <w:t>.</w:t>
      </w:r>
    </w:p>
    <w:p w14:paraId="5F452862" w14:textId="77777777" w:rsidR="00E72718" w:rsidRDefault="00E72718" w:rsidP="00E7271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Goodman, V.D. (2011). </w:t>
      </w:r>
      <w:r>
        <w:rPr>
          <w:rFonts w:ascii="Calibri" w:hAnsi="Calibri" w:cs="Calibri"/>
          <w:i/>
          <w:iCs/>
          <w:color w:val="000000"/>
          <w:sz w:val="27"/>
          <w:szCs w:val="27"/>
        </w:rPr>
        <w:t>1 - A brief overview of qualitative research</w:t>
      </w:r>
      <w:r>
        <w:rPr>
          <w:rFonts w:ascii="Calibri" w:hAnsi="Calibri" w:cs="Calibri"/>
          <w:color w:val="000000"/>
          <w:sz w:val="27"/>
          <w:szCs w:val="27"/>
        </w:rPr>
        <w:t>. [online] ScienceDirect. Available at: https://www.sciencedirect.com/science/article/abs/pii/B9781843346449500019 [Accessed 11 Dec. 2023].</w:t>
      </w:r>
    </w:p>
    <w:p w14:paraId="4DEC6498" w14:textId="77777777" w:rsidR="003739A4" w:rsidRDefault="003739A4" w:rsidP="003739A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Edgar, T.W. and Manz, D.O. (2017). </w:t>
      </w:r>
      <w:r>
        <w:rPr>
          <w:rFonts w:ascii="Calibri" w:hAnsi="Calibri" w:cs="Calibri"/>
          <w:i/>
          <w:iCs/>
          <w:color w:val="000000"/>
          <w:sz w:val="27"/>
          <w:szCs w:val="27"/>
        </w:rPr>
        <w:t>Chapter 4 - Exploratory Study</w:t>
      </w:r>
      <w:r>
        <w:rPr>
          <w:rFonts w:ascii="Calibri" w:hAnsi="Calibri" w:cs="Calibri"/>
          <w:color w:val="000000"/>
          <w:sz w:val="27"/>
          <w:szCs w:val="27"/>
        </w:rPr>
        <w:t>. [online] ScienceDirect. Available at: https://www.sciencedirect.com/science/article/abs/pii/B9780128053492000042.</w:t>
      </w:r>
    </w:p>
    <w:p w14:paraId="00F06AAA" w14:textId="58D47C03" w:rsidR="00A10284" w:rsidRDefault="003739A4" w:rsidP="00DA631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A10284" w:rsidRPr="00A10284">
        <w:rPr>
          <w:rFonts w:ascii="Calibri" w:hAnsi="Calibri" w:cs="Calibri"/>
          <w:color w:val="000000"/>
          <w:sz w:val="27"/>
          <w:szCs w:val="27"/>
        </w:rPr>
        <w:t xml:space="preserve"> </w:t>
      </w:r>
      <w:r w:rsidR="00A10284">
        <w:rPr>
          <w:rFonts w:ascii="Calibri" w:hAnsi="Calibri" w:cs="Calibri"/>
          <w:color w:val="000000"/>
          <w:sz w:val="27"/>
          <w:szCs w:val="27"/>
        </w:rPr>
        <w:t xml:space="preserve">Onwuegbuzie, A.J., Dickinson, W.B., Leech, N.L. and Zoran, A.G. (2009). A Qualitative Framework for Collecting and </w:t>
      </w:r>
      <w:proofErr w:type="spellStart"/>
      <w:r w:rsidR="00A10284">
        <w:rPr>
          <w:rFonts w:ascii="Calibri" w:hAnsi="Calibri" w:cs="Calibri"/>
          <w:color w:val="000000"/>
          <w:sz w:val="27"/>
          <w:szCs w:val="27"/>
        </w:rPr>
        <w:t>Analyzing</w:t>
      </w:r>
      <w:proofErr w:type="spellEnd"/>
      <w:r w:rsidR="00A10284">
        <w:rPr>
          <w:rFonts w:ascii="Calibri" w:hAnsi="Calibri" w:cs="Calibri"/>
          <w:color w:val="000000"/>
          <w:sz w:val="27"/>
          <w:szCs w:val="27"/>
        </w:rPr>
        <w:t xml:space="preserve"> Data in Focus Group Research. </w:t>
      </w:r>
      <w:r w:rsidR="00A10284">
        <w:rPr>
          <w:rFonts w:ascii="Calibri" w:hAnsi="Calibri" w:cs="Calibri"/>
          <w:i/>
          <w:iCs/>
          <w:color w:val="000000"/>
          <w:sz w:val="27"/>
          <w:szCs w:val="27"/>
        </w:rPr>
        <w:t>International Journal of Qualitative Methods</w:t>
      </w:r>
      <w:r w:rsidR="00A10284">
        <w:rPr>
          <w:rFonts w:ascii="Calibri" w:hAnsi="Calibri" w:cs="Calibri"/>
          <w:color w:val="000000"/>
          <w:sz w:val="27"/>
          <w:szCs w:val="27"/>
        </w:rPr>
        <w:t xml:space="preserve">, [online] 8(3), pp.1–21. </w:t>
      </w:r>
      <w:proofErr w:type="spellStart"/>
      <w:r w:rsidR="00A10284">
        <w:rPr>
          <w:rFonts w:ascii="Calibri" w:hAnsi="Calibri" w:cs="Calibri"/>
          <w:color w:val="000000"/>
          <w:sz w:val="27"/>
          <w:szCs w:val="27"/>
        </w:rPr>
        <w:t>doi:https</w:t>
      </w:r>
      <w:proofErr w:type="spellEnd"/>
      <w:r w:rsidR="00A10284">
        <w:rPr>
          <w:rFonts w:ascii="Calibri" w:hAnsi="Calibri" w:cs="Calibri"/>
          <w:color w:val="000000"/>
          <w:sz w:val="27"/>
          <w:szCs w:val="27"/>
        </w:rPr>
        <w:t>://doi.org/10.1177/160940690900800301.</w:t>
      </w:r>
    </w:p>
    <w:p w14:paraId="4DEA883E" w14:textId="77777777" w:rsidR="00DA6319" w:rsidRDefault="00DA6319" w:rsidP="00DA631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Braun, V. and Clarke, V. (2006). Using Thematic Analysis in Psychology. </w:t>
      </w:r>
      <w:r>
        <w:rPr>
          <w:rFonts w:ascii="Calibri" w:hAnsi="Calibri" w:cs="Calibri"/>
          <w:i/>
          <w:iCs/>
          <w:color w:val="000000"/>
          <w:sz w:val="27"/>
          <w:szCs w:val="27"/>
        </w:rPr>
        <w:t>Qualitative Research in Psychology</w:t>
      </w:r>
      <w:r>
        <w:rPr>
          <w:rFonts w:ascii="Calibri" w:hAnsi="Calibri" w:cs="Calibri"/>
          <w:color w:val="000000"/>
          <w:sz w:val="27"/>
          <w:szCs w:val="27"/>
        </w:rPr>
        <w:t xml:space="preserve">, [online] 3(2), pp.77–101.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://doi.org/10.1191/1478088706qp063oa.</w:t>
      </w:r>
    </w:p>
    <w:p w14:paraId="723D78CB" w14:textId="64FEECE5" w:rsidR="00F741E4" w:rsidRDefault="00DA6319" w:rsidP="00F741E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F741E4" w:rsidRPr="00F741E4">
        <w:rPr>
          <w:rFonts w:ascii="Calibri" w:hAnsi="Calibri" w:cs="Calibri"/>
          <w:color w:val="000000"/>
          <w:sz w:val="27"/>
          <w:szCs w:val="27"/>
        </w:rPr>
        <w:t xml:space="preserve"> </w:t>
      </w:r>
      <w:r w:rsidR="00F741E4">
        <w:rPr>
          <w:rFonts w:ascii="Calibri" w:hAnsi="Calibri" w:cs="Calibri"/>
          <w:color w:val="000000"/>
          <w:sz w:val="27"/>
          <w:szCs w:val="27"/>
        </w:rPr>
        <w:t>Ethical standards for providers of public services</w:t>
      </w:r>
      <w:r w:rsidR="008C5130" w:rsidRPr="008C5130">
        <w:rPr>
          <w:rFonts w:ascii="Calibri" w:hAnsi="Calibri" w:cs="Calibri"/>
          <w:i/>
          <w:iCs/>
          <w:color w:val="000000"/>
          <w:sz w:val="27"/>
          <w:szCs w:val="27"/>
        </w:rPr>
        <w:t>.</w:t>
      </w:r>
      <w:r w:rsidR="00F741E4" w:rsidRPr="008C5130">
        <w:rPr>
          <w:rFonts w:ascii="Calibri" w:hAnsi="Calibri" w:cs="Calibri"/>
          <w:i/>
          <w:iCs/>
          <w:color w:val="000000"/>
          <w:sz w:val="27"/>
          <w:szCs w:val="27"/>
        </w:rPr>
        <w:t xml:space="preserve"> Committee on Standards in Public Life.</w:t>
      </w:r>
      <w:r w:rsidR="00F741E4">
        <w:rPr>
          <w:rFonts w:ascii="Calibri" w:hAnsi="Calibri" w:cs="Calibri"/>
          <w:color w:val="000000"/>
          <w:sz w:val="27"/>
          <w:szCs w:val="27"/>
        </w:rPr>
        <w:t xml:space="preserve"> (2014). Available at: https://assets.publishing.service.gov.uk/media/5a7da9f7e5274a5eaea65955/CSPL_EthicalStandards_web.pdf.</w:t>
      </w:r>
    </w:p>
    <w:p w14:paraId="069CB4D3" w14:textId="58F913A9" w:rsidR="000F3DF0" w:rsidRDefault="00F741E4" w:rsidP="000F3DF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000F3DF0" w:rsidRPr="000F3DF0">
        <w:rPr>
          <w:rFonts w:ascii="Calibri" w:hAnsi="Calibri" w:cs="Calibri"/>
          <w:color w:val="000000"/>
          <w:sz w:val="27"/>
          <w:szCs w:val="27"/>
        </w:rPr>
        <w:t xml:space="preserve"> </w:t>
      </w:r>
      <w:r w:rsidR="000F3DF0">
        <w:rPr>
          <w:rFonts w:ascii="Calibri" w:hAnsi="Calibri" w:cs="Calibri"/>
          <w:color w:val="000000"/>
          <w:sz w:val="27"/>
          <w:szCs w:val="27"/>
        </w:rPr>
        <w:t xml:space="preserve">Berger, A.S., </w:t>
      </w:r>
      <w:proofErr w:type="spellStart"/>
      <w:r w:rsidR="000F3DF0">
        <w:rPr>
          <w:rFonts w:ascii="Calibri" w:hAnsi="Calibri" w:cs="Calibri"/>
          <w:color w:val="000000"/>
          <w:sz w:val="27"/>
          <w:szCs w:val="27"/>
        </w:rPr>
        <w:t>Niedra</w:t>
      </w:r>
      <w:proofErr w:type="spellEnd"/>
      <w:r w:rsidR="000F3DF0">
        <w:rPr>
          <w:rFonts w:ascii="Calibri" w:hAnsi="Calibri" w:cs="Calibri"/>
          <w:color w:val="000000"/>
          <w:sz w:val="27"/>
          <w:szCs w:val="27"/>
        </w:rPr>
        <w:t>, E., Brooks, S.G., Ahmed, W.S. and Ginsburg, S. (2019). Teaching Professionalism in Postgraduate Medical Education. </w:t>
      </w:r>
      <w:r w:rsidR="000F3DF0">
        <w:rPr>
          <w:rFonts w:ascii="Calibri" w:hAnsi="Calibri" w:cs="Calibri"/>
          <w:i/>
          <w:iCs/>
          <w:color w:val="000000"/>
          <w:sz w:val="27"/>
          <w:szCs w:val="27"/>
        </w:rPr>
        <w:t>Academic Medicine</w:t>
      </w:r>
      <w:r w:rsidR="000F3DF0">
        <w:rPr>
          <w:rFonts w:ascii="Calibri" w:hAnsi="Calibri" w:cs="Calibri"/>
          <w:color w:val="000000"/>
          <w:sz w:val="27"/>
          <w:szCs w:val="27"/>
        </w:rPr>
        <w:t xml:space="preserve">, p.1. </w:t>
      </w:r>
      <w:proofErr w:type="spellStart"/>
      <w:r w:rsidR="000F3DF0">
        <w:rPr>
          <w:rFonts w:ascii="Calibri" w:hAnsi="Calibri" w:cs="Calibri"/>
          <w:color w:val="000000"/>
          <w:sz w:val="27"/>
          <w:szCs w:val="27"/>
        </w:rPr>
        <w:t>doi:https</w:t>
      </w:r>
      <w:proofErr w:type="spellEnd"/>
      <w:r w:rsidR="000F3DF0">
        <w:rPr>
          <w:rFonts w:ascii="Calibri" w:hAnsi="Calibri" w:cs="Calibri"/>
          <w:color w:val="000000"/>
          <w:sz w:val="27"/>
          <w:szCs w:val="27"/>
        </w:rPr>
        <w:t>://doi.org/10.1097/acm.0000000000002987.</w:t>
      </w:r>
    </w:p>
    <w:p w14:paraId="44D1BA53" w14:textId="77777777" w:rsidR="000F3DF0" w:rsidRDefault="000F3DF0" w:rsidP="000F3DF0">
      <w:pPr>
        <w:pStyle w:val="NormalWeb"/>
        <w:rPr>
          <w:rFonts w:ascii="Calibri" w:hAnsi="Calibri" w:cs="Calibri"/>
          <w:color w:val="000000"/>
          <w:sz w:val="27"/>
          <w:szCs w:val="27"/>
        </w:rPr>
      </w:pPr>
      <w:r>
        <w:rPr>
          <w:rFonts w:ascii="Calibri" w:hAnsi="Calibri" w:cs="Calibri"/>
          <w:color w:val="000000"/>
          <w:sz w:val="27"/>
          <w:szCs w:val="27"/>
        </w:rPr>
        <w:t>‌</w:t>
      </w:r>
    </w:p>
    <w:p w14:paraId="3B4FF8DC" w14:textId="3CE5DA6B" w:rsidR="00F741E4" w:rsidRDefault="00F741E4" w:rsidP="00F741E4">
      <w:pPr>
        <w:pStyle w:val="NormalWeb"/>
        <w:rPr>
          <w:rFonts w:ascii="Calibri" w:hAnsi="Calibri" w:cs="Calibri"/>
          <w:color w:val="000000"/>
          <w:sz w:val="27"/>
          <w:szCs w:val="27"/>
        </w:rPr>
      </w:pPr>
    </w:p>
    <w:p w14:paraId="397988C4" w14:textId="060AE62B" w:rsidR="00DA6319" w:rsidRDefault="00DA6319" w:rsidP="00DA6319">
      <w:pPr>
        <w:pStyle w:val="NormalWeb"/>
        <w:rPr>
          <w:rFonts w:ascii="Calibri" w:hAnsi="Calibri" w:cs="Calibri"/>
          <w:color w:val="000000"/>
          <w:sz w:val="27"/>
          <w:szCs w:val="27"/>
        </w:rPr>
      </w:pPr>
    </w:p>
    <w:p w14:paraId="00DC0266" w14:textId="2238AE90" w:rsidR="003739A4" w:rsidRDefault="003739A4" w:rsidP="003739A4">
      <w:pPr>
        <w:pStyle w:val="NormalWeb"/>
        <w:rPr>
          <w:rFonts w:ascii="Calibri" w:hAnsi="Calibri" w:cs="Calibri"/>
          <w:color w:val="000000"/>
          <w:sz w:val="27"/>
          <w:szCs w:val="27"/>
        </w:rPr>
      </w:pPr>
    </w:p>
    <w:p w14:paraId="237084F8" w14:textId="77777777" w:rsidR="003739A4" w:rsidRDefault="003739A4" w:rsidP="00E72718">
      <w:pPr>
        <w:pStyle w:val="NormalWeb"/>
        <w:spacing w:before="0" w:beforeAutospacing="0" w:after="0" w:afterAutospacing="0" w:line="360" w:lineRule="atLeast"/>
        <w:rPr>
          <w:rFonts w:ascii="Calibri" w:hAnsi="Calibri" w:cs="Calibri"/>
          <w:color w:val="000000"/>
          <w:sz w:val="27"/>
          <w:szCs w:val="27"/>
        </w:rPr>
      </w:pPr>
    </w:p>
    <w:p w14:paraId="7B2B31F5" w14:textId="77777777" w:rsidR="00E72718" w:rsidRDefault="00E72718" w:rsidP="00E72718">
      <w:pPr>
        <w:pStyle w:val="NormalWeb"/>
        <w:rPr>
          <w:rFonts w:ascii="Calibri" w:hAnsi="Calibri" w:cs="Calibri"/>
          <w:color w:val="000000"/>
          <w:sz w:val="27"/>
          <w:szCs w:val="27"/>
        </w:rPr>
      </w:pPr>
      <w:r>
        <w:rPr>
          <w:rFonts w:ascii="Calibri" w:hAnsi="Calibri" w:cs="Calibri"/>
          <w:color w:val="000000"/>
          <w:sz w:val="27"/>
          <w:szCs w:val="27"/>
        </w:rPr>
        <w:t>‌</w:t>
      </w:r>
    </w:p>
    <w:p w14:paraId="67F30001" w14:textId="77777777" w:rsidR="00E72718" w:rsidRDefault="00E72718" w:rsidP="000E1DC1">
      <w:pPr>
        <w:pStyle w:val="NormalWeb"/>
        <w:spacing w:before="0" w:beforeAutospacing="0" w:after="0" w:afterAutospacing="0" w:line="360" w:lineRule="atLeast"/>
        <w:rPr>
          <w:rFonts w:ascii="Calibri" w:hAnsi="Calibri" w:cs="Calibri"/>
          <w:color w:val="000000"/>
          <w:sz w:val="27"/>
          <w:szCs w:val="27"/>
        </w:rPr>
      </w:pPr>
    </w:p>
    <w:p w14:paraId="582796BE" w14:textId="77777777" w:rsidR="000E1DC1" w:rsidRDefault="000E1DC1" w:rsidP="000E1DC1">
      <w:pPr>
        <w:pStyle w:val="NormalWeb"/>
        <w:rPr>
          <w:rFonts w:ascii="Calibri" w:hAnsi="Calibri" w:cs="Calibri"/>
          <w:color w:val="000000"/>
          <w:sz w:val="27"/>
          <w:szCs w:val="27"/>
        </w:rPr>
      </w:pPr>
      <w:r>
        <w:rPr>
          <w:rFonts w:ascii="Calibri" w:hAnsi="Calibri" w:cs="Calibri"/>
          <w:color w:val="000000"/>
          <w:sz w:val="27"/>
          <w:szCs w:val="27"/>
        </w:rPr>
        <w:t>‌</w:t>
      </w:r>
    </w:p>
    <w:p w14:paraId="234D43FC" w14:textId="77777777" w:rsidR="000E1DC1" w:rsidRDefault="000E1DC1" w:rsidP="00535BD5">
      <w:pPr>
        <w:pStyle w:val="NormalWeb"/>
        <w:spacing w:before="0" w:beforeAutospacing="0" w:after="0" w:afterAutospacing="0" w:line="360" w:lineRule="atLeast"/>
        <w:rPr>
          <w:rFonts w:ascii="Calibri" w:hAnsi="Calibri" w:cs="Calibri"/>
          <w:color w:val="000000"/>
          <w:sz w:val="27"/>
          <w:szCs w:val="27"/>
        </w:rPr>
      </w:pPr>
    </w:p>
    <w:p w14:paraId="36C5EF74" w14:textId="77777777" w:rsidR="00535BD5" w:rsidRDefault="00535BD5" w:rsidP="00535BD5">
      <w:pPr>
        <w:pStyle w:val="NormalWeb"/>
        <w:rPr>
          <w:rFonts w:ascii="Calibri" w:hAnsi="Calibri" w:cs="Calibri"/>
          <w:color w:val="000000"/>
          <w:sz w:val="27"/>
          <w:szCs w:val="27"/>
        </w:rPr>
      </w:pPr>
      <w:r>
        <w:rPr>
          <w:rFonts w:ascii="Calibri" w:hAnsi="Calibri" w:cs="Calibri"/>
          <w:color w:val="000000"/>
          <w:sz w:val="27"/>
          <w:szCs w:val="27"/>
        </w:rPr>
        <w:t>‌</w:t>
      </w:r>
    </w:p>
    <w:p w14:paraId="7EF6F2CE" w14:textId="77777777" w:rsidR="00535BD5" w:rsidRDefault="00535BD5" w:rsidP="004F4CF8">
      <w:pPr>
        <w:pStyle w:val="NormalWeb"/>
        <w:spacing w:before="0" w:beforeAutospacing="0" w:after="0" w:afterAutospacing="0" w:line="360" w:lineRule="atLeast"/>
        <w:rPr>
          <w:rFonts w:ascii="Calibri" w:hAnsi="Calibri" w:cs="Calibri"/>
          <w:color w:val="000000"/>
          <w:sz w:val="27"/>
          <w:szCs w:val="27"/>
        </w:rPr>
      </w:pPr>
    </w:p>
    <w:p w14:paraId="4B3D980D" w14:textId="77777777" w:rsidR="004F4CF8" w:rsidRDefault="004F4CF8" w:rsidP="004F4CF8">
      <w:pPr>
        <w:pStyle w:val="NormalWeb"/>
        <w:rPr>
          <w:rFonts w:ascii="Calibri" w:hAnsi="Calibri" w:cs="Calibri"/>
          <w:color w:val="000000"/>
          <w:sz w:val="27"/>
          <w:szCs w:val="27"/>
        </w:rPr>
      </w:pPr>
      <w:r>
        <w:rPr>
          <w:rFonts w:ascii="Calibri" w:hAnsi="Calibri" w:cs="Calibri"/>
          <w:color w:val="000000"/>
          <w:sz w:val="27"/>
          <w:szCs w:val="27"/>
        </w:rPr>
        <w:t>‌</w:t>
      </w:r>
    </w:p>
    <w:p w14:paraId="490FDB2E" w14:textId="77777777" w:rsidR="004F4CF8" w:rsidRDefault="004F4CF8" w:rsidP="00DE6352">
      <w:pPr>
        <w:pStyle w:val="NormalWeb"/>
        <w:spacing w:before="0" w:beforeAutospacing="0" w:after="0" w:afterAutospacing="0" w:line="360" w:lineRule="atLeast"/>
        <w:rPr>
          <w:rFonts w:ascii="Calibri" w:hAnsi="Calibri" w:cs="Calibri"/>
          <w:color w:val="000000"/>
          <w:sz w:val="27"/>
          <w:szCs w:val="27"/>
        </w:rPr>
      </w:pPr>
    </w:p>
    <w:p w14:paraId="1C283577" w14:textId="77777777" w:rsidR="00DE6352" w:rsidRDefault="00DE6352" w:rsidP="00DE6352">
      <w:pPr>
        <w:pStyle w:val="NormalWeb"/>
        <w:rPr>
          <w:rFonts w:ascii="Calibri" w:hAnsi="Calibri" w:cs="Calibri"/>
          <w:color w:val="000000"/>
          <w:sz w:val="27"/>
          <w:szCs w:val="27"/>
        </w:rPr>
      </w:pPr>
      <w:r>
        <w:rPr>
          <w:rFonts w:ascii="Calibri" w:hAnsi="Calibri" w:cs="Calibri"/>
          <w:color w:val="000000"/>
          <w:sz w:val="27"/>
          <w:szCs w:val="27"/>
        </w:rPr>
        <w:t>‌</w:t>
      </w:r>
    </w:p>
    <w:p w14:paraId="71986279" w14:textId="4D97C9B5" w:rsidR="000C2BF0" w:rsidRDefault="000C2BF0" w:rsidP="000C2BF0">
      <w:pPr>
        <w:pStyle w:val="NormalWeb"/>
        <w:rPr>
          <w:rFonts w:ascii="Calibri" w:hAnsi="Calibri" w:cs="Calibri"/>
          <w:color w:val="000000"/>
          <w:sz w:val="27"/>
          <w:szCs w:val="27"/>
        </w:rPr>
      </w:pPr>
    </w:p>
    <w:p w14:paraId="202FD0A6" w14:textId="77777777" w:rsidR="000C2BF0" w:rsidRPr="00437187" w:rsidRDefault="000C2BF0" w:rsidP="00437187">
      <w:pPr>
        <w:spacing w:line="360" w:lineRule="auto"/>
        <w:rPr>
          <w:rFonts w:ascii="Arial" w:hAnsi="Arial" w:cs="Arial"/>
        </w:rPr>
      </w:pPr>
    </w:p>
    <w:sectPr w:rsidR="000C2BF0" w:rsidRPr="004371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5980"/>
    <w:multiLevelType w:val="hybridMultilevel"/>
    <w:tmpl w:val="95E62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229A4"/>
    <w:multiLevelType w:val="hybridMultilevel"/>
    <w:tmpl w:val="80327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90B81"/>
    <w:multiLevelType w:val="hybridMultilevel"/>
    <w:tmpl w:val="28F00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7053D"/>
    <w:multiLevelType w:val="hybridMultilevel"/>
    <w:tmpl w:val="26E804AA"/>
    <w:lvl w:ilvl="0" w:tplc="31B8C784">
      <w:start w:val="1"/>
      <w:numFmt w:val="bullet"/>
      <w:lvlText w:val="•"/>
      <w:lvlJc w:val="left"/>
      <w:pPr>
        <w:tabs>
          <w:tab w:val="num" w:pos="720"/>
        </w:tabs>
        <w:ind w:left="720" w:hanging="360"/>
      </w:pPr>
      <w:rPr>
        <w:rFonts w:ascii="Arial" w:hAnsi="Arial" w:hint="default"/>
      </w:rPr>
    </w:lvl>
    <w:lvl w:ilvl="1" w:tplc="88E2B204" w:tentative="1">
      <w:start w:val="1"/>
      <w:numFmt w:val="bullet"/>
      <w:lvlText w:val="•"/>
      <w:lvlJc w:val="left"/>
      <w:pPr>
        <w:tabs>
          <w:tab w:val="num" w:pos="1440"/>
        </w:tabs>
        <w:ind w:left="1440" w:hanging="360"/>
      </w:pPr>
      <w:rPr>
        <w:rFonts w:ascii="Arial" w:hAnsi="Arial" w:hint="default"/>
      </w:rPr>
    </w:lvl>
    <w:lvl w:ilvl="2" w:tplc="F7C87906" w:tentative="1">
      <w:start w:val="1"/>
      <w:numFmt w:val="bullet"/>
      <w:lvlText w:val="•"/>
      <w:lvlJc w:val="left"/>
      <w:pPr>
        <w:tabs>
          <w:tab w:val="num" w:pos="2160"/>
        </w:tabs>
        <w:ind w:left="2160" w:hanging="360"/>
      </w:pPr>
      <w:rPr>
        <w:rFonts w:ascii="Arial" w:hAnsi="Arial" w:hint="default"/>
      </w:rPr>
    </w:lvl>
    <w:lvl w:ilvl="3" w:tplc="532874E0" w:tentative="1">
      <w:start w:val="1"/>
      <w:numFmt w:val="bullet"/>
      <w:lvlText w:val="•"/>
      <w:lvlJc w:val="left"/>
      <w:pPr>
        <w:tabs>
          <w:tab w:val="num" w:pos="2880"/>
        </w:tabs>
        <w:ind w:left="2880" w:hanging="360"/>
      </w:pPr>
      <w:rPr>
        <w:rFonts w:ascii="Arial" w:hAnsi="Arial" w:hint="default"/>
      </w:rPr>
    </w:lvl>
    <w:lvl w:ilvl="4" w:tplc="5AE6AF78" w:tentative="1">
      <w:start w:val="1"/>
      <w:numFmt w:val="bullet"/>
      <w:lvlText w:val="•"/>
      <w:lvlJc w:val="left"/>
      <w:pPr>
        <w:tabs>
          <w:tab w:val="num" w:pos="3600"/>
        </w:tabs>
        <w:ind w:left="3600" w:hanging="360"/>
      </w:pPr>
      <w:rPr>
        <w:rFonts w:ascii="Arial" w:hAnsi="Arial" w:hint="default"/>
      </w:rPr>
    </w:lvl>
    <w:lvl w:ilvl="5" w:tplc="31CCCFEC" w:tentative="1">
      <w:start w:val="1"/>
      <w:numFmt w:val="bullet"/>
      <w:lvlText w:val="•"/>
      <w:lvlJc w:val="left"/>
      <w:pPr>
        <w:tabs>
          <w:tab w:val="num" w:pos="4320"/>
        </w:tabs>
        <w:ind w:left="4320" w:hanging="360"/>
      </w:pPr>
      <w:rPr>
        <w:rFonts w:ascii="Arial" w:hAnsi="Arial" w:hint="default"/>
      </w:rPr>
    </w:lvl>
    <w:lvl w:ilvl="6" w:tplc="2812A602" w:tentative="1">
      <w:start w:val="1"/>
      <w:numFmt w:val="bullet"/>
      <w:lvlText w:val="•"/>
      <w:lvlJc w:val="left"/>
      <w:pPr>
        <w:tabs>
          <w:tab w:val="num" w:pos="5040"/>
        </w:tabs>
        <w:ind w:left="5040" w:hanging="360"/>
      </w:pPr>
      <w:rPr>
        <w:rFonts w:ascii="Arial" w:hAnsi="Arial" w:hint="default"/>
      </w:rPr>
    </w:lvl>
    <w:lvl w:ilvl="7" w:tplc="17C2D300" w:tentative="1">
      <w:start w:val="1"/>
      <w:numFmt w:val="bullet"/>
      <w:lvlText w:val="•"/>
      <w:lvlJc w:val="left"/>
      <w:pPr>
        <w:tabs>
          <w:tab w:val="num" w:pos="5760"/>
        </w:tabs>
        <w:ind w:left="5760" w:hanging="360"/>
      </w:pPr>
      <w:rPr>
        <w:rFonts w:ascii="Arial" w:hAnsi="Arial" w:hint="default"/>
      </w:rPr>
    </w:lvl>
    <w:lvl w:ilvl="8" w:tplc="3BD0E8E0" w:tentative="1">
      <w:start w:val="1"/>
      <w:numFmt w:val="bullet"/>
      <w:lvlText w:val="•"/>
      <w:lvlJc w:val="left"/>
      <w:pPr>
        <w:tabs>
          <w:tab w:val="num" w:pos="6480"/>
        </w:tabs>
        <w:ind w:left="6480" w:hanging="360"/>
      </w:pPr>
      <w:rPr>
        <w:rFonts w:ascii="Arial" w:hAnsi="Arial" w:hint="default"/>
      </w:rPr>
    </w:lvl>
  </w:abstractNum>
  <w:num w:numId="1" w16cid:durableId="1144590267">
    <w:abstractNumId w:val="3"/>
  </w:num>
  <w:num w:numId="2" w16cid:durableId="1218316041">
    <w:abstractNumId w:val="0"/>
  </w:num>
  <w:num w:numId="3" w16cid:durableId="1986855925">
    <w:abstractNumId w:val="1"/>
  </w:num>
  <w:num w:numId="4" w16cid:durableId="7287721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1E1"/>
    <w:rsid w:val="000012AB"/>
    <w:rsid w:val="00001DFD"/>
    <w:rsid w:val="000035D2"/>
    <w:rsid w:val="00006FB6"/>
    <w:rsid w:val="000179AD"/>
    <w:rsid w:val="00034193"/>
    <w:rsid w:val="00036793"/>
    <w:rsid w:val="000507BB"/>
    <w:rsid w:val="00064BF1"/>
    <w:rsid w:val="00071CCB"/>
    <w:rsid w:val="00072626"/>
    <w:rsid w:val="00075F2C"/>
    <w:rsid w:val="00085C6B"/>
    <w:rsid w:val="00097093"/>
    <w:rsid w:val="000B6A77"/>
    <w:rsid w:val="000C1D39"/>
    <w:rsid w:val="000C2BF0"/>
    <w:rsid w:val="000D407D"/>
    <w:rsid w:val="000D732A"/>
    <w:rsid w:val="000E1DC1"/>
    <w:rsid w:val="000E577A"/>
    <w:rsid w:val="000F3B87"/>
    <w:rsid w:val="000F3DF0"/>
    <w:rsid w:val="000F6410"/>
    <w:rsid w:val="000F7A11"/>
    <w:rsid w:val="0010376D"/>
    <w:rsid w:val="00121C03"/>
    <w:rsid w:val="00173205"/>
    <w:rsid w:val="001748FA"/>
    <w:rsid w:val="00194C47"/>
    <w:rsid w:val="001A3E1A"/>
    <w:rsid w:val="001C31CC"/>
    <w:rsid w:val="001D6415"/>
    <w:rsid w:val="001F6BF8"/>
    <w:rsid w:val="001F6F90"/>
    <w:rsid w:val="00200D96"/>
    <w:rsid w:val="00236E63"/>
    <w:rsid w:val="00244158"/>
    <w:rsid w:val="00266B02"/>
    <w:rsid w:val="00270117"/>
    <w:rsid w:val="002A44FB"/>
    <w:rsid w:val="002C7CA3"/>
    <w:rsid w:val="002F1A23"/>
    <w:rsid w:val="00307AEC"/>
    <w:rsid w:val="00323D9A"/>
    <w:rsid w:val="003335B2"/>
    <w:rsid w:val="003739A4"/>
    <w:rsid w:val="00374D31"/>
    <w:rsid w:val="003839D6"/>
    <w:rsid w:val="003B3308"/>
    <w:rsid w:val="003D52F9"/>
    <w:rsid w:val="00401D57"/>
    <w:rsid w:val="00421EC3"/>
    <w:rsid w:val="00430FAB"/>
    <w:rsid w:val="00437187"/>
    <w:rsid w:val="00450F20"/>
    <w:rsid w:val="00452FD2"/>
    <w:rsid w:val="0045632C"/>
    <w:rsid w:val="00480008"/>
    <w:rsid w:val="00486AB6"/>
    <w:rsid w:val="004A4776"/>
    <w:rsid w:val="004C38C1"/>
    <w:rsid w:val="004D5C70"/>
    <w:rsid w:val="004F144A"/>
    <w:rsid w:val="004F1EFC"/>
    <w:rsid w:val="004F4CF8"/>
    <w:rsid w:val="005252A7"/>
    <w:rsid w:val="005305B5"/>
    <w:rsid w:val="00535BD5"/>
    <w:rsid w:val="00546857"/>
    <w:rsid w:val="00573476"/>
    <w:rsid w:val="0057472D"/>
    <w:rsid w:val="005B7E8E"/>
    <w:rsid w:val="005E48B1"/>
    <w:rsid w:val="005F1480"/>
    <w:rsid w:val="005F5C15"/>
    <w:rsid w:val="00606FED"/>
    <w:rsid w:val="006148AB"/>
    <w:rsid w:val="00616418"/>
    <w:rsid w:val="006268B4"/>
    <w:rsid w:val="006478AF"/>
    <w:rsid w:val="006523AA"/>
    <w:rsid w:val="006655D2"/>
    <w:rsid w:val="00666081"/>
    <w:rsid w:val="00683525"/>
    <w:rsid w:val="00684B03"/>
    <w:rsid w:val="00686FB0"/>
    <w:rsid w:val="006A4300"/>
    <w:rsid w:val="006A7C04"/>
    <w:rsid w:val="006D6794"/>
    <w:rsid w:val="006E58FB"/>
    <w:rsid w:val="006F0444"/>
    <w:rsid w:val="006F7512"/>
    <w:rsid w:val="00710E9A"/>
    <w:rsid w:val="00712D89"/>
    <w:rsid w:val="00752048"/>
    <w:rsid w:val="0078005D"/>
    <w:rsid w:val="00780F9F"/>
    <w:rsid w:val="007870C7"/>
    <w:rsid w:val="007A0F99"/>
    <w:rsid w:val="007A2E08"/>
    <w:rsid w:val="007B3A1D"/>
    <w:rsid w:val="007C1583"/>
    <w:rsid w:val="007E3011"/>
    <w:rsid w:val="00821186"/>
    <w:rsid w:val="0083472D"/>
    <w:rsid w:val="0084271C"/>
    <w:rsid w:val="00850F79"/>
    <w:rsid w:val="008715B1"/>
    <w:rsid w:val="0088585D"/>
    <w:rsid w:val="00894667"/>
    <w:rsid w:val="00894FDE"/>
    <w:rsid w:val="008B185D"/>
    <w:rsid w:val="008B5C22"/>
    <w:rsid w:val="008C5130"/>
    <w:rsid w:val="008C7FF3"/>
    <w:rsid w:val="008D500E"/>
    <w:rsid w:val="009039EE"/>
    <w:rsid w:val="00916597"/>
    <w:rsid w:val="0092132C"/>
    <w:rsid w:val="00923E0D"/>
    <w:rsid w:val="009339AC"/>
    <w:rsid w:val="00956102"/>
    <w:rsid w:val="0096751A"/>
    <w:rsid w:val="00993782"/>
    <w:rsid w:val="009C07DA"/>
    <w:rsid w:val="009D0105"/>
    <w:rsid w:val="009D2ED7"/>
    <w:rsid w:val="009D6A2E"/>
    <w:rsid w:val="009D73CA"/>
    <w:rsid w:val="009E7C9C"/>
    <w:rsid w:val="009F7D25"/>
    <w:rsid w:val="00A10284"/>
    <w:rsid w:val="00A37933"/>
    <w:rsid w:val="00A515DC"/>
    <w:rsid w:val="00A5347D"/>
    <w:rsid w:val="00A72439"/>
    <w:rsid w:val="00A731E1"/>
    <w:rsid w:val="00A7540A"/>
    <w:rsid w:val="00A915F4"/>
    <w:rsid w:val="00A954F9"/>
    <w:rsid w:val="00AB5E2D"/>
    <w:rsid w:val="00AB783D"/>
    <w:rsid w:val="00AD0E65"/>
    <w:rsid w:val="00AF3172"/>
    <w:rsid w:val="00AF625A"/>
    <w:rsid w:val="00AF68F1"/>
    <w:rsid w:val="00AF7EA1"/>
    <w:rsid w:val="00B1294A"/>
    <w:rsid w:val="00B200A3"/>
    <w:rsid w:val="00B327FD"/>
    <w:rsid w:val="00B5078D"/>
    <w:rsid w:val="00B5386D"/>
    <w:rsid w:val="00B97F6E"/>
    <w:rsid w:val="00BB565D"/>
    <w:rsid w:val="00BD3E98"/>
    <w:rsid w:val="00BF1030"/>
    <w:rsid w:val="00BF30E5"/>
    <w:rsid w:val="00C02153"/>
    <w:rsid w:val="00C06D7F"/>
    <w:rsid w:val="00C315F8"/>
    <w:rsid w:val="00C3759D"/>
    <w:rsid w:val="00C758E0"/>
    <w:rsid w:val="00C86169"/>
    <w:rsid w:val="00CA7566"/>
    <w:rsid w:val="00CD4C80"/>
    <w:rsid w:val="00CF578A"/>
    <w:rsid w:val="00D30EF3"/>
    <w:rsid w:val="00D3220B"/>
    <w:rsid w:val="00D63507"/>
    <w:rsid w:val="00D66B95"/>
    <w:rsid w:val="00D92AD8"/>
    <w:rsid w:val="00D933E6"/>
    <w:rsid w:val="00D96422"/>
    <w:rsid w:val="00D97E4E"/>
    <w:rsid w:val="00DA6319"/>
    <w:rsid w:val="00DC1D7E"/>
    <w:rsid w:val="00DD3AFD"/>
    <w:rsid w:val="00DE6352"/>
    <w:rsid w:val="00DF6E4B"/>
    <w:rsid w:val="00E15CE4"/>
    <w:rsid w:val="00E32AC4"/>
    <w:rsid w:val="00E50562"/>
    <w:rsid w:val="00E66BA4"/>
    <w:rsid w:val="00E72718"/>
    <w:rsid w:val="00E94A20"/>
    <w:rsid w:val="00EB133E"/>
    <w:rsid w:val="00EC32EF"/>
    <w:rsid w:val="00F15352"/>
    <w:rsid w:val="00F43770"/>
    <w:rsid w:val="00F741E4"/>
    <w:rsid w:val="00FA02B7"/>
    <w:rsid w:val="00FA0D50"/>
    <w:rsid w:val="00FB0929"/>
    <w:rsid w:val="00FB266E"/>
    <w:rsid w:val="00FB3CCD"/>
    <w:rsid w:val="00FB776D"/>
    <w:rsid w:val="00FB7951"/>
    <w:rsid w:val="00FD3847"/>
    <w:rsid w:val="00FE59FB"/>
    <w:rsid w:val="00FE5CEE"/>
    <w:rsid w:val="00FF02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287916"/>
  <w15:chartTrackingRefBased/>
  <w15:docId w15:val="{A85FBF25-4CDC-4203-9477-816CA2B7F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C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5C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2BF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535BD5"/>
    <w:rPr>
      <w:color w:val="0563C1" w:themeColor="hyperlink"/>
      <w:u w:val="single"/>
    </w:rPr>
  </w:style>
  <w:style w:type="character" w:styleId="UnresolvedMention">
    <w:name w:val="Unresolved Mention"/>
    <w:basedOn w:val="DefaultParagraphFont"/>
    <w:uiPriority w:val="99"/>
    <w:semiHidden/>
    <w:unhideWhenUsed/>
    <w:rsid w:val="00535BD5"/>
    <w:rPr>
      <w:color w:val="605E5C"/>
      <w:shd w:val="clear" w:color="auto" w:fill="E1DFDD"/>
    </w:rPr>
  </w:style>
  <w:style w:type="character" w:customStyle="1" w:styleId="Heading1Char">
    <w:name w:val="Heading 1 Char"/>
    <w:basedOn w:val="DefaultParagraphFont"/>
    <w:link w:val="Heading1"/>
    <w:uiPriority w:val="9"/>
    <w:rsid w:val="00085C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5C6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039EE"/>
    <w:pPr>
      <w:outlineLvl w:val="9"/>
    </w:pPr>
    <w:rPr>
      <w:kern w:val="0"/>
      <w:lang w:val="en-US" w:eastAsia="en-US"/>
      <w14:ligatures w14:val="none"/>
    </w:rPr>
  </w:style>
  <w:style w:type="paragraph" w:styleId="TOC1">
    <w:name w:val="toc 1"/>
    <w:basedOn w:val="Normal"/>
    <w:next w:val="Normal"/>
    <w:autoRedefine/>
    <w:uiPriority w:val="39"/>
    <w:unhideWhenUsed/>
    <w:rsid w:val="009039EE"/>
    <w:pPr>
      <w:spacing w:after="100"/>
    </w:pPr>
  </w:style>
  <w:style w:type="paragraph" w:styleId="TOC2">
    <w:name w:val="toc 2"/>
    <w:basedOn w:val="Normal"/>
    <w:next w:val="Normal"/>
    <w:autoRedefine/>
    <w:uiPriority w:val="39"/>
    <w:unhideWhenUsed/>
    <w:rsid w:val="009039EE"/>
    <w:pPr>
      <w:spacing w:after="100"/>
      <w:ind w:left="220"/>
    </w:pPr>
  </w:style>
  <w:style w:type="paragraph" w:styleId="ListParagraph">
    <w:name w:val="List Paragraph"/>
    <w:basedOn w:val="Normal"/>
    <w:uiPriority w:val="34"/>
    <w:qFormat/>
    <w:rsid w:val="00121C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145958">
      <w:bodyDiv w:val="1"/>
      <w:marLeft w:val="0"/>
      <w:marRight w:val="0"/>
      <w:marTop w:val="0"/>
      <w:marBottom w:val="0"/>
      <w:divBdr>
        <w:top w:val="none" w:sz="0" w:space="0" w:color="auto"/>
        <w:left w:val="none" w:sz="0" w:space="0" w:color="auto"/>
        <w:bottom w:val="none" w:sz="0" w:space="0" w:color="auto"/>
        <w:right w:val="none" w:sz="0" w:space="0" w:color="auto"/>
      </w:divBdr>
    </w:div>
    <w:div w:id="614293408">
      <w:bodyDiv w:val="1"/>
      <w:marLeft w:val="0"/>
      <w:marRight w:val="0"/>
      <w:marTop w:val="0"/>
      <w:marBottom w:val="0"/>
      <w:divBdr>
        <w:top w:val="none" w:sz="0" w:space="0" w:color="auto"/>
        <w:left w:val="none" w:sz="0" w:space="0" w:color="auto"/>
        <w:bottom w:val="none" w:sz="0" w:space="0" w:color="auto"/>
        <w:right w:val="none" w:sz="0" w:space="0" w:color="auto"/>
      </w:divBdr>
    </w:div>
    <w:div w:id="1100642569">
      <w:bodyDiv w:val="1"/>
      <w:marLeft w:val="0"/>
      <w:marRight w:val="0"/>
      <w:marTop w:val="0"/>
      <w:marBottom w:val="0"/>
      <w:divBdr>
        <w:top w:val="none" w:sz="0" w:space="0" w:color="auto"/>
        <w:left w:val="none" w:sz="0" w:space="0" w:color="auto"/>
        <w:bottom w:val="none" w:sz="0" w:space="0" w:color="auto"/>
        <w:right w:val="none" w:sz="0" w:space="0" w:color="auto"/>
      </w:divBdr>
    </w:div>
    <w:div w:id="1222597151">
      <w:bodyDiv w:val="1"/>
      <w:marLeft w:val="0"/>
      <w:marRight w:val="0"/>
      <w:marTop w:val="0"/>
      <w:marBottom w:val="0"/>
      <w:divBdr>
        <w:top w:val="none" w:sz="0" w:space="0" w:color="auto"/>
        <w:left w:val="none" w:sz="0" w:space="0" w:color="auto"/>
        <w:bottom w:val="none" w:sz="0" w:space="0" w:color="auto"/>
        <w:right w:val="none" w:sz="0" w:space="0" w:color="auto"/>
      </w:divBdr>
    </w:div>
    <w:div w:id="1328022463">
      <w:bodyDiv w:val="1"/>
      <w:marLeft w:val="0"/>
      <w:marRight w:val="0"/>
      <w:marTop w:val="0"/>
      <w:marBottom w:val="0"/>
      <w:divBdr>
        <w:top w:val="none" w:sz="0" w:space="0" w:color="auto"/>
        <w:left w:val="none" w:sz="0" w:space="0" w:color="auto"/>
        <w:bottom w:val="none" w:sz="0" w:space="0" w:color="auto"/>
        <w:right w:val="none" w:sz="0" w:space="0" w:color="auto"/>
      </w:divBdr>
    </w:div>
    <w:div w:id="1422290208">
      <w:bodyDiv w:val="1"/>
      <w:marLeft w:val="0"/>
      <w:marRight w:val="0"/>
      <w:marTop w:val="0"/>
      <w:marBottom w:val="0"/>
      <w:divBdr>
        <w:top w:val="none" w:sz="0" w:space="0" w:color="auto"/>
        <w:left w:val="none" w:sz="0" w:space="0" w:color="auto"/>
        <w:bottom w:val="none" w:sz="0" w:space="0" w:color="auto"/>
        <w:right w:val="none" w:sz="0" w:space="0" w:color="auto"/>
      </w:divBdr>
      <w:divsChild>
        <w:div w:id="1441026963">
          <w:marLeft w:val="547"/>
          <w:marRight w:val="0"/>
          <w:marTop w:val="154"/>
          <w:marBottom w:val="0"/>
          <w:divBdr>
            <w:top w:val="none" w:sz="0" w:space="0" w:color="auto"/>
            <w:left w:val="none" w:sz="0" w:space="0" w:color="auto"/>
            <w:bottom w:val="none" w:sz="0" w:space="0" w:color="auto"/>
            <w:right w:val="none" w:sz="0" w:space="0" w:color="auto"/>
          </w:divBdr>
        </w:div>
      </w:divsChild>
    </w:div>
    <w:div w:id="1741097666">
      <w:bodyDiv w:val="1"/>
      <w:marLeft w:val="0"/>
      <w:marRight w:val="0"/>
      <w:marTop w:val="0"/>
      <w:marBottom w:val="0"/>
      <w:divBdr>
        <w:top w:val="none" w:sz="0" w:space="0" w:color="auto"/>
        <w:left w:val="none" w:sz="0" w:space="0" w:color="auto"/>
        <w:bottom w:val="none" w:sz="0" w:space="0" w:color="auto"/>
        <w:right w:val="none" w:sz="0" w:space="0" w:color="auto"/>
      </w:divBdr>
    </w:div>
    <w:div w:id="1752195279">
      <w:bodyDiv w:val="1"/>
      <w:marLeft w:val="0"/>
      <w:marRight w:val="0"/>
      <w:marTop w:val="0"/>
      <w:marBottom w:val="0"/>
      <w:divBdr>
        <w:top w:val="none" w:sz="0" w:space="0" w:color="auto"/>
        <w:left w:val="none" w:sz="0" w:space="0" w:color="auto"/>
        <w:bottom w:val="none" w:sz="0" w:space="0" w:color="auto"/>
        <w:right w:val="none" w:sz="0" w:space="0" w:color="auto"/>
      </w:divBdr>
    </w:div>
    <w:div w:id="1943145053">
      <w:bodyDiv w:val="1"/>
      <w:marLeft w:val="0"/>
      <w:marRight w:val="0"/>
      <w:marTop w:val="0"/>
      <w:marBottom w:val="0"/>
      <w:divBdr>
        <w:top w:val="none" w:sz="0" w:space="0" w:color="auto"/>
        <w:left w:val="none" w:sz="0" w:space="0" w:color="auto"/>
        <w:bottom w:val="none" w:sz="0" w:space="0" w:color="auto"/>
        <w:right w:val="none" w:sz="0" w:space="0" w:color="auto"/>
      </w:divBdr>
    </w:div>
    <w:div w:id="1954634224">
      <w:bodyDiv w:val="1"/>
      <w:marLeft w:val="0"/>
      <w:marRight w:val="0"/>
      <w:marTop w:val="0"/>
      <w:marBottom w:val="0"/>
      <w:divBdr>
        <w:top w:val="none" w:sz="0" w:space="0" w:color="auto"/>
        <w:left w:val="none" w:sz="0" w:space="0" w:color="auto"/>
        <w:bottom w:val="none" w:sz="0" w:space="0" w:color="auto"/>
        <w:right w:val="none" w:sz="0" w:space="0" w:color="auto"/>
      </w:divBdr>
    </w:div>
    <w:div w:id="2126269437">
      <w:bodyDiv w:val="1"/>
      <w:marLeft w:val="0"/>
      <w:marRight w:val="0"/>
      <w:marTop w:val="0"/>
      <w:marBottom w:val="0"/>
      <w:divBdr>
        <w:top w:val="none" w:sz="0" w:space="0" w:color="auto"/>
        <w:left w:val="none" w:sz="0" w:space="0" w:color="auto"/>
        <w:bottom w:val="none" w:sz="0" w:space="0" w:color="auto"/>
        <w:right w:val="none" w:sz="0" w:space="0" w:color="auto"/>
      </w:divBdr>
    </w:div>
    <w:div w:id="212962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ink.springer.com/article/10.1007/s11135-019-00914-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files.eric.ed.gov/fulltext/EJ1120221.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01C6C5-234D-451B-9BE7-65FD9D251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1464</TotalTime>
  <Pages>8</Pages>
  <Words>1745</Words>
  <Characters>11122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 Shang</dc:creator>
  <cp:keywords/>
  <dc:description/>
  <cp:lastModifiedBy>Lili Shang</cp:lastModifiedBy>
  <cp:revision>197</cp:revision>
  <dcterms:created xsi:type="dcterms:W3CDTF">2023-12-06T21:33:00Z</dcterms:created>
  <dcterms:modified xsi:type="dcterms:W3CDTF">2023-12-13T22:28:00Z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acaf84ec-bd98-4106-8a47-d1c972bd2f4f</vt:lpwstr>
  </property>
</Properties>
</file>