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D945A" w14:textId="77777777" w:rsidR="007F225E" w:rsidRPr="00C0247F" w:rsidRDefault="007F225E" w:rsidP="000B7D3A">
      <w:pPr>
        <w:spacing w:line="360" w:lineRule="auto"/>
        <w:rPr>
          <w:rFonts w:ascii="Arial" w:hAnsi="Arial" w:cs="Arial"/>
          <w:sz w:val="22"/>
          <w:szCs w:val="22"/>
        </w:rPr>
      </w:pPr>
    </w:p>
    <w:p w14:paraId="3BD80789" w14:textId="1DF05D47" w:rsidR="009C40A6" w:rsidRPr="00C0247F" w:rsidRDefault="00F80923" w:rsidP="00C0247F">
      <w:pPr>
        <w:spacing w:line="360" w:lineRule="auto"/>
        <w:jc w:val="center"/>
        <w:rPr>
          <w:rFonts w:ascii="Arial" w:hAnsi="Arial" w:cs="Arial"/>
          <w:b/>
          <w:bCs/>
          <w:sz w:val="28"/>
          <w:szCs w:val="28"/>
        </w:rPr>
      </w:pPr>
      <w:r w:rsidRPr="00C0247F">
        <w:rPr>
          <w:rFonts w:ascii="Arial" w:hAnsi="Arial" w:cs="Arial"/>
          <w:b/>
          <w:bCs/>
          <w:sz w:val="28"/>
          <w:szCs w:val="28"/>
        </w:rPr>
        <w:t>Lead azide</w:t>
      </w:r>
      <w:r w:rsidR="00AC5480">
        <w:rPr>
          <w:rFonts w:ascii="Arial" w:hAnsi="Arial" w:cs="Arial"/>
          <w:b/>
          <w:bCs/>
          <w:sz w:val="28"/>
          <w:szCs w:val="28"/>
        </w:rPr>
        <w:t xml:space="preserve"> - Primary</w:t>
      </w:r>
    </w:p>
    <w:p w14:paraId="7026B47A" w14:textId="061B5C6A" w:rsidR="00F80923" w:rsidRPr="00C0247F" w:rsidRDefault="00F80923" w:rsidP="000B7D3A">
      <w:pPr>
        <w:spacing w:line="360" w:lineRule="auto"/>
        <w:rPr>
          <w:rFonts w:ascii="Arial" w:hAnsi="Arial" w:cs="Arial"/>
          <w:sz w:val="22"/>
          <w:szCs w:val="22"/>
        </w:rPr>
      </w:pPr>
      <w:r w:rsidRPr="00C0247F">
        <w:rPr>
          <w:rFonts w:ascii="Arial" w:hAnsi="Arial" w:cs="Arial"/>
          <w:sz w:val="22"/>
          <w:szCs w:val="22"/>
        </w:rPr>
        <w:t xml:space="preserve">In 1891, </w:t>
      </w:r>
      <w:r w:rsidR="002A50F1" w:rsidRPr="00C0247F">
        <w:rPr>
          <w:rFonts w:ascii="Arial" w:hAnsi="Arial" w:cs="Arial"/>
          <w:sz w:val="22"/>
          <w:szCs w:val="22"/>
        </w:rPr>
        <w:t xml:space="preserve">Theodor </w:t>
      </w:r>
      <w:r w:rsidRPr="00C0247F">
        <w:rPr>
          <w:rFonts w:ascii="Arial" w:hAnsi="Arial" w:cs="Arial"/>
          <w:sz w:val="22"/>
          <w:szCs w:val="22"/>
        </w:rPr>
        <w:t xml:space="preserve">Curtius first prepared lead azide </w:t>
      </w:r>
      <w:r w:rsidR="002A50F1" w:rsidRPr="00C0247F">
        <w:rPr>
          <w:rFonts w:ascii="Arial" w:hAnsi="Arial" w:cs="Arial"/>
          <w:sz w:val="22"/>
          <w:szCs w:val="22"/>
        </w:rPr>
        <w:t>from a</w:t>
      </w:r>
      <w:r w:rsidRPr="00C0247F">
        <w:rPr>
          <w:rFonts w:ascii="Arial" w:hAnsi="Arial" w:cs="Arial"/>
          <w:sz w:val="22"/>
          <w:szCs w:val="22"/>
        </w:rPr>
        <w:t xml:space="preserve"> mix</w:t>
      </w:r>
      <w:r w:rsidR="002A50F1" w:rsidRPr="00C0247F">
        <w:rPr>
          <w:rFonts w:ascii="Arial" w:hAnsi="Arial" w:cs="Arial"/>
          <w:sz w:val="22"/>
          <w:szCs w:val="22"/>
        </w:rPr>
        <w:t>ture of</w:t>
      </w:r>
      <w:r w:rsidRPr="00C0247F">
        <w:rPr>
          <w:rFonts w:ascii="Arial" w:hAnsi="Arial" w:cs="Arial"/>
          <w:sz w:val="22"/>
          <w:szCs w:val="22"/>
        </w:rPr>
        <w:t xml:space="preserve"> lead acetate </w:t>
      </w:r>
      <w:r w:rsidR="002A50F1" w:rsidRPr="00C0247F">
        <w:rPr>
          <w:rFonts w:ascii="Arial" w:hAnsi="Arial" w:cs="Arial"/>
          <w:sz w:val="22"/>
          <w:szCs w:val="22"/>
        </w:rPr>
        <w:t>and</w:t>
      </w:r>
      <w:r w:rsidRPr="00C0247F">
        <w:rPr>
          <w:rFonts w:ascii="Arial" w:hAnsi="Arial" w:cs="Arial"/>
          <w:sz w:val="22"/>
          <w:szCs w:val="22"/>
        </w:rPr>
        <w:t xml:space="preserve"> either sodium, or ammonium, azide</w:t>
      </w:r>
      <w:r w:rsidR="009C40A6" w:rsidRPr="00C0247F">
        <w:rPr>
          <w:rFonts w:ascii="Arial" w:hAnsi="Arial" w:cs="Arial"/>
          <w:sz w:val="22"/>
          <w:szCs w:val="22"/>
        </w:rPr>
        <w:t xml:space="preserve"> </w:t>
      </w:r>
      <w:r w:rsidR="00F863C4" w:rsidRPr="00C0247F">
        <w:rPr>
          <w:rFonts w:ascii="Arial" w:hAnsi="Arial" w:cs="Arial"/>
          <w:sz w:val="22"/>
          <w:szCs w:val="22"/>
        </w:rPr>
        <w:t xml:space="preserve">[1]. </w:t>
      </w:r>
      <w:r w:rsidR="002A50F1" w:rsidRPr="00C0247F">
        <w:rPr>
          <w:rFonts w:ascii="Arial" w:hAnsi="Arial" w:cs="Arial"/>
          <w:sz w:val="22"/>
          <w:szCs w:val="22"/>
        </w:rPr>
        <w:t xml:space="preserve">Just 2 years later, all research into lead azide was promptly stopped by the Prussian government after it caused an explosion in a factory that was researching its use in detonators </w:t>
      </w:r>
      <w:r w:rsidR="00F863C4" w:rsidRPr="00C0247F">
        <w:rPr>
          <w:rFonts w:ascii="Arial" w:hAnsi="Arial" w:cs="Arial"/>
          <w:sz w:val="22"/>
          <w:szCs w:val="22"/>
        </w:rPr>
        <w:t xml:space="preserve">[2]. </w:t>
      </w:r>
      <w:r w:rsidR="009C40A6" w:rsidRPr="00C0247F">
        <w:rPr>
          <w:rFonts w:ascii="Arial" w:hAnsi="Arial" w:cs="Arial"/>
          <w:sz w:val="22"/>
          <w:szCs w:val="22"/>
        </w:rPr>
        <w:t>In</w:t>
      </w:r>
      <w:r w:rsidR="002A50F1" w:rsidRPr="00C0247F">
        <w:rPr>
          <w:rFonts w:ascii="Arial" w:hAnsi="Arial" w:cs="Arial"/>
          <w:sz w:val="22"/>
          <w:szCs w:val="22"/>
        </w:rPr>
        <w:t xml:space="preserve"> 1907 Wohler </w:t>
      </w:r>
      <w:r w:rsidR="009C40A6" w:rsidRPr="00C0247F">
        <w:rPr>
          <w:rFonts w:ascii="Arial" w:hAnsi="Arial" w:cs="Arial"/>
          <w:sz w:val="22"/>
          <w:szCs w:val="22"/>
        </w:rPr>
        <w:t>resurrected this research</w:t>
      </w:r>
      <w:r w:rsidR="00845EA3" w:rsidRPr="00C0247F">
        <w:rPr>
          <w:rFonts w:ascii="Arial" w:hAnsi="Arial" w:cs="Arial"/>
          <w:sz w:val="22"/>
          <w:szCs w:val="22"/>
        </w:rPr>
        <w:t xml:space="preserve">, but Hyronimus </w:t>
      </w:r>
      <w:r w:rsidR="009B1F0D" w:rsidRPr="00C0247F">
        <w:rPr>
          <w:rFonts w:ascii="Arial" w:hAnsi="Arial" w:cs="Arial"/>
          <w:sz w:val="22"/>
          <w:szCs w:val="22"/>
        </w:rPr>
        <w:t>first obtained a patent for use of lead azide in the explosives industry, leading it</w:t>
      </w:r>
      <w:r w:rsidR="009C40A6" w:rsidRPr="00C0247F">
        <w:rPr>
          <w:rFonts w:ascii="Arial" w:hAnsi="Arial" w:cs="Arial"/>
          <w:sz w:val="22"/>
          <w:szCs w:val="22"/>
        </w:rPr>
        <w:t xml:space="preserve"> to supplant mercury fulminate as the primary explosive used in detonators due to their ability in setting off high explosives; the </w:t>
      </w:r>
      <w:r w:rsidR="009B1F0D" w:rsidRPr="00C0247F">
        <w:rPr>
          <w:rFonts w:ascii="Arial" w:hAnsi="Arial" w:cs="Arial"/>
          <w:sz w:val="22"/>
          <w:szCs w:val="22"/>
        </w:rPr>
        <w:t xml:space="preserve">mass </w:t>
      </w:r>
      <w:r w:rsidR="009C40A6" w:rsidRPr="00C0247F">
        <w:rPr>
          <w:rFonts w:ascii="Arial" w:hAnsi="Arial" w:cs="Arial"/>
          <w:sz w:val="22"/>
          <w:szCs w:val="22"/>
        </w:rPr>
        <w:t>production of which did not begin until</w:t>
      </w:r>
      <w:r w:rsidR="009B1F0D" w:rsidRPr="00C0247F">
        <w:rPr>
          <w:rFonts w:ascii="Arial" w:hAnsi="Arial" w:cs="Arial"/>
          <w:sz w:val="22"/>
          <w:szCs w:val="22"/>
        </w:rPr>
        <w:t xml:space="preserve"> post WW</w:t>
      </w:r>
      <w:r w:rsidR="004E62CA">
        <w:rPr>
          <w:rFonts w:ascii="Arial" w:hAnsi="Arial" w:cs="Arial"/>
          <w:sz w:val="22"/>
          <w:szCs w:val="22"/>
        </w:rPr>
        <w:t>1.</w:t>
      </w:r>
      <w:r w:rsidR="00F863C4" w:rsidRPr="00C0247F">
        <w:rPr>
          <w:rFonts w:ascii="Arial" w:hAnsi="Arial" w:cs="Arial"/>
          <w:sz w:val="22"/>
          <w:szCs w:val="22"/>
        </w:rPr>
        <w:t xml:space="preserve"> </w:t>
      </w:r>
      <w:r w:rsidR="00845EA3" w:rsidRPr="00C0247F">
        <w:rPr>
          <w:rFonts w:ascii="Arial" w:hAnsi="Arial" w:cs="Arial"/>
          <w:sz w:val="22"/>
          <w:szCs w:val="22"/>
        </w:rPr>
        <w:t xml:space="preserve">The chemical is </w:t>
      </w:r>
      <w:r w:rsidR="009B1F0D" w:rsidRPr="00C0247F">
        <w:rPr>
          <w:rFonts w:ascii="Arial" w:hAnsi="Arial" w:cs="Arial"/>
          <w:sz w:val="22"/>
          <w:szCs w:val="22"/>
        </w:rPr>
        <w:t xml:space="preserve">extremely sensitive to external stimulation and </w:t>
      </w:r>
      <w:r w:rsidR="00B5074D" w:rsidRPr="00C0247F">
        <w:rPr>
          <w:rFonts w:ascii="Arial" w:hAnsi="Arial" w:cs="Arial"/>
          <w:sz w:val="22"/>
          <w:szCs w:val="22"/>
        </w:rPr>
        <w:t>as such is</w:t>
      </w:r>
      <w:r w:rsidR="009B1F0D" w:rsidRPr="00C0247F">
        <w:rPr>
          <w:rFonts w:ascii="Arial" w:hAnsi="Arial" w:cs="Arial"/>
          <w:sz w:val="22"/>
          <w:szCs w:val="22"/>
        </w:rPr>
        <w:t xml:space="preserve"> an incredibly troublesome military explosive</w:t>
      </w:r>
      <w:r w:rsidR="00B5074D" w:rsidRPr="00C0247F">
        <w:rPr>
          <w:rFonts w:ascii="Arial" w:hAnsi="Arial" w:cs="Arial"/>
          <w:sz w:val="22"/>
          <w:szCs w:val="22"/>
        </w:rPr>
        <w:t xml:space="preserve">. It has unmatched and desirable characteristic, such as its thermal stability, rapid detonation, </w:t>
      </w:r>
      <w:r w:rsidR="004E62CA" w:rsidRPr="00C0247F">
        <w:rPr>
          <w:rFonts w:ascii="Arial" w:hAnsi="Arial" w:cs="Arial"/>
          <w:sz w:val="22"/>
          <w:szCs w:val="22"/>
        </w:rPr>
        <w:t>cost,</w:t>
      </w:r>
      <w:r w:rsidR="00B5074D" w:rsidRPr="00C0247F">
        <w:rPr>
          <w:rFonts w:ascii="Arial" w:hAnsi="Arial" w:cs="Arial"/>
          <w:sz w:val="22"/>
          <w:szCs w:val="22"/>
        </w:rPr>
        <w:t xml:space="preserve"> and ease of synthesis</w:t>
      </w:r>
      <w:r w:rsidR="009B1F0D" w:rsidRPr="00C0247F">
        <w:rPr>
          <w:rFonts w:ascii="Arial" w:hAnsi="Arial" w:cs="Arial"/>
          <w:sz w:val="22"/>
          <w:szCs w:val="22"/>
        </w:rPr>
        <w:t>.</w:t>
      </w:r>
      <w:r w:rsidR="00A23700" w:rsidRPr="00C0247F">
        <w:rPr>
          <w:rFonts w:ascii="Arial" w:hAnsi="Arial" w:cs="Arial"/>
          <w:sz w:val="22"/>
          <w:szCs w:val="22"/>
        </w:rPr>
        <w:t xml:space="preserve"> A full list of its properties is summed up in the table below </w:t>
      </w:r>
      <w:r w:rsidR="000B7D3A" w:rsidRPr="00C0247F">
        <w:rPr>
          <w:rFonts w:ascii="Arial" w:hAnsi="Arial" w:cs="Arial"/>
          <w:sz w:val="22"/>
          <w:szCs w:val="22"/>
        </w:rPr>
        <w:t>[T</w:t>
      </w:r>
      <w:r w:rsidR="00C0247F" w:rsidRPr="00C0247F">
        <w:rPr>
          <w:rFonts w:ascii="Arial" w:hAnsi="Arial" w:cs="Arial"/>
          <w:sz w:val="22"/>
          <w:szCs w:val="22"/>
        </w:rPr>
        <w:t>able</w:t>
      </w:r>
      <w:r w:rsidR="000B7D3A" w:rsidRPr="00C0247F">
        <w:rPr>
          <w:rFonts w:ascii="Arial" w:hAnsi="Arial" w:cs="Arial"/>
          <w:sz w:val="22"/>
          <w:szCs w:val="22"/>
        </w:rPr>
        <w:t xml:space="preserve"> 1].</w:t>
      </w:r>
    </w:p>
    <w:tbl>
      <w:tblPr>
        <w:tblStyle w:val="TableGrid"/>
        <w:tblW w:w="0" w:type="auto"/>
        <w:tblLook w:val="04A0" w:firstRow="1" w:lastRow="0" w:firstColumn="1" w:lastColumn="0" w:noHBand="0" w:noVBand="1"/>
      </w:tblPr>
      <w:tblGrid>
        <w:gridCol w:w="4508"/>
        <w:gridCol w:w="4508"/>
      </w:tblGrid>
      <w:tr w:rsidR="00C0247F" w:rsidRPr="00C0247F" w14:paraId="3CCEB813" w14:textId="77777777" w:rsidTr="0072212E">
        <w:tc>
          <w:tcPr>
            <w:tcW w:w="4508" w:type="dxa"/>
          </w:tcPr>
          <w:p w14:paraId="3DDB2208" w14:textId="77777777" w:rsidR="0072212E" w:rsidRPr="00C0247F" w:rsidRDefault="0072212E" w:rsidP="000B7D3A">
            <w:pPr>
              <w:spacing w:line="360" w:lineRule="auto"/>
              <w:rPr>
                <w:rFonts w:ascii="Arial" w:hAnsi="Arial" w:cs="Arial"/>
                <w:sz w:val="22"/>
                <w:szCs w:val="22"/>
              </w:rPr>
            </w:pPr>
          </w:p>
        </w:tc>
        <w:tc>
          <w:tcPr>
            <w:tcW w:w="4508" w:type="dxa"/>
          </w:tcPr>
          <w:p w14:paraId="1AB56ACB" w14:textId="28F63203" w:rsidR="0072212E" w:rsidRPr="00C0247F" w:rsidRDefault="0072212E" w:rsidP="000B7D3A">
            <w:pPr>
              <w:spacing w:line="360" w:lineRule="auto"/>
              <w:rPr>
                <w:rFonts w:ascii="Arial" w:hAnsi="Arial" w:cs="Arial"/>
                <w:b/>
                <w:bCs/>
                <w:sz w:val="22"/>
                <w:szCs w:val="22"/>
              </w:rPr>
            </w:pPr>
            <w:r w:rsidRPr="00C0247F">
              <w:rPr>
                <w:rFonts w:ascii="Arial" w:hAnsi="Arial" w:cs="Arial"/>
                <w:b/>
                <w:bCs/>
                <w:sz w:val="22"/>
                <w:szCs w:val="22"/>
              </w:rPr>
              <w:t>Lead Azide</w:t>
            </w:r>
          </w:p>
        </w:tc>
      </w:tr>
      <w:tr w:rsidR="00C0247F" w:rsidRPr="00C0247F" w14:paraId="7011778E" w14:textId="77777777" w:rsidTr="0072212E">
        <w:tc>
          <w:tcPr>
            <w:tcW w:w="4508" w:type="dxa"/>
          </w:tcPr>
          <w:p w14:paraId="617891EF" w14:textId="5CB5A03C"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Frictional Sensitivity (N)</w:t>
            </w:r>
          </w:p>
        </w:tc>
        <w:tc>
          <w:tcPr>
            <w:tcW w:w="4508" w:type="dxa"/>
          </w:tcPr>
          <w:p w14:paraId="69836047" w14:textId="651C3890"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0.3-1</w:t>
            </w:r>
          </w:p>
        </w:tc>
      </w:tr>
      <w:tr w:rsidR="00C0247F" w:rsidRPr="00C0247F" w14:paraId="515505EC" w14:textId="77777777" w:rsidTr="0072212E">
        <w:tc>
          <w:tcPr>
            <w:tcW w:w="4508" w:type="dxa"/>
          </w:tcPr>
          <w:p w14:paraId="692474C6" w14:textId="1D0468E2"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 xml:space="preserve">Impact Sensitivity </w:t>
            </w:r>
            <w:r w:rsidR="00A23700" w:rsidRPr="00C0247F">
              <w:rPr>
                <w:rFonts w:ascii="Arial" w:hAnsi="Arial" w:cs="Arial"/>
                <w:sz w:val="22"/>
                <w:szCs w:val="22"/>
              </w:rPr>
              <w:t>(J)</w:t>
            </w:r>
          </w:p>
        </w:tc>
        <w:tc>
          <w:tcPr>
            <w:tcW w:w="4508" w:type="dxa"/>
          </w:tcPr>
          <w:p w14:paraId="36A0C93D" w14:textId="28534DD4" w:rsidR="0072212E" w:rsidRPr="00C0247F" w:rsidRDefault="00A23700" w:rsidP="000B7D3A">
            <w:pPr>
              <w:spacing w:line="360" w:lineRule="auto"/>
              <w:rPr>
                <w:rFonts w:ascii="Arial" w:hAnsi="Arial" w:cs="Arial"/>
                <w:sz w:val="22"/>
                <w:szCs w:val="22"/>
              </w:rPr>
            </w:pPr>
            <w:r w:rsidRPr="00C0247F">
              <w:rPr>
                <w:rFonts w:ascii="Arial" w:hAnsi="Arial" w:cs="Arial"/>
                <w:sz w:val="22"/>
                <w:szCs w:val="22"/>
              </w:rPr>
              <w:t>0.5-4</w:t>
            </w:r>
          </w:p>
        </w:tc>
      </w:tr>
      <w:tr w:rsidR="00C0247F" w:rsidRPr="00C0247F" w14:paraId="50CE8282" w14:textId="77777777" w:rsidTr="0072212E">
        <w:tc>
          <w:tcPr>
            <w:tcW w:w="4508" w:type="dxa"/>
          </w:tcPr>
          <w:p w14:paraId="45D103A1" w14:textId="572A803A"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ESD Sensitivity</w:t>
            </w:r>
            <w:r w:rsidR="00A23700" w:rsidRPr="00C0247F">
              <w:rPr>
                <w:rFonts w:ascii="Arial" w:hAnsi="Arial" w:cs="Arial"/>
                <w:sz w:val="22"/>
                <w:szCs w:val="22"/>
              </w:rPr>
              <w:t xml:space="preserve"> (mJ)</w:t>
            </w:r>
          </w:p>
        </w:tc>
        <w:tc>
          <w:tcPr>
            <w:tcW w:w="4508" w:type="dxa"/>
          </w:tcPr>
          <w:p w14:paraId="7E85099B" w14:textId="008BC84D" w:rsidR="0072212E" w:rsidRPr="00C0247F" w:rsidRDefault="00A23700" w:rsidP="000B7D3A">
            <w:pPr>
              <w:spacing w:line="360" w:lineRule="auto"/>
              <w:rPr>
                <w:rFonts w:ascii="Arial" w:hAnsi="Arial" w:cs="Arial"/>
                <w:sz w:val="22"/>
                <w:szCs w:val="22"/>
              </w:rPr>
            </w:pPr>
            <w:r w:rsidRPr="00C0247F">
              <w:rPr>
                <w:rFonts w:ascii="Arial" w:hAnsi="Arial" w:cs="Arial"/>
                <w:sz w:val="22"/>
                <w:szCs w:val="22"/>
              </w:rPr>
              <w:t>6-12</w:t>
            </w:r>
          </w:p>
        </w:tc>
      </w:tr>
      <w:tr w:rsidR="00C0247F" w:rsidRPr="00C0247F" w14:paraId="0DE59032" w14:textId="77777777" w:rsidTr="0072212E">
        <w:tc>
          <w:tcPr>
            <w:tcW w:w="4508" w:type="dxa"/>
          </w:tcPr>
          <w:p w14:paraId="487CC641" w14:textId="17B810FD"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Velocity of detonation</w:t>
            </w:r>
            <w:r w:rsidR="00A23700" w:rsidRPr="00C0247F">
              <w:rPr>
                <w:rFonts w:ascii="Arial" w:hAnsi="Arial" w:cs="Arial"/>
                <w:sz w:val="22"/>
                <w:szCs w:val="22"/>
              </w:rPr>
              <w:t xml:space="preserve"> (m/s)</w:t>
            </w:r>
          </w:p>
        </w:tc>
        <w:tc>
          <w:tcPr>
            <w:tcW w:w="4508" w:type="dxa"/>
          </w:tcPr>
          <w:p w14:paraId="75CE7EDB" w14:textId="46B50D64" w:rsidR="00A23700" w:rsidRPr="00C0247F" w:rsidRDefault="00A23700" w:rsidP="000B7D3A">
            <w:pPr>
              <w:spacing w:line="360" w:lineRule="auto"/>
              <w:rPr>
                <w:rFonts w:ascii="Arial" w:hAnsi="Arial" w:cs="Arial"/>
                <w:sz w:val="22"/>
                <w:szCs w:val="22"/>
              </w:rPr>
            </w:pPr>
            <w:r w:rsidRPr="00C0247F">
              <w:rPr>
                <w:rFonts w:ascii="Arial" w:hAnsi="Arial" w:cs="Arial"/>
                <w:sz w:val="22"/>
                <w:szCs w:val="22"/>
              </w:rPr>
              <w:t>5180 (at 4g/cm</w:t>
            </w:r>
            <w:r w:rsidRPr="00C0247F">
              <w:rPr>
                <w:rFonts w:ascii="Arial" w:hAnsi="Arial" w:cs="Arial"/>
                <w:sz w:val="22"/>
                <w:szCs w:val="22"/>
                <w:vertAlign w:val="superscript"/>
              </w:rPr>
              <w:t>3</w:t>
            </w:r>
            <w:r w:rsidRPr="00C0247F">
              <w:rPr>
                <w:rFonts w:ascii="Arial" w:hAnsi="Arial" w:cs="Arial"/>
                <w:sz w:val="22"/>
                <w:szCs w:val="22"/>
              </w:rPr>
              <w:t>)</w:t>
            </w:r>
          </w:p>
        </w:tc>
      </w:tr>
      <w:tr w:rsidR="0072212E" w:rsidRPr="00C0247F" w14:paraId="7CCFF1B7" w14:textId="77777777" w:rsidTr="0072212E">
        <w:tc>
          <w:tcPr>
            <w:tcW w:w="4508" w:type="dxa"/>
          </w:tcPr>
          <w:p w14:paraId="4363B9B6" w14:textId="3724F377"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TNTe</w:t>
            </w:r>
          </w:p>
        </w:tc>
        <w:tc>
          <w:tcPr>
            <w:tcW w:w="4508" w:type="dxa"/>
          </w:tcPr>
          <w:p w14:paraId="63D85208" w14:textId="424BB156" w:rsidR="0072212E" w:rsidRPr="00C0247F" w:rsidRDefault="00A23700" w:rsidP="000B7D3A">
            <w:pPr>
              <w:spacing w:line="360" w:lineRule="auto"/>
              <w:rPr>
                <w:rFonts w:ascii="Arial" w:hAnsi="Arial" w:cs="Arial"/>
                <w:sz w:val="22"/>
                <w:szCs w:val="22"/>
              </w:rPr>
            </w:pPr>
            <w:r w:rsidRPr="00C0247F">
              <w:rPr>
                <w:rFonts w:ascii="Arial" w:hAnsi="Arial" w:cs="Arial"/>
                <w:sz w:val="22"/>
                <w:szCs w:val="22"/>
              </w:rPr>
              <w:t>0.16-0.34</w:t>
            </w:r>
          </w:p>
        </w:tc>
      </w:tr>
      <w:tr w:rsidR="0072212E" w:rsidRPr="00C0247F" w14:paraId="56B2BE8D" w14:textId="77777777" w:rsidTr="0072212E">
        <w:tc>
          <w:tcPr>
            <w:tcW w:w="4508" w:type="dxa"/>
          </w:tcPr>
          <w:p w14:paraId="3CC52E12" w14:textId="22DA73C1"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Oxygen Balance</w:t>
            </w:r>
          </w:p>
        </w:tc>
        <w:tc>
          <w:tcPr>
            <w:tcW w:w="4508" w:type="dxa"/>
          </w:tcPr>
          <w:p w14:paraId="73852A40" w14:textId="1581B73B" w:rsidR="0072212E" w:rsidRPr="00C0247F" w:rsidRDefault="00A23700" w:rsidP="000B7D3A">
            <w:pPr>
              <w:spacing w:line="360" w:lineRule="auto"/>
              <w:rPr>
                <w:rFonts w:ascii="Arial" w:hAnsi="Arial" w:cs="Arial"/>
                <w:sz w:val="22"/>
                <w:szCs w:val="22"/>
              </w:rPr>
            </w:pPr>
            <w:r w:rsidRPr="00C0247F">
              <w:rPr>
                <w:rFonts w:ascii="Arial" w:hAnsi="Arial" w:cs="Arial"/>
                <w:sz w:val="22"/>
                <w:szCs w:val="22"/>
              </w:rPr>
              <w:t>-5.9</w:t>
            </w:r>
          </w:p>
        </w:tc>
      </w:tr>
      <w:tr w:rsidR="0072212E" w:rsidRPr="00C0247F" w14:paraId="3210A1FC" w14:textId="77777777" w:rsidTr="0072212E">
        <w:tc>
          <w:tcPr>
            <w:tcW w:w="4508" w:type="dxa"/>
          </w:tcPr>
          <w:p w14:paraId="4C25A212" w14:textId="27AB3F1C"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Colour</w:t>
            </w:r>
          </w:p>
        </w:tc>
        <w:tc>
          <w:tcPr>
            <w:tcW w:w="4508" w:type="dxa"/>
          </w:tcPr>
          <w:p w14:paraId="5AC77CEE" w14:textId="3C7F035A"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 xml:space="preserve">Colourless – white </w:t>
            </w:r>
          </w:p>
        </w:tc>
      </w:tr>
      <w:tr w:rsidR="0072212E" w:rsidRPr="00C0247F" w14:paraId="4045C636" w14:textId="77777777" w:rsidTr="0072212E">
        <w:tc>
          <w:tcPr>
            <w:tcW w:w="4508" w:type="dxa"/>
          </w:tcPr>
          <w:p w14:paraId="570D24F5" w14:textId="3747F98C"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Molecular Weight</w:t>
            </w:r>
          </w:p>
        </w:tc>
        <w:tc>
          <w:tcPr>
            <w:tcW w:w="4508" w:type="dxa"/>
          </w:tcPr>
          <w:p w14:paraId="2E4FA3A5" w14:textId="6F62E6CC"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291.24</w:t>
            </w:r>
          </w:p>
        </w:tc>
      </w:tr>
      <w:tr w:rsidR="0072212E" w:rsidRPr="00C0247F" w14:paraId="7A759EDD" w14:textId="77777777" w:rsidTr="0072212E">
        <w:tc>
          <w:tcPr>
            <w:tcW w:w="4508" w:type="dxa"/>
          </w:tcPr>
          <w:p w14:paraId="579F5523" w14:textId="12F6C976"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Decomposition Temperature (</w:t>
            </w:r>
            <w:r w:rsidR="000B7D3A" w:rsidRPr="00C0247F">
              <w:rPr>
                <w:rFonts w:ascii="Arial" w:hAnsi="Arial" w:cs="Arial"/>
                <w:sz w:val="22"/>
                <w:szCs w:val="22"/>
              </w:rPr>
              <w:t>°C</w:t>
            </w:r>
            <w:r w:rsidRPr="00C0247F">
              <w:rPr>
                <w:rFonts w:ascii="Arial" w:hAnsi="Arial" w:cs="Arial"/>
                <w:sz w:val="22"/>
                <w:szCs w:val="22"/>
              </w:rPr>
              <w:t>)</w:t>
            </w:r>
          </w:p>
        </w:tc>
        <w:tc>
          <w:tcPr>
            <w:tcW w:w="4508" w:type="dxa"/>
          </w:tcPr>
          <w:p w14:paraId="16920279" w14:textId="636819B8"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190</w:t>
            </w:r>
          </w:p>
        </w:tc>
      </w:tr>
      <w:tr w:rsidR="0072212E" w:rsidRPr="00C0247F" w14:paraId="6B062598" w14:textId="77777777" w:rsidTr="0072212E">
        <w:tc>
          <w:tcPr>
            <w:tcW w:w="4508" w:type="dxa"/>
          </w:tcPr>
          <w:p w14:paraId="12EA1D0C" w14:textId="1E3F0B3F"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Boiling Point (</w:t>
            </w:r>
            <w:r w:rsidR="000B7D3A" w:rsidRPr="00C0247F">
              <w:rPr>
                <w:rFonts w:ascii="Arial" w:hAnsi="Arial" w:cs="Arial"/>
                <w:sz w:val="22"/>
                <w:szCs w:val="22"/>
              </w:rPr>
              <w:t>°C</w:t>
            </w:r>
            <w:r w:rsidRPr="00C0247F">
              <w:rPr>
                <w:rFonts w:ascii="Arial" w:hAnsi="Arial" w:cs="Arial"/>
                <w:sz w:val="22"/>
                <w:szCs w:val="22"/>
              </w:rPr>
              <w:t>)</w:t>
            </w:r>
          </w:p>
        </w:tc>
        <w:tc>
          <w:tcPr>
            <w:tcW w:w="4508" w:type="dxa"/>
          </w:tcPr>
          <w:p w14:paraId="3A690C35" w14:textId="232FC36B"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350</w:t>
            </w:r>
          </w:p>
        </w:tc>
      </w:tr>
      <w:tr w:rsidR="0072212E" w:rsidRPr="00C0247F" w14:paraId="7FB4EC3D" w14:textId="77777777" w:rsidTr="0072212E">
        <w:tc>
          <w:tcPr>
            <w:tcW w:w="4508" w:type="dxa"/>
          </w:tcPr>
          <w:p w14:paraId="52AE3AC1" w14:textId="4FE88999"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Thermal Ignition (</w:t>
            </w:r>
            <w:r w:rsidR="000B7D3A" w:rsidRPr="00C0247F">
              <w:rPr>
                <w:rFonts w:ascii="Arial" w:hAnsi="Arial" w:cs="Arial"/>
                <w:sz w:val="22"/>
                <w:szCs w:val="22"/>
              </w:rPr>
              <w:t>°C</w:t>
            </w:r>
            <w:r w:rsidRPr="00C0247F">
              <w:rPr>
                <w:rFonts w:ascii="Arial" w:hAnsi="Arial" w:cs="Arial"/>
                <w:sz w:val="22"/>
                <w:szCs w:val="22"/>
              </w:rPr>
              <w:t>)</w:t>
            </w:r>
            <w:r w:rsidR="000B7D3A" w:rsidRPr="00C0247F">
              <w:rPr>
                <w:rFonts w:ascii="Arial" w:hAnsi="Arial" w:cs="Arial"/>
                <w:sz w:val="22"/>
                <w:szCs w:val="22"/>
              </w:rPr>
              <w:t xml:space="preserve"> </w:t>
            </w:r>
          </w:p>
        </w:tc>
        <w:tc>
          <w:tcPr>
            <w:tcW w:w="4508" w:type="dxa"/>
          </w:tcPr>
          <w:p w14:paraId="0110E1D9" w14:textId="440055EF"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327-360</w:t>
            </w:r>
          </w:p>
        </w:tc>
      </w:tr>
      <w:tr w:rsidR="0072212E" w:rsidRPr="00C0247F" w14:paraId="0D9A02E5" w14:textId="77777777" w:rsidTr="0072212E">
        <w:tc>
          <w:tcPr>
            <w:tcW w:w="4508" w:type="dxa"/>
          </w:tcPr>
          <w:p w14:paraId="0B246191" w14:textId="0C6903D5"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Enthalpy of formation (kJ/Mol)</w:t>
            </w:r>
          </w:p>
        </w:tc>
        <w:tc>
          <w:tcPr>
            <w:tcW w:w="4508" w:type="dxa"/>
          </w:tcPr>
          <w:p w14:paraId="0DBFAE9A" w14:textId="63F5E601"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+468.61</w:t>
            </w:r>
          </w:p>
        </w:tc>
      </w:tr>
      <w:tr w:rsidR="0072212E" w:rsidRPr="00C0247F" w14:paraId="5B97F628" w14:textId="77777777" w:rsidTr="0072212E">
        <w:tc>
          <w:tcPr>
            <w:tcW w:w="4508" w:type="dxa"/>
          </w:tcPr>
          <w:p w14:paraId="48F26D83" w14:textId="1D6A39C2"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Energy formation (kJ/Mol)</w:t>
            </w:r>
          </w:p>
        </w:tc>
        <w:tc>
          <w:tcPr>
            <w:tcW w:w="4508" w:type="dxa"/>
          </w:tcPr>
          <w:p w14:paraId="176011CF" w14:textId="7DF802B7" w:rsidR="0072212E" w:rsidRPr="00C0247F" w:rsidRDefault="0072212E" w:rsidP="000B7D3A">
            <w:pPr>
              <w:spacing w:line="360" w:lineRule="auto"/>
              <w:rPr>
                <w:rFonts w:ascii="Arial" w:hAnsi="Arial" w:cs="Arial"/>
                <w:sz w:val="22"/>
                <w:szCs w:val="22"/>
              </w:rPr>
            </w:pPr>
            <w:r w:rsidRPr="00C0247F">
              <w:rPr>
                <w:rFonts w:ascii="Arial" w:hAnsi="Arial" w:cs="Arial"/>
                <w:sz w:val="22"/>
                <w:szCs w:val="22"/>
              </w:rPr>
              <w:t>+476.06</w:t>
            </w:r>
          </w:p>
        </w:tc>
      </w:tr>
      <w:tr w:rsidR="00FA4D6D" w:rsidRPr="00C0247F" w14:paraId="306598B2" w14:textId="77777777" w:rsidTr="0072212E">
        <w:tc>
          <w:tcPr>
            <w:tcW w:w="4508" w:type="dxa"/>
          </w:tcPr>
          <w:p w14:paraId="0A47B9ED" w14:textId="217D6309" w:rsidR="00FA4D6D" w:rsidRPr="00C0247F" w:rsidRDefault="00FA4D6D" w:rsidP="000B7D3A">
            <w:pPr>
              <w:spacing w:line="360" w:lineRule="auto"/>
              <w:rPr>
                <w:rFonts w:ascii="Arial" w:hAnsi="Arial" w:cs="Arial"/>
                <w:sz w:val="22"/>
                <w:szCs w:val="22"/>
              </w:rPr>
            </w:pPr>
            <w:r w:rsidRPr="00C0247F">
              <w:rPr>
                <w:rFonts w:ascii="Arial" w:hAnsi="Arial" w:cs="Arial"/>
                <w:sz w:val="22"/>
                <w:szCs w:val="22"/>
              </w:rPr>
              <w:t>Heat of Explosion (kJ/Kg)</w:t>
            </w:r>
          </w:p>
        </w:tc>
        <w:tc>
          <w:tcPr>
            <w:tcW w:w="4508" w:type="dxa"/>
          </w:tcPr>
          <w:p w14:paraId="7CB46A79" w14:textId="40316DBA" w:rsidR="00FA4D6D" w:rsidRPr="00C0247F" w:rsidRDefault="00FA4D6D" w:rsidP="000B7D3A">
            <w:pPr>
              <w:spacing w:line="360" w:lineRule="auto"/>
              <w:rPr>
                <w:rFonts w:ascii="Arial" w:hAnsi="Arial" w:cs="Arial"/>
                <w:sz w:val="22"/>
                <w:szCs w:val="22"/>
              </w:rPr>
            </w:pPr>
            <w:r w:rsidRPr="00C0247F">
              <w:rPr>
                <w:rFonts w:ascii="Arial" w:hAnsi="Arial" w:cs="Arial"/>
                <w:sz w:val="22"/>
                <w:szCs w:val="22"/>
              </w:rPr>
              <w:t>1610.4</w:t>
            </w:r>
          </w:p>
        </w:tc>
      </w:tr>
      <w:tr w:rsidR="00BF1E55" w:rsidRPr="00C0247F" w14:paraId="0548271B" w14:textId="77777777" w:rsidTr="0072212E">
        <w:tc>
          <w:tcPr>
            <w:tcW w:w="4508" w:type="dxa"/>
          </w:tcPr>
          <w:p w14:paraId="2F89E7BB" w14:textId="3A3B75E2" w:rsidR="00BF1E55" w:rsidRPr="00C0247F" w:rsidRDefault="00BF1E55" w:rsidP="000B7D3A">
            <w:pPr>
              <w:spacing w:line="360" w:lineRule="auto"/>
              <w:rPr>
                <w:rFonts w:ascii="Arial" w:hAnsi="Arial" w:cs="Arial"/>
                <w:sz w:val="22"/>
                <w:szCs w:val="22"/>
              </w:rPr>
            </w:pPr>
            <w:r w:rsidRPr="00C0247F">
              <w:rPr>
                <w:rFonts w:ascii="Arial" w:hAnsi="Arial" w:cs="Arial"/>
                <w:sz w:val="22"/>
                <w:szCs w:val="22"/>
              </w:rPr>
              <w:t>Heat of Detonation (kJ/Mol)</w:t>
            </w:r>
          </w:p>
        </w:tc>
        <w:tc>
          <w:tcPr>
            <w:tcW w:w="4508" w:type="dxa"/>
          </w:tcPr>
          <w:p w14:paraId="588BC66D" w14:textId="4B19100C" w:rsidR="00BF1E55" w:rsidRPr="00C0247F" w:rsidRDefault="00BF1E55" w:rsidP="000B7D3A">
            <w:pPr>
              <w:spacing w:line="360" w:lineRule="auto"/>
              <w:rPr>
                <w:rFonts w:ascii="Arial" w:hAnsi="Arial" w:cs="Arial"/>
                <w:sz w:val="22"/>
                <w:szCs w:val="22"/>
              </w:rPr>
            </w:pPr>
            <w:r w:rsidRPr="00C0247F">
              <w:rPr>
                <w:rFonts w:ascii="Arial" w:hAnsi="Arial" w:cs="Arial"/>
                <w:sz w:val="22"/>
                <w:szCs w:val="22"/>
              </w:rPr>
              <w:t>-469</w:t>
            </w:r>
          </w:p>
        </w:tc>
      </w:tr>
      <w:tr w:rsidR="00FA4D6D" w:rsidRPr="00C0247F" w14:paraId="1504BD04" w14:textId="77777777" w:rsidTr="0072212E">
        <w:tc>
          <w:tcPr>
            <w:tcW w:w="4508" w:type="dxa"/>
          </w:tcPr>
          <w:p w14:paraId="4E255D29" w14:textId="1D3FA161" w:rsidR="00FA4D6D" w:rsidRPr="00C0247F" w:rsidRDefault="00FA4D6D" w:rsidP="000B7D3A">
            <w:pPr>
              <w:spacing w:line="360" w:lineRule="auto"/>
              <w:rPr>
                <w:rFonts w:ascii="Arial" w:hAnsi="Arial" w:cs="Arial"/>
                <w:sz w:val="22"/>
                <w:szCs w:val="22"/>
              </w:rPr>
            </w:pPr>
            <w:r w:rsidRPr="00C0247F">
              <w:rPr>
                <w:rFonts w:ascii="Arial" w:hAnsi="Arial" w:cs="Arial"/>
                <w:sz w:val="22"/>
                <w:szCs w:val="22"/>
              </w:rPr>
              <w:t>Gas Volume (dm</w:t>
            </w:r>
            <w:r w:rsidRPr="00C0247F">
              <w:rPr>
                <w:rFonts w:ascii="Arial" w:hAnsi="Arial" w:cs="Arial"/>
                <w:sz w:val="22"/>
                <w:szCs w:val="22"/>
                <w:vertAlign w:val="superscript"/>
              </w:rPr>
              <w:t>3</w:t>
            </w:r>
            <w:r w:rsidRPr="00C0247F">
              <w:rPr>
                <w:rFonts w:ascii="Arial" w:hAnsi="Arial" w:cs="Arial"/>
                <w:sz w:val="22"/>
                <w:szCs w:val="22"/>
              </w:rPr>
              <w:t>/kg</w:t>
            </w:r>
            <w:r w:rsidR="00FB0A32" w:rsidRPr="00C0247F">
              <w:rPr>
                <w:rFonts w:ascii="Arial" w:hAnsi="Arial" w:cs="Arial"/>
                <w:sz w:val="22"/>
                <w:szCs w:val="22"/>
              </w:rPr>
              <w:t>)</w:t>
            </w:r>
          </w:p>
        </w:tc>
        <w:tc>
          <w:tcPr>
            <w:tcW w:w="4508" w:type="dxa"/>
          </w:tcPr>
          <w:p w14:paraId="0A73BC20" w14:textId="3B612DDD" w:rsidR="00FA4D6D" w:rsidRPr="00C0247F" w:rsidRDefault="00FA4D6D" w:rsidP="000B7D3A">
            <w:pPr>
              <w:spacing w:line="360" w:lineRule="auto"/>
              <w:rPr>
                <w:rFonts w:ascii="Arial" w:hAnsi="Arial" w:cs="Arial"/>
                <w:sz w:val="22"/>
                <w:szCs w:val="22"/>
              </w:rPr>
            </w:pPr>
            <w:r w:rsidRPr="00C0247F">
              <w:rPr>
                <w:rFonts w:ascii="Arial" w:hAnsi="Arial" w:cs="Arial"/>
                <w:sz w:val="22"/>
                <w:szCs w:val="22"/>
              </w:rPr>
              <w:t>218</w:t>
            </w:r>
          </w:p>
        </w:tc>
      </w:tr>
      <w:tr w:rsidR="00C0247F" w:rsidRPr="00C0247F" w14:paraId="5C202F25" w14:textId="77777777" w:rsidTr="0072212E">
        <w:tc>
          <w:tcPr>
            <w:tcW w:w="4508" w:type="dxa"/>
          </w:tcPr>
          <w:p w14:paraId="0BAD56E9" w14:textId="5224750D" w:rsidR="00FA4D6D" w:rsidRPr="00C0247F" w:rsidRDefault="00FA4D6D" w:rsidP="000B7D3A">
            <w:pPr>
              <w:spacing w:line="360" w:lineRule="auto"/>
              <w:rPr>
                <w:rFonts w:ascii="Arial" w:hAnsi="Arial" w:cs="Arial"/>
                <w:sz w:val="22"/>
                <w:szCs w:val="22"/>
              </w:rPr>
            </w:pPr>
            <w:r w:rsidRPr="00C0247F">
              <w:rPr>
                <w:rFonts w:ascii="Arial" w:hAnsi="Arial" w:cs="Arial"/>
                <w:sz w:val="22"/>
                <w:szCs w:val="22"/>
              </w:rPr>
              <w:t>Power index</w:t>
            </w:r>
          </w:p>
        </w:tc>
        <w:tc>
          <w:tcPr>
            <w:tcW w:w="4508" w:type="dxa"/>
          </w:tcPr>
          <w:p w14:paraId="13EBE796" w14:textId="4B78AD9D" w:rsidR="00FA4D6D" w:rsidRPr="00C0247F" w:rsidRDefault="00FA4D6D" w:rsidP="000B7D3A">
            <w:pPr>
              <w:keepNext/>
              <w:spacing w:line="360" w:lineRule="auto"/>
              <w:rPr>
                <w:rFonts w:ascii="Arial" w:hAnsi="Arial" w:cs="Arial"/>
                <w:sz w:val="22"/>
                <w:szCs w:val="22"/>
              </w:rPr>
            </w:pPr>
            <w:r w:rsidRPr="00C0247F">
              <w:rPr>
                <w:rFonts w:ascii="Arial" w:hAnsi="Arial" w:cs="Arial"/>
                <w:sz w:val="22"/>
                <w:szCs w:val="22"/>
              </w:rPr>
              <w:t>12.8</w:t>
            </w:r>
          </w:p>
        </w:tc>
      </w:tr>
    </w:tbl>
    <w:p w14:paraId="5A018438" w14:textId="2674FD3F" w:rsidR="009C40A6" w:rsidRPr="00C0247F" w:rsidRDefault="000B7D3A" w:rsidP="00C0247F">
      <w:pPr>
        <w:pStyle w:val="Caption"/>
        <w:spacing w:line="360" w:lineRule="auto"/>
        <w:jc w:val="center"/>
        <w:rPr>
          <w:rFonts w:ascii="Arial" w:hAnsi="Arial" w:cs="Arial"/>
          <w:color w:val="auto"/>
          <w:sz w:val="20"/>
          <w:szCs w:val="20"/>
        </w:rPr>
      </w:pPr>
      <w:r w:rsidRPr="00C0247F">
        <w:rPr>
          <w:rFonts w:ascii="Arial" w:hAnsi="Arial" w:cs="Arial"/>
          <w:color w:val="auto"/>
          <w:sz w:val="20"/>
          <w:szCs w:val="20"/>
        </w:rPr>
        <w:t xml:space="preserve">[Table </w:t>
      </w:r>
      <w:r w:rsidRPr="00C0247F">
        <w:rPr>
          <w:rFonts w:ascii="Arial" w:hAnsi="Arial" w:cs="Arial"/>
          <w:color w:val="auto"/>
          <w:sz w:val="20"/>
          <w:szCs w:val="20"/>
        </w:rPr>
        <w:fldChar w:fldCharType="begin"/>
      </w:r>
      <w:r w:rsidRPr="00C0247F">
        <w:rPr>
          <w:rFonts w:ascii="Arial" w:hAnsi="Arial" w:cs="Arial"/>
          <w:color w:val="auto"/>
          <w:sz w:val="20"/>
          <w:szCs w:val="20"/>
        </w:rPr>
        <w:instrText xml:space="preserve"> SEQ Table \* ARABIC </w:instrText>
      </w:r>
      <w:r w:rsidRPr="00C0247F">
        <w:rPr>
          <w:rFonts w:ascii="Arial" w:hAnsi="Arial" w:cs="Arial"/>
          <w:color w:val="auto"/>
          <w:sz w:val="20"/>
          <w:szCs w:val="20"/>
        </w:rPr>
        <w:fldChar w:fldCharType="separate"/>
      </w:r>
      <w:r w:rsidRPr="00C0247F">
        <w:rPr>
          <w:rFonts w:ascii="Arial" w:hAnsi="Arial" w:cs="Arial"/>
          <w:noProof/>
          <w:color w:val="auto"/>
          <w:sz w:val="20"/>
          <w:szCs w:val="20"/>
        </w:rPr>
        <w:t>1</w:t>
      </w:r>
      <w:r w:rsidRPr="00C0247F">
        <w:rPr>
          <w:rFonts w:ascii="Arial" w:hAnsi="Arial" w:cs="Arial"/>
          <w:color w:val="auto"/>
          <w:sz w:val="20"/>
          <w:szCs w:val="20"/>
        </w:rPr>
        <w:fldChar w:fldCharType="end"/>
      </w:r>
      <w:r w:rsidRPr="00C0247F">
        <w:rPr>
          <w:rFonts w:ascii="Arial" w:hAnsi="Arial" w:cs="Arial"/>
          <w:color w:val="auto"/>
          <w:sz w:val="20"/>
          <w:szCs w:val="20"/>
        </w:rPr>
        <w:t>]: The chemical properties discussed for lead azide, the majority of which was compiled by Akhvan.</w:t>
      </w:r>
    </w:p>
    <w:p w14:paraId="77D11725" w14:textId="25241D73" w:rsidR="00C0247F" w:rsidRPr="00C0247F" w:rsidRDefault="009C40A6" w:rsidP="000B7D3A">
      <w:pPr>
        <w:spacing w:line="360" w:lineRule="auto"/>
        <w:rPr>
          <w:rFonts w:ascii="Arial" w:hAnsi="Arial" w:cs="Arial"/>
          <w:sz w:val="22"/>
          <w:szCs w:val="22"/>
        </w:rPr>
      </w:pPr>
      <w:r w:rsidRPr="00C0247F">
        <w:rPr>
          <w:rFonts w:ascii="Arial" w:hAnsi="Arial" w:cs="Arial"/>
          <w:sz w:val="22"/>
          <w:szCs w:val="22"/>
        </w:rPr>
        <w:lastRenderedPageBreak/>
        <w:t xml:space="preserve">Lead azide is stable in </w:t>
      </w:r>
      <w:r w:rsidR="00B5074D" w:rsidRPr="00C0247F">
        <w:rPr>
          <w:rFonts w:ascii="Arial" w:hAnsi="Arial" w:cs="Arial"/>
          <w:sz w:val="22"/>
          <w:szCs w:val="22"/>
        </w:rPr>
        <w:t xml:space="preserve">very </w:t>
      </w:r>
      <w:r w:rsidRPr="00C0247F">
        <w:rPr>
          <w:rFonts w:ascii="Arial" w:hAnsi="Arial" w:cs="Arial"/>
          <w:sz w:val="22"/>
          <w:szCs w:val="22"/>
        </w:rPr>
        <w:t>dry</w:t>
      </w:r>
      <w:r w:rsidR="00B5074D" w:rsidRPr="00C0247F">
        <w:rPr>
          <w:rFonts w:ascii="Arial" w:hAnsi="Arial" w:cs="Arial"/>
          <w:sz w:val="22"/>
          <w:szCs w:val="22"/>
        </w:rPr>
        <w:t xml:space="preserve"> and cool</w:t>
      </w:r>
      <w:r w:rsidRPr="00C0247F">
        <w:rPr>
          <w:rFonts w:ascii="Arial" w:hAnsi="Arial" w:cs="Arial"/>
          <w:sz w:val="22"/>
          <w:szCs w:val="22"/>
        </w:rPr>
        <w:t xml:space="preserve"> conditions, but deteriorates rapidly in the presence of ammonia, </w:t>
      </w:r>
      <w:r w:rsidR="004E62CA" w:rsidRPr="00C0247F">
        <w:rPr>
          <w:rFonts w:ascii="Arial" w:hAnsi="Arial" w:cs="Arial"/>
          <w:sz w:val="22"/>
          <w:szCs w:val="22"/>
        </w:rPr>
        <w:t>water,</w:t>
      </w:r>
      <w:r w:rsidRPr="00C0247F">
        <w:rPr>
          <w:rFonts w:ascii="Arial" w:hAnsi="Arial" w:cs="Arial"/>
          <w:sz w:val="22"/>
          <w:szCs w:val="22"/>
        </w:rPr>
        <w:t xml:space="preserve"> or oxidising agents</w:t>
      </w:r>
      <w:r w:rsidR="007B397A" w:rsidRPr="00C0247F">
        <w:rPr>
          <w:rFonts w:ascii="Arial" w:hAnsi="Arial" w:cs="Arial"/>
          <w:sz w:val="22"/>
          <w:szCs w:val="22"/>
        </w:rPr>
        <w:t xml:space="preserve"> [</w:t>
      </w:r>
      <w:r w:rsidR="00F863C4" w:rsidRPr="00C0247F">
        <w:rPr>
          <w:rFonts w:ascii="Arial" w:hAnsi="Arial" w:cs="Arial"/>
          <w:sz w:val="22"/>
          <w:szCs w:val="22"/>
        </w:rPr>
        <w:t>1</w:t>
      </w:r>
      <w:r w:rsidR="007B397A" w:rsidRPr="00C0247F">
        <w:rPr>
          <w:rFonts w:ascii="Arial" w:hAnsi="Arial" w:cs="Arial"/>
          <w:sz w:val="22"/>
          <w:szCs w:val="22"/>
        </w:rPr>
        <w:t xml:space="preserve">]. It has a </w:t>
      </w:r>
      <w:r w:rsidR="004E62CA" w:rsidRPr="00C0247F">
        <w:rPr>
          <w:rFonts w:ascii="Arial" w:hAnsi="Arial" w:cs="Arial"/>
          <w:sz w:val="22"/>
          <w:szCs w:val="22"/>
        </w:rPr>
        <w:t>neutral</w:t>
      </w:r>
      <w:r w:rsidR="00721709" w:rsidRPr="00C0247F">
        <w:rPr>
          <w:rFonts w:ascii="Arial" w:hAnsi="Arial" w:cs="Arial"/>
          <w:sz w:val="22"/>
          <w:szCs w:val="22"/>
        </w:rPr>
        <w:t xml:space="preserve"> but still negative</w:t>
      </w:r>
      <w:r w:rsidR="007B397A" w:rsidRPr="00C0247F">
        <w:rPr>
          <w:rFonts w:ascii="Arial" w:hAnsi="Arial" w:cs="Arial"/>
          <w:sz w:val="22"/>
          <w:szCs w:val="22"/>
        </w:rPr>
        <w:t xml:space="preserve"> oxygen balance at -5.9</w:t>
      </w:r>
      <w:r w:rsidR="001B6AAE" w:rsidRPr="00C0247F">
        <w:rPr>
          <w:rFonts w:ascii="Arial" w:hAnsi="Arial" w:cs="Arial"/>
          <w:sz w:val="22"/>
          <w:szCs w:val="22"/>
        </w:rPr>
        <w:t>,</w:t>
      </w:r>
      <w:r w:rsidR="00721709" w:rsidRPr="00C0247F">
        <w:rPr>
          <w:rFonts w:ascii="Arial" w:hAnsi="Arial" w:cs="Arial"/>
          <w:sz w:val="22"/>
          <w:szCs w:val="22"/>
        </w:rPr>
        <w:t xml:space="preserve"> with</w:t>
      </w:r>
      <w:r w:rsidR="001B6AAE" w:rsidRPr="00C0247F">
        <w:rPr>
          <w:rFonts w:ascii="Arial" w:hAnsi="Arial" w:cs="Arial"/>
          <w:sz w:val="22"/>
          <w:szCs w:val="22"/>
        </w:rPr>
        <w:t xml:space="preserve"> </w:t>
      </w:r>
      <w:r w:rsidR="007B397A" w:rsidRPr="00C0247F">
        <w:rPr>
          <w:rFonts w:ascii="Arial" w:hAnsi="Arial" w:cs="Arial"/>
          <w:sz w:val="22"/>
          <w:szCs w:val="22"/>
        </w:rPr>
        <w:t>its explosion products produc</w:t>
      </w:r>
      <w:r w:rsidR="00721709" w:rsidRPr="00C0247F">
        <w:rPr>
          <w:rFonts w:ascii="Arial" w:hAnsi="Arial" w:cs="Arial"/>
          <w:sz w:val="22"/>
          <w:szCs w:val="22"/>
        </w:rPr>
        <w:t>ing</w:t>
      </w:r>
      <w:r w:rsidR="001B6AAE" w:rsidRPr="00C0247F">
        <w:rPr>
          <w:rFonts w:ascii="Arial" w:hAnsi="Arial" w:cs="Arial"/>
          <w:sz w:val="22"/>
          <w:szCs w:val="22"/>
        </w:rPr>
        <w:t xml:space="preserve"> </w:t>
      </w:r>
      <w:r w:rsidR="007B397A" w:rsidRPr="00C0247F">
        <w:rPr>
          <w:rFonts w:ascii="Arial" w:hAnsi="Arial" w:cs="Arial"/>
          <w:sz w:val="22"/>
          <w:szCs w:val="22"/>
        </w:rPr>
        <w:t xml:space="preserve">only nitrogen and lead </w:t>
      </w:r>
      <w:r w:rsidR="00721709" w:rsidRPr="00C0247F">
        <w:rPr>
          <w:rFonts w:ascii="Arial" w:hAnsi="Arial" w:cs="Arial"/>
          <w:sz w:val="22"/>
          <w:szCs w:val="22"/>
        </w:rPr>
        <w:t xml:space="preserve">vapour </w:t>
      </w:r>
      <w:r w:rsidR="008C2D6C" w:rsidRPr="00C0247F">
        <w:rPr>
          <w:rFonts w:ascii="Arial" w:hAnsi="Arial" w:cs="Arial"/>
          <w:sz w:val="22"/>
          <w:szCs w:val="22"/>
        </w:rPr>
        <w:t xml:space="preserve">[3]. </w:t>
      </w:r>
      <w:r w:rsidR="001B6AAE" w:rsidRPr="00C0247F">
        <w:rPr>
          <w:rFonts w:ascii="Arial" w:hAnsi="Arial" w:cs="Arial"/>
          <w:sz w:val="22"/>
          <w:szCs w:val="22"/>
        </w:rPr>
        <w:t xml:space="preserve">Its explosive properties are </w:t>
      </w:r>
      <w:r w:rsidR="004E62CA" w:rsidRPr="00C0247F">
        <w:rPr>
          <w:rFonts w:ascii="Arial" w:hAnsi="Arial" w:cs="Arial"/>
          <w:sz w:val="22"/>
          <w:szCs w:val="22"/>
        </w:rPr>
        <w:t>poor</w:t>
      </w:r>
      <w:r w:rsidR="001B6AAE" w:rsidRPr="00C0247F">
        <w:rPr>
          <w:rFonts w:ascii="Arial" w:hAnsi="Arial" w:cs="Arial"/>
          <w:sz w:val="22"/>
          <w:szCs w:val="22"/>
        </w:rPr>
        <w:t xml:space="preserve"> for a primary explosive, with its TNT equivalence between 0.16-0.34, or 0.06-0.35 depending on the source [</w:t>
      </w:r>
      <w:r w:rsidR="008C2D6C" w:rsidRPr="00C0247F">
        <w:rPr>
          <w:rFonts w:ascii="Arial" w:hAnsi="Arial" w:cs="Arial"/>
          <w:sz w:val="22"/>
          <w:szCs w:val="22"/>
        </w:rPr>
        <w:t xml:space="preserve">4]. </w:t>
      </w:r>
      <w:r w:rsidR="001B6AAE" w:rsidRPr="00C0247F">
        <w:rPr>
          <w:rFonts w:ascii="Arial" w:hAnsi="Arial" w:cs="Arial"/>
          <w:sz w:val="22"/>
          <w:szCs w:val="22"/>
        </w:rPr>
        <w:t>The difference in which will come down to grain sizes and equipment sensitivity.</w:t>
      </w:r>
      <w:r w:rsidR="001D7CDF" w:rsidRPr="00C0247F">
        <w:rPr>
          <w:rFonts w:ascii="Arial" w:hAnsi="Arial" w:cs="Arial"/>
          <w:sz w:val="22"/>
          <w:szCs w:val="22"/>
        </w:rPr>
        <w:t xml:space="preserve"> The velocity of its detonation is around 5</w:t>
      </w:r>
      <w:r w:rsidR="00ED46A2" w:rsidRPr="00C0247F">
        <w:rPr>
          <w:rFonts w:ascii="Arial" w:hAnsi="Arial" w:cs="Arial"/>
          <w:sz w:val="22"/>
          <w:szCs w:val="22"/>
        </w:rPr>
        <w:t>180</w:t>
      </w:r>
      <w:r w:rsidR="001D7CDF" w:rsidRPr="00C0247F">
        <w:rPr>
          <w:rFonts w:ascii="Arial" w:hAnsi="Arial" w:cs="Arial"/>
          <w:sz w:val="22"/>
          <w:szCs w:val="22"/>
        </w:rPr>
        <w:t>m/s (at 4 g/cm</w:t>
      </w:r>
      <w:r w:rsidR="001D7CDF" w:rsidRPr="00C0247F">
        <w:rPr>
          <w:rFonts w:ascii="Arial" w:hAnsi="Arial" w:cs="Arial"/>
          <w:sz w:val="22"/>
          <w:szCs w:val="22"/>
          <w:vertAlign w:val="superscript"/>
        </w:rPr>
        <w:t>3</w:t>
      </w:r>
      <w:r w:rsidR="001D7CDF" w:rsidRPr="00C0247F">
        <w:rPr>
          <w:rFonts w:ascii="Arial" w:hAnsi="Arial" w:cs="Arial"/>
          <w:sz w:val="22"/>
          <w:szCs w:val="22"/>
        </w:rPr>
        <w:t xml:space="preserve">), or 4630 </w:t>
      </w:r>
      <w:r w:rsidR="0072212E" w:rsidRPr="00C0247F">
        <w:rPr>
          <w:rFonts w:ascii="Arial" w:hAnsi="Arial" w:cs="Arial"/>
          <w:sz w:val="22"/>
          <w:szCs w:val="22"/>
        </w:rPr>
        <w:t>(</w:t>
      </w:r>
      <w:r w:rsidR="001D7CDF" w:rsidRPr="00C0247F">
        <w:rPr>
          <w:rFonts w:ascii="Arial" w:hAnsi="Arial" w:cs="Arial"/>
          <w:sz w:val="22"/>
          <w:szCs w:val="22"/>
        </w:rPr>
        <w:t>at 3 g/cm</w:t>
      </w:r>
      <w:r w:rsidR="001D7CDF" w:rsidRPr="00C0247F">
        <w:rPr>
          <w:rFonts w:ascii="Arial" w:hAnsi="Arial" w:cs="Arial"/>
          <w:sz w:val="22"/>
          <w:szCs w:val="22"/>
          <w:vertAlign w:val="superscript"/>
        </w:rPr>
        <w:t>3</w:t>
      </w:r>
      <w:r w:rsidR="001D7CDF" w:rsidRPr="00C0247F">
        <w:rPr>
          <w:rFonts w:ascii="Arial" w:hAnsi="Arial" w:cs="Arial"/>
          <w:sz w:val="22"/>
          <w:szCs w:val="22"/>
        </w:rPr>
        <w:t>)</w:t>
      </w:r>
      <w:r w:rsidR="00ED46A2" w:rsidRPr="00C0247F">
        <w:rPr>
          <w:rFonts w:ascii="Arial" w:hAnsi="Arial" w:cs="Arial"/>
          <w:sz w:val="22"/>
          <w:szCs w:val="22"/>
        </w:rPr>
        <w:t xml:space="preserve"> [</w:t>
      </w:r>
      <w:r w:rsidR="008C2D6C" w:rsidRPr="00C0247F">
        <w:rPr>
          <w:rFonts w:ascii="Arial" w:hAnsi="Arial" w:cs="Arial"/>
          <w:sz w:val="22"/>
          <w:szCs w:val="22"/>
        </w:rPr>
        <w:t>5]</w:t>
      </w:r>
      <w:r w:rsidR="004E62CA">
        <w:rPr>
          <w:rFonts w:ascii="Arial" w:hAnsi="Arial" w:cs="Arial"/>
          <w:sz w:val="22"/>
          <w:szCs w:val="22"/>
        </w:rPr>
        <w:t>.</w:t>
      </w:r>
      <w:r w:rsidR="0072212E" w:rsidRPr="00C0247F">
        <w:rPr>
          <w:rFonts w:ascii="Arial" w:hAnsi="Arial" w:cs="Arial"/>
          <w:sz w:val="22"/>
          <w:szCs w:val="22"/>
        </w:rPr>
        <w:t xml:space="preserve"> Its melting point is also between 320-360</w:t>
      </w:r>
      <w:r w:rsidR="000B7D3A" w:rsidRPr="00C0247F">
        <w:rPr>
          <w:rFonts w:ascii="Arial" w:hAnsi="Arial" w:cs="Arial"/>
          <w:sz w:val="22"/>
          <w:szCs w:val="22"/>
        </w:rPr>
        <w:t>°C</w:t>
      </w:r>
      <w:r w:rsidR="0072212E" w:rsidRPr="00C0247F">
        <w:rPr>
          <w:rFonts w:ascii="Arial" w:hAnsi="Arial" w:cs="Arial"/>
          <w:sz w:val="22"/>
          <w:szCs w:val="22"/>
        </w:rPr>
        <w:t>.</w:t>
      </w:r>
      <w:r w:rsidR="00974A07" w:rsidRPr="00C0247F">
        <w:rPr>
          <w:rFonts w:ascii="Arial" w:hAnsi="Arial" w:cs="Arial"/>
          <w:sz w:val="22"/>
          <w:szCs w:val="22"/>
        </w:rPr>
        <w:t>T</w:t>
      </w:r>
      <w:r w:rsidR="001B6AAE" w:rsidRPr="00C0247F">
        <w:rPr>
          <w:rFonts w:ascii="Arial" w:hAnsi="Arial" w:cs="Arial"/>
          <w:sz w:val="22"/>
          <w:szCs w:val="22"/>
        </w:rPr>
        <w:t>he most desirable propert</w:t>
      </w:r>
      <w:r w:rsidR="00974A07" w:rsidRPr="00C0247F">
        <w:rPr>
          <w:rFonts w:ascii="Arial" w:hAnsi="Arial" w:cs="Arial"/>
          <w:sz w:val="22"/>
          <w:szCs w:val="22"/>
        </w:rPr>
        <w:t xml:space="preserve">ies </w:t>
      </w:r>
      <w:r w:rsidR="001B6AAE" w:rsidRPr="00C0247F">
        <w:rPr>
          <w:rFonts w:ascii="Arial" w:hAnsi="Arial" w:cs="Arial"/>
          <w:sz w:val="22"/>
          <w:szCs w:val="22"/>
        </w:rPr>
        <w:t>of lead azide</w:t>
      </w:r>
      <w:r w:rsidR="00974A07" w:rsidRPr="00C0247F">
        <w:rPr>
          <w:rFonts w:ascii="Arial" w:hAnsi="Arial" w:cs="Arial"/>
          <w:sz w:val="22"/>
          <w:szCs w:val="22"/>
        </w:rPr>
        <w:t xml:space="preserve"> for detonator applications</w:t>
      </w:r>
      <w:r w:rsidR="001B6AAE" w:rsidRPr="00C0247F">
        <w:rPr>
          <w:rFonts w:ascii="Arial" w:hAnsi="Arial" w:cs="Arial"/>
          <w:sz w:val="22"/>
          <w:szCs w:val="22"/>
        </w:rPr>
        <w:t xml:space="preserve"> </w:t>
      </w:r>
      <w:r w:rsidR="00974A07" w:rsidRPr="00C0247F">
        <w:rPr>
          <w:rFonts w:ascii="Arial" w:hAnsi="Arial" w:cs="Arial"/>
          <w:sz w:val="22"/>
          <w:szCs w:val="22"/>
        </w:rPr>
        <w:t>are</w:t>
      </w:r>
      <w:r w:rsidR="001B6AAE" w:rsidRPr="00C0247F">
        <w:rPr>
          <w:rFonts w:ascii="Arial" w:hAnsi="Arial" w:cs="Arial"/>
          <w:sz w:val="22"/>
          <w:szCs w:val="22"/>
        </w:rPr>
        <w:t xml:space="preserve"> its almost instantaneous </w:t>
      </w:r>
      <w:r w:rsidR="00C355C6" w:rsidRPr="00C0247F">
        <w:rPr>
          <w:rFonts w:ascii="Arial" w:hAnsi="Arial" w:cs="Arial"/>
          <w:sz w:val="22"/>
          <w:szCs w:val="22"/>
        </w:rPr>
        <w:t>detonation</w:t>
      </w:r>
      <w:r w:rsidR="00974A07" w:rsidRPr="00C0247F">
        <w:rPr>
          <w:rFonts w:ascii="Arial" w:hAnsi="Arial" w:cs="Arial"/>
          <w:sz w:val="22"/>
          <w:szCs w:val="22"/>
        </w:rPr>
        <w:t xml:space="preserve"> (</w:t>
      </w:r>
      <w:r w:rsidR="001B6AAE" w:rsidRPr="00C0247F">
        <w:rPr>
          <w:rFonts w:ascii="Arial" w:hAnsi="Arial" w:cs="Arial"/>
          <w:sz w:val="22"/>
          <w:szCs w:val="22"/>
        </w:rPr>
        <w:t>even when used in sub</w:t>
      </w:r>
      <w:r w:rsidR="004E62CA">
        <w:rPr>
          <w:rFonts w:ascii="Arial" w:hAnsi="Arial" w:cs="Arial"/>
          <w:sz w:val="22"/>
          <w:szCs w:val="22"/>
        </w:rPr>
        <w:t xml:space="preserve"> </w:t>
      </w:r>
      <w:r w:rsidR="001B6AAE" w:rsidRPr="00C0247F">
        <w:rPr>
          <w:rFonts w:ascii="Arial" w:hAnsi="Arial" w:cs="Arial"/>
          <w:sz w:val="22"/>
          <w:szCs w:val="22"/>
        </w:rPr>
        <w:t>millimetre quantit</w:t>
      </w:r>
      <w:r w:rsidR="00C355C6" w:rsidRPr="00C0247F">
        <w:rPr>
          <w:rFonts w:ascii="Arial" w:hAnsi="Arial" w:cs="Arial"/>
          <w:sz w:val="22"/>
          <w:szCs w:val="22"/>
        </w:rPr>
        <w:t>ies</w:t>
      </w:r>
      <w:r w:rsidR="00974A07" w:rsidRPr="00C0247F">
        <w:rPr>
          <w:rFonts w:ascii="Arial" w:hAnsi="Arial" w:cs="Arial"/>
          <w:sz w:val="22"/>
          <w:szCs w:val="22"/>
        </w:rPr>
        <w:t xml:space="preserve">) and its unparalleled ability to induce detonation in secondary explosives. </w:t>
      </w:r>
      <w:r w:rsidR="000B7D3A" w:rsidRPr="00C0247F">
        <w:rPr>
          <w:rFonts w:ascii="Arial" w:hAnsi="Arial" w:cs="Arial"/>
          <w:sz w:val="22"/>
          <w:szCs w:val="22"/>
        </w:rPr>
        <w:t>Maytas also</w:t>
      </w:r>
      <w:r w:rsidR="00974A07" w:rsidRPr="00C0247F">
        <w:rPr>
          <w:rFonts w:ascii="Arial" w:hAnsi="Arial" w:cs="Arial"/>
          <w:sz w:val="22"/>
          <w:szCs w:val="22"/>
        </w:rPr>
        <w:t xml:space="preserve"> shows</w:t>
      </w:r>
      <w:r w:rsidR="000B7D3A" w:rsidRPr="00C0247F">
        <w:rPr>
          <w:rFonts w:ascii="Arial" w:hAnsi="Arial" w:cs="Arial"/>
          <w:sz w:val="22"/>
          <w:szCs w:val="22"/>
        </w:rPr>
        <w:t>, in Primary Explosives,</w:t>
      </w:r>
      <w:r w:rsidR="00974A07" w:rsidRPr="00C0247F">
        <w:rPr>
          <w:rFonts w:ascii="Arial" w:hAnsi="Arial" w:cs="Arial"/>
          <w:sz w:val="22"/>
          <w:szCs w:val="22"/>
        </w:rPr>
        <w:t xml:space="preserve"> that the weight of lead azide needed to detonate PETN remains the same for varying blast cap materials [F</w:t>
      </w:r>
      <w:r w:rsidR="00C0247F" w:rsidRPr="00C0247F">
        <w:rPr>
          <w:rFonts w:ascii="Arial" w:hAnsi="Arial" w:cs="Arial"/>
          <w:sz w:val="22"/>
          <w:szCs w:val="22"/>
        </w:rPr>
        <w:t>igure</w:t>
      </w:r>
      <w:r w:rsidR="00974A07" w:rsidRPr="00C0247F">
        <w:rPr>
          <w:rFonts w:ascii="Arial" w:hAnsi="Arial" w:cs="Arial"/>
          <w:sz w:val="22"/>
          <w:szCs w:val="22"/>
        </w:rPr>
        <w:t xml:space="preserve"> </w:t>
      </w:r>
      <w:r w:rsidR="00C0247F" w:rsidRPr="00C0247F">
        <w:rPr>
          <w:rFonts w:ascii="Arial" w:hAnsi="Arial" w:cs="Arial"/>
          <w:sz w:val="22"/>
          <w:szCs w:val="22"/>
        </w:rPr>
        <w:t>1</w:t>
      </w:r>
      <w:r w:rsidR="00974A07" w:rsidRPr="00C0247F">
        <w:rPr>
          <w:rFonts w:ascii="Arial" w:hAnsi="Arial" w:cs="Arial"/>
          <w:sz w:val="22"/>
          <w:szCs w:val="22"/>
        </w:rPr>
        <w:t>], suggesting that its blast wave sustains</w:t>
      </w:r>
      <w:r w:rsidR="009B1F0D" w:rsidRPr="00C0247F">
        <w:rPr>
          <w:rFonts w:ascii="Arial" w:hAnsi="Arial" w:cs="Arial"/>
          <w:sz w:val="22"/>
          <w:szCs w:val="22"/>
        </w:rPr>
        <w:t xml:space="preserve"> its </w:t>
      </w:r>
      <w:r w:rsidR="004E62CA" w:rsidRPr="00C0247F">
        <w:rPr>
          <w:rFonts w:ascii="Arial" w:hAnsi="Arial" w:cs="Arial"/>
          <w:sz w:val="22"/>
          <w:szCs w:val="22"/>
        </w:rPr>
        <w:t>power, intensity,</w:t>
      </w:r>
      <w:r w:rsidR="00974A07" w:rsidRPr="00C0247F">
        <w:rPr>
          <w:rFonts w:ascii="Arial" w:hAnsi="Arial" w:cs="Arial"/>
          <w:sz w:val="22"/>
          <w:szCs w:val="22"/>
        </w:rPr>
        <w:t xml:space="preserve"> and transfers </w:t>
      </w:r>
      <w:r w:rsidR="009B1F0D" w:rsidRPr="00C0247F">
        <w:rPr>
          <w:rFonts w:ascii="Arial" w:hAnsi="Arial" w:cs="Arial"/>
          <w:sz w:val="22"/>
          <w:szCs w:val="22"/>
        </w:rPr>
        <w:t>that</w:t>
      </w:r>
      <w:r w:rsidR="00974A07" w:rsidRPr="00C0247F">
        <w:rPr>
          <w:rFonts w:ascii="Arial" w:hAnsi="Arial" w:cs="Arial"/>
          <w:sz w:val="22"/>
          <w:szCs w:val="22"/>
        </w:rPr>
        <w:t xml:space="preserve"> with great efficiency.</w:t>
      </w:r>
    </w:p>
    <w:p w14:paraId="0F45B7B1" w14:textId="77777777" w:rsidR="00C0247F" w:rsidRPr="00C0247F" w:rsidRDefault="00C0247F" w:rsidP="00C0247F">
      <w:pPr>
        <w:keepNext/>
        <w:spacing w:line="360" w:lineRule="auto"/>
        <w:rPr>
          <w:rFonts w:ascii="Arial" w:hAnsi="Arial" w:cs="Arial"/>
          <w:sz w:val="22"/>
          <w:szCs w:val="22"/>
        </w:rPr>
      </w:pPr>
    </w:p>
    <w:p w14:paraId="0376F1B3" w14:textId="057FB4BF" w:rsidR="00C0247F" w:rsidRPr="00C0247F" w:rsidRDefault="00C0247F" w:rsidP="00C0247F">
      <w:pPr>
        <w:keepNext/>
        <w:spacing w:line="360" w:lineRule="auto"/>
        <w:rPr>
          <w:rFonts w:ascii="Arial" w:hAnsi="Arial" w:cs="Arial"/>
          <w:sz w:val="22"/>
          <w:szCs w:val="22"/>
        </w:rPr>
      </w:pPr>
      <w:r w:rsidRPr="00C0247F">
        <w:rPr>
          <w:rFonts w:ascii="Arial" w:hAnsi="Arial" w:cs="Arial"/>
          <w:noProof/>
          <w:sz w:val="22"/>
          <w:szCs w:val="22"/>
        </w:rPr>
        <w:drawing>
          <wp:inline distT="0" distB="0" distL="0" distR="0" wp14:anchorId="4A5F887C" wp14:editId="4C94DA18">
            <wp:extent cx="5425440" cy="3642360"/>
            <wp:effectExtent l="0" t="0" r="3810" b="0"/>
            <wp:docPr id="2116570185" name="Picture 1"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570185" name="Picture 1" descr="A graph with different colored bars&#10;&#10;AI-generated content may be incorrect."/>
                    <pic:cNvPicPr/>
                  </pic:nvPicPr>
                  <pic:blipFill rotWithShape="1">
                    <a:blip r:embed="rId5"/>
                    <a:srcRect b="11808"/>
                    <a:stretch>
                      <a:fillRect/>
                    </a:stretch>
                  </pic:blipFill>
                  <pic:spPr bwMode="auto">
                    <a:xfrm>
                      <a:off x="0" y="0"/>
                      <a:ext cx="5425910" cy="3642676"/>
                    </a:xfrm>
                    <a:prstGeom prst="rect">
                      <a:avLst/>
                    </a:prstGeom>
                    <a:ln>
                      <a:noFill/>
                    </a:ln>
                    <a:extLst>
                      <a:ext uri="{53640926-AAD7-44D8-BBD7-CCE9431645EC}">
                        <a14:shadowObscured xmlns:a14="http://schemas.microsoft.com/office/drawing/2010/main"/>
                      </a:ext>
                    </a:extLst>
                  </pic:spPr>
                </pic:pic>
              </a:graphicData>
            </a:graphic>
          </wp:inline>
        </w:drawing>
      </w:r>
    </w:p>
    <w:p w14:paraId="052320EB" w14:textId="73389AC7" w:rsidR="00C0247F" w:rsidRPr="00C0247F" w:rsidRDefault="00C0247F" w:rsidP="00C0247F">
      <w:pPr>
        <w:pStyle w:val="Caption"/>
        <w:jc w:val="center"/>
        <w:rPr>
          <w:rFonts w:ascii="Arial" w:hAnsi="Arial" w:cs="Arial"/>
          <w:color w:val="auto"/>
          <w:sz w:val="20"/>
          <w:szCs w:val="20"/>
        </w:rPr>
      </w:pPr>
      <w:r w:rsidRPr="00C0247F">
        <w:rPr>
          <w:rFonts w:ascii="Arial" w:hAnsi="Arial" w:cs="Arial"/>
          <w:color w:val="auto"/>
          <w:sz w:val="20"/>
          <w:szCs w:val="20"/>
        </w:rPr>
        <w:t xml:space="preserve">[Figure </w:t>
      </w:r>
      <w:r w:rsidRPr="00C0247F">
        <w:rPr>
          <w:rFonts w:ascii="Arial" w:hAnsi="Arial" w:cs="Arial"/>
          <w:color w:val="auto"/>
          <w:sz w:val="20"/>
          <w:szCs w:val="20"/>
        </w:rPr>
        <w:fldChar w:fldCharType="begin"/>
      </w:r>
      <w:r w:rsidRPr="00C0247F">
        <w:rPr>
          <w:rFonts w:ascii="Arial" w:hAnsi="Arial" w:cs="Arial"/>
          <w:color w:val="auto"/>
          <w:sz w:val="20"/>
          <w:szCs w:val="20"/>
        </w:rPr>
        <w:instrText xml:space="preserve"> SEQ Figure \* ARABIC </w:instrText>
      </w:r>
      <w:r w:rsidRPr="00C0247F">
        <w:rPr>
          <w:rFonts w:ascii="Arial" w:hAnsi="Arial" w:cs="Arial"/>
          <w:color w:val="auto"/>
          <w:sz w:val="20"/>
          <w:szCs w:val="20"/>
        </w:rPr>
        <w:fldChar w:fldCharType="separate"/>
      </w:r>
      <w:r w:rsidRPr="00C0247F">
        <w:rPr>
          <w:rFonts w:ascii="Arial" w:hAnsi="Arial" w:cs="Arial"/>
          <w:noProof/>
          <w:color w:val="auto"/>
          <w:sz w:val="20"/>
          <w:szCs w:val="20"/>
        </w:rPr>
        <w:t>1</w:t>
      </w:r>
      <w:r w:rsidRPr="00C0247F">
        <w:rPr>
          <w:rFonts w:ascii="Arial" w:hAnsi="Arial" w:cs="Arial"/>
          <w:color w:val="auto"/>
          <w:sz w:val="20"/>
          <w:szCs w:val="20"/>
        </w:rPr>
        <w:fldChar w:fldCharType="end"/>
      </w:r>
      <w:r w:rsidRPr="00C0247F">
        <w:rPr>
          <w:rFonts w:ascii="Arial" w:hAnsi="Arial" w:cs="Arial"/>
          <w:color w:val="auto"/>
          <w:sz w:val="20"/>
          <w:szCs w:val="20"/>
        </w:rPr>
        <w:t>]: Work done by Maytas, showing the influence of the reinforcing cap material on initiation of PETN from primary explosives with a 50% probability.</w:t>
      </w:r>
    </w:p>
    <w:p w14:paraId="32550E09" w14:textId="758A96F9" w:rsidR="001013F7" w:rsidRPr="00C0247F" w:rsidRDefault="00D82DAD" w:rsidP="000B7D3A">
      <w:pPr>
        <w:spacing w:line="360" w:lineRule="auto"/>
        <w:rPr>
          <w:rFonts w:ascii="Arial" w:hAnsi="Arial" w:cs="Arial"/>
          <w:sz w:val="22"/>
          <w:szCs w:val="22"/>
        </w:rPr>
      </w:pPr>
      <w:r w:rsidRPr="00C0247F">
        <w:rPr>
          <w:rFonts w:ascii="Arial" w:hAnsi="Arial" w:cs="Arial"/>
          <w:sz w:val="22"/>
          <w:szCs w:val="22"/>
        </w:rPr>
        <w:t xml:space="preserve"> One of the biggest drawbacks of lead azide is its degradation in ambient conditions, where it produces hydrazoic acid</w:t>
      </w:r>
      <w:r w:rsidR="00C0247F" w:rsidRPr="00C0247F">
        <w:rPr>
          <w:rFonts w:ascii="Arial" w:hAnsi="Arial" w:cs="Arial"/>
          <w:sz w:val="22"/>
          <w:szCs w:val="22"/>
        </w:rPr>
        <w:t xml:space="preserve">. This </w:t>
      </w:r>
      <w:r w:rsidRPr="00C0247F">
        <w:rPr>
          <w:rFonts w:ascii="Arial" w:hAnsi="Arial" w:cs="Arial"/>
          <w:sz w:val="22"/>
          <w:szCs w:val="22"/>
        </w:rPr>
        <w:t>acid reacts to metal surfaces such as copper or brass and cause premature explosions or misfires [</w:t>
      </w:r>
      <w:r w:rsidR="008C2D6C" w:rsidRPr="00C0247F">
        <w:rPr>
          <w:rFonts w:ascii="Arial" w:hAnsi="Arial" w:cs="Arial"/>
          <w:sz w:val="22"/>
          <w:szCs w:val="22"/>
        </w:rPr>
        <w:t>6</w:t>
      </w:r>
      <w:r w:rsidRPr="00C0247F">
        <w:rPr>
          <w:rFonts w:ascii="Arial" w:hAnsi="Arial" w:cs="Arial"/>
          <w:sz w:val="22"/>
          <w:szCs w:val="22"/>
        </w:rPr>
        <w:t xml:space="preserve">]. The degradation itself also poses a risk in terms of producing an explosive that has not been </w:t>
      </w:r>
      <w:r w:rsidR="004E62CA" w:rsidRPr="00C0247F">
        <w:rPr>
          <w:rFonts w:ascii="Arial" w:hAnsi="Arial" w:cs="Arial"/>
          <w:sz w:val="22"/>
          <w:szCs w:val="22"/>
        </w:rPr>
        <w:t>assessed</w:t>
      </w:r>
      <w:r w:rsidRPr="00C0247F">
        <w:rPr>
          <w:rFonts w:ascii="Arial" w:hAnsi="Arial" w:cs="Arial"/>
          <w:sz w:val="22"/>
          <w:szCs w:val="22"/>
        </w:rPr>
        <w:t xml:space="preserve"> (out of specification) and therefore </w:t>
      </w:r>
      <w:r w:rsidRPr="00C0247F">
        <w:rPr>
          <w:rFonts w:ascii="Arial" w:hAnsi="Arial" w:cs="Arial"/>
          <w:sz w:val="22"/>
          <w:szCs w:val="22"/>
        </w:rPr>
        <w:lastRenderedPageBreak/>
        <w:t>has unknown properties. Handling of such material, nevertheless using it for an application, would be deemed unsafe and unwise.</w:t>
      </w:r>
    </w:p>
    <w:p w14:paraId="263FF959" w14:textId="339BDCAD" w:rsidR="006E235A" w:rsidRPr="00C0247F" w:rsidRDefault="00F30BD6" w:rsidP="000B7D3A">
      <w:pPr>
        <w:spacing w:line="360" w:lineRule="auto"/>
        <w:rPr>
          <w:rFonts w:ascii="Arial" w:hAnsi="Arial" w:cs="Arial"/>
          <w:sz w:val="22"/>
          <w:szCs w:val="22"/>
        </w:rPr>
      </w:pPr>
      <w:r w:rsidRPr="00C0247F">
        <w:rPr>
          <w:rFonts w:ascii="Arial" w:hAnsi="Arial" w:cs="Arial"/>
          <w:sz w:val="22"/>
          <w:szCs w:val="22"/>
        </w:rPr>
        <w:t xml:space="preserve">The impact sensitivity of lead azide is </w:t>
      </w:r>
      <w:r w:rsidR="004E62CA" w:rsidRPr="00C0247F">
        <w:rPr>
          <w:rFonts w:ascii="Arial" w:hAnsi="Arial" w:cs="Arial"/>
          <w:sz w:val="22"/>
          <w:szCs w:val="22"/>
        </w:rPr>
        <w:t>bound</w:t>
      </w:r>
      <w:r w:rsidRPr="00C0247F">
        <w:rPr>
          <w:rFonts w:ascii="Arial" w:hAnsi="Arial" w:cs="Arial"/>
          <w:sz w:val="22"/>
          <w:szCs w:val="22"/>
        </w:rPr>
        <w:t xml:space="preserve"> to be between 4-0.5 joules. The tests done by various authors are non-synchronous as the test conditions used for each experiment varies; this will be things such as particle shape and size, allotrope type, purity, </w:t>
      </w:r>
      <w:r w:rsidR="004E62CA" w:rsidRPr="00C0247F">
        <w:rPr>
          <w:rFonts w:ascii="Arial" w:hAnsi="Arial" w:cs="Arial"/>
          <w:sz w:val="22"/>
          <w:szCs w:val="22"/>
        </w:rPr>
        <w:t>shape,</w:t>
      </w:r>
      <w:r w:rsidRPr="00C0247F">
        <w:rPr>
          <w:rFonts w:ascii="Arial" w:hAnsi="Arial" w:cs="Arial"/>
          <w:sz w:val="22"/>
          <w:szCs w:val="22"/>
        </w:rPr>
        <w:t xml:space="preserve"> and surface area of impact, and more.</w:t>
      </w:r>
      <w:r w:rsidR="00D10791" w:rsidRPr="00C0247F">
        <w:rPr>
          <w:rFonts w:ascii="Arial" w:hAnsi="Arial" w:cs="Arial"/>
          <w:sz w:val="22"/>
          <w:szCs w:val="22"/>
        </w:rPr>
        <w:t xml:space="preserve"> As an example, Bowden </w:t>
      </w:r>
      <w:r w:rsidR="004E62CA" w:rsidRPr="00C0247F">
        <w:rPr>
          <w:rFonts w:ascii="Arial" w:hAnsi="Arial" w:cs="Arial"/>
          <w:sz w:val="22"/>
          <w:szCs w:val="22"/>
        </w:rPr>
        <w:t>investigated</w:t>
      </w:r>
      <w:r w:rsidR="00D10791" w:rsidRPr="00C0247F">
        <w:rPr>
          <w:rFonts w:ascii="Arial" w:hAnsi="Arial" w:cs="Arial"/>
          <w:sz w:val="22"/>
          <w:szCs w:val="22"/>
        </w:rPr>
        <w:t xml:space="preserve"> the impact sensitivity of lead azide and varied it by particle size, showing that </w:t>
      </w:r>
      <w:r w:rsidR="0010721F" w:rsidRPr="00C0247F">
        <w:rPr>
          <w:rFonts w:ascii="Arial" w:hAnsi="Arial" w:cs="Arial"/>
          <w:sz w:val="22"/>
          <w:szCs w:val="22"/>
        </w:rPr>
        <w:t>it</w:t>
      </w:r>
      <w:r w:rsidR="00D10791" w:rsidRPr="00C0247F">
        <w:rPr>
          <w:rFonts w:ascii="Arial" w:hAnsi="Arial" w:cs="Arial"/>
          <w:sz w:val="22"/>
          <w:szCs w:val="22"/>
        </w:rPr>
        <w:t xml:space="preserve"> got exponentially more sensitive the smaller the crystals were [</w:t>
      </w:r>
      <w:r w:rsidR="000B51D0" w:rsidRPr="00C0247F">
        <w:rPr>
          <w:rFonts w:ascii="Arial" w:hAnsi="Arial" w:cs="Arial"/>
          <w:sz w:val="22"/>
          <w:szCs w:val="22"/>
        </w:rPr>
        <w:t>7</w:t>
      </w:r>
      <w:r w:rsidR="004E62CA" w:rsidRPr="00C0247F">
        <w:rPr>
          <w:rFonts w:ascii="Arial" w:hAnsi="Arial" w:cs="Arial"/>
          <w:sz w:val="22"/>
          <w:szCs w:val="22"/>
        </w:rPr>
        <w:t>] [</w:t>
      </w:r>
      <w:r w:rsidR="006E235A" w:rsidRPr="00C0247F">
        <w:rPr>
          <w:rFonts w:ascii="Arial" w:hAnsi="Arial" w:cs="Arial"/>
          <w:sz w:val="22"/>
          <w:szCs w:val="22"/>
        </w:rPr>
        <w:t>Figure 2</w:t>
      </w:r>
      <w:r w:rsidR="00D10791" w:rsidRPr="00C0247F">
        <w:rPr>
          <w:rFonts w:ascii="Arial" w:hAnsi="Arial" w:cs="Arial"/>
          <w:sz w:val="22"/>
          <w:szCs w:val="22"/>
        </w:rPr>
        <w:t>]</w:t>
      </w:r>
    </w:p>
    <w:p w14:paraId="79E774C6" w14:textId="77777777" w:rsidR="006E235A" w:rsidRPr="00C0247F" w:rsidRDefault="006E235A" w:rsidP="006E235A">
      <w:pPr>
        <w:keepNext/>
        <w:spacing w:line="360" w:lineRule="auto"/>
        <w:rPr>
          <w:rFonts w:ascii="Arial" w:hAnsi="Arial" w:cs="Arial"/>
          <w:sz w:val="22"/>
          <w:szCs w:val="22"/>
        </w:rPr>
      </w:pPr>
      <w:r w:rsidRPr="00C0247F">
        <w:rPr>
          <w:rFonts w:ascii="Arial" w:hAnsi="Arial" w:cs="Arial"/>
          <w:noProof/>
          <w:sz w:val="22"/>
          <w:szCs w:val="22"/>
        </w:rPr>
        <w:drawing>
          <wp:inline distT="0" distB="0" distL="0" distR="0" wp14:anchorId="5D70A111" wp14:editId="78D6EB4B">
            <wp:extent cx="5731510" cy="3528060"/>
            <wp:effectExtent l="0" t="0" r="2540" b="0"/>
            <wp:docPr id="1902403461" name="Picture 1" descr="A graph of a crystal siz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084597" name="Picture 1" descr="A graph of a crystal size&#10;&#10;AI-generated content may be incorrect."/>
                    <pic:cNvPicPr/>
                  </pic:nvPicPr>
                  <pic:blipFill rotWithShape="1">
                    <a:blip r:embed="rId6"/>
                    <a:srcRect b="6716"/>
                    <a:stretch>
                      <a:fillRect/>
                    </a:stretch>
                  </pic:blipFill>
                  <pic:spPr bwMode="auto">
                    <a:xfrm>
                      <a:off x="0" y="0"/>
                      <a:ext cx="5731510" cy="3528060"/>
                    </a:xfrm>
                    <a:prstGeom prst="rect">
                      <a:avLst/>
                    </a:prstGeom>
                    <a:ln>
                      <a:noFill/>
                    </a:ln>
                    <a:extLst>
                      <a:ext uri="{53640926-AAD7-44D8-BBD7-CCE9431645EC}">
                        <a14:shadowObscured xmlns:a14="http://schemas.microsoft.com/office/drawing/2010/main"/>
                      </a:ext>
                    </a:extLst>
                  </pic:spPr>
                </pic:pic>
              </a:graphicData>
            </a:graphic>
          </wp:inline>
        </w:drawing>
      </w:r>
    </w:p>
    <w:p w14:paraId="3F77CB43" w14:textId="423C637F" w:rsidR="006E235A" w:rsidRPr="00C0247F" w:rsidRDefault="006E235A" w:rsidP="00C0247F">
      <w:pPr>
        <w:pStyle w:val="Caption"/>
        <w:jc w:val="center"/>
        <w:rPr>
          <w:rFonts w:ascii="Arial" w:hAnsi="Arial" w:cs="Arial"/>
          <w:color w:val="auto"/>
          <w:sz w:val="20"/>
          <w:szCs w:val="20"/>
        </w:rPr>
      </w:pPr>
      <w:r w:rsidRPr="00C0247F">
        <w:rPr>
          <w:rFonts w:ascii="Arial" w:hAnsi="Arial" w:cs="Arial"/>
          <w:color w:val="auto"/>
          <w:sz w:val="20"/>
          <w:szCs w:val="20"/>
        </w:rPr>
        <w:t xml:space="preserve">[Figure 2]: Work done by Bowden, found in Maytas Primary explosives, showing the inverse relationship between crystal size and </w:t>
      </w:r>
      <w:r w:rsidR="00C0247F" w:rsidRPr="00C0247F">
        <w:rPr>
          <w:rFonts w:ascii="Arial" w:hAnsi="Arial" w:cs="Arial"/>
          <w:color w:val="auto"/>
          <w:sz w:val="20"/>
          <w:szCs w:val="20"/>
        </w:rPr>
        <w:t>i</w:t>
      </w:r>
      <w:r w:rsidRPr="00C0247F">
        <w:rPr>
          <w:rFonts w:ascii="Arial" w:hAnsi="Arial" w:cs="Arial"/>
          <w:color w:val="auto"/>
          <w:sz w:val="20"/>
          <w:szCs w:val="20"/>
        </w:rPr>
        <w:t xml:space="preserve">mpact </w:t>
      </w:r>
      <w:r w:rsidR="004E62CA" w:rsidRPr="00C0247F">
        <w:rPr>
          <w:rFonts w:ascii="Arial" w:hAnsi="Arial" w:cs="Arial"/>
          <w:color w:val="auto"/>
          <w:sz w:val="20"/>
          <w:szCs w:val="20"/>
        </w:rPr>
        <w:t>energy.</w:t>
      </w:r>
    </w:p>
    <w:p w14:paraId="7CA0FC77" w14:textId="3915338B" w:rsidR="006E235A" w:rsidRPr="00C0247F" w:rsidRDefault="00D10791" w:rsidP="000B7D3A">
      <w:pPr>
        <w:spacing w:line="360" w:lineRule="auto"/>
        <w:rPr>
          <w:rFonts w:ascii="Arial" w:hAnsi="Arial" w:cs="Arial"/>
          <w:sz w:val="22"/>
          <w:szCs w:val="22"/>
        </w:rPr>
      </w:pPr>
      <w:r w:rsidRPr="00C0247F">
        <w:rPr>
          <w:rFonts w:ascii="Arial" w:hAnsi="Arial" w:cs="Arial"/>
          <w:sz w:val="22"/>
          <w:szCs w:val="22"/>
        </w:rPr>
        <w:t>.</w:t>
      </w:r>
      <w:r w:rsidR="009B1F0D" w:rsidRPr="00C0247F">
        <w:rPr>
          <w:rFonts w:ascii="Arial" w:hAnsi="Arial" w:cs="Arial"/>
          <w:sz w:val="22"/>
          <w:szCs w:val="22"/>
        </w:rPr>
        <w:t xml:space="preserve"> </w:t>
      </w:r>
      <w:r w:rsidR="001013F7" w:rsidRPr="00C0247F">
        <w:rPr>
          <w:rFonts w:ascii="Arial" w:hAnsi="Arial" w:cs="Arial"/>
          <w:sz w:val="22"/>
          <w:szCs w:val="22"/>
        </w:rPr>
        <w:t xml:space="preserve"> </w:t>
      </w:r>
      <w:r w:rsidRPr="00C0247F">
        <w:rPr>
          <w:rFonts w:ascii="Arial" w:hAnsi="Arial" w:cs="Arial"/>
          <w:sz w:val="22"/>
          <w:szCs w:val="22"/>
        </w:rPr>
        <w:t xml:space="preserve">The Frictional sensitivity for lead azide is extreme, only second behind silver azide for primary explosives. Work done by Walbaum agrees with the tests performed by </w:t>
      </w:r>
      <w:r w:rsidR="006E235A" w:rsidRPr="00C0247F">
        <w:rPr>
          <w:rFonts w:ascii="Arial" w:hAnsi="Arial" w:cs="Arial"/>
          <w:sz w:val="22"/>
          <w:szCs w:val="22"/>
        </w:rPr>
        <w:t xml:space="preserve">Maytas and </w:t>
      </w:r>
      <w:r w:rsidRPr="00C0247F">
        <w:rPr>
          <w:rFonts w:ascii="Arial" w:hAnsi="Arial" w:cs="Arial"/>
          <w:sz w:val="22"/>
          <w:szCs w:val="22"/>
        </w:rPr>
        <w:t>Meyer</w:t>
      </w:r>
      <w:r w:rsidR="001B022C" w:rsidRPr="00C0247F">
        <w:rPr>
          <w:rFonts w:ascii="Arial" w:hAnsi="Arial" w:cs="Arial"/>
          <w:sz w:val="22"/>
          <w:szCs w:val="22"/>
        </w:rPr>
        <w:t xml:space="preserve"> [</w:t>
      </w:r>
      <w:r w:rsidR="004E0305" w:rsidRPr="00C0247F">
        <w:rPr>
          <w:rFonts w:ascii="Arial" w:hAnsi="Arial" w:cs="Arial"/>
          <w:sz w:val="22"/>
          <w:szCs w:val="22"/>
        </w:rPr>
        <w:t>8]</w:t>
      </w:r>
      <w:r w:rsidR="00C13FA8" w:rsidRPr="00C0247F">
        <w:rPr>
          <w:rFonts w:ascii="Arial" w:hAnsi="Arial" w:cs="Arial"/>
          <w:sz w:val="22"/>
          <w:szCs w:val="22"/>
        </w:rPr>
        <w:t xml:space="preserve"> </w:t>
      </w:r>
      <w:r w:rsidRPr="00C0247F">
        <w:rPr>
          <w:rFonts w:ascii="Arial" w:hAnsi="Arial" w:cs="Arial"/>
          <w:sz w:val="22"/>
          <w:szCs w:val="22"/>
        </w:rPr>
        <w:t>which can be seen in [F</w:t>
      </w:r>
      <w:r w:rsidR="006E235A" w:rsidRPr="00C0247F">
        <w:rPr>
          <w:rFonts w:ascii="Arial" w:hAnsi="Arial" w:cs="Arial"/>
          <w:sz w:val="22"/>
          <w:szCs w:val="22"/>
        </w:rPr>
        <w:t>igure</w:t>
      </w:r>
      <w:r w:rsidRPr="00C0247F">
        <w:rPr>
          <w:rFonts w:ascii="Arial" w:hAnsi="Arial" w:cs="Arial"/>
          <w:sz w:val="22"/>
          <w:szCs w:val="22"/>
        </w:rPr>
        <w:t xml:space="preserve"> </w:t>
      </w:r>
      <w:r w:rsidR="006E235A" w:rsidRPr="00C0247F">
        <w:rPr>
          <w:rFonts w:ascii="Arial" w:hAnsi="Arial" w:cs="Arial"/>
          <w:sz w:val="22"/>
          <w:szCs w:val="22"/>
        </w:rPr>
        <w:t>3</w:t>
      </w:r>
      <w:r w:rsidRPr="00C0247F">
        <w:rPr>
          <w:rFonts w:ascii="Arial" w:hAnsi="Arial" w:cs="Arial"/>
          <w:sz w:val="22"/>
          <w:szCs w:val="22"/>
        </w:rPr>
        <w:t>]</w:t>
      </w:r>
      <w:r w:rsidR="00AF3CF6" w:rsidRPr="00C0247F">
        <w:rPr>
          <w:rFonts w:ascii="Arial" w:hAnsi="Arial" w:cs="Arial"/>
          <w:sz w:val="22"/>
          <w:szCs w:val="22"/>
        </w:rPr>
        <w:t>.</w:t>
      </w:r>
    </w:p>
    <w:p w14:paraId="61055C11" w14:textId="77777777" w:rsidR="006E235A" w:rsidRPr="00C0247F" w:rsidRDefault="006E235A" w:rsidP="006E235A">
      <w:pPr>
        <w:keepNext/>
        <w:spacing w:line="360" w:lineRule="auto"/>
        <w:rPr>
          <w:rFonts w:ascii="Arial" w:hAnsi="Arial" w:cs="Arial"/>
          <w:sz w:val="22"/>
          <w:szCs w:val="22"/>
        </w:rPr>
      </w:pPr>
    </w:p>
    <w:p w14:paraId="694E6E18" w14:textId="3F274816" w:rsidR="006E235A" w:rsidRPr="00C0247F" w:rsidRDefault="006E235A" w:rsidP="006E235A">
      <w:pPr>
        <w:keepNext/>
        <w:spacing w:line="360" w:lineRule="auto"/>
        <w:rPr>
          <w:rFonts w:ascii="Arial" w:hAnsi="Arial" w:cs="Arial"/>
          <w:sz w:val="22"/>
          <w:szCs w:val="22"/>
        </w:rPr>
      </w:pPr>
      <w:r w:rsidRPr="00C0247F">
        <w:rPr>
          <w:rFonts w:ascii="Arial" w:hAnsi="Arial" w:cs="Arial"/>
          <w:noProof/>
          <w:sz w:val="22"/>
          <w:szCs w:val="22"/>
        </w:rPr>
        <w:drawing>
          <wp:inline distT="0" distB="0" distL="0" distR="0" wp14:anchorId="3E83B1F9" wp14:editId="42D34C6A">
            <wp:extent cx="5692140" cy="3649980"/>
            <wp:effectExtent l="0" t="0" r="3810" b="7620"/>
            <wp:docPr id="1729773555" name="Picture 1" descr="A graph of a number of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773555" name="Picture 1" descr="A graph of a number of data&#10;&#10;AI-generated content may be incorrect."/>
                    <pic:cNvPicPr/>
                  </pic:nvPicPr>
                  <pic:blipFill rotWithShape="1">
                    <a:blip r:embed="rId7"/>
                    <a:srcRect b="12592"/>
                    <a:stretch>
                      <a:fillRect/>
                    </a:stretch>
                  </pic:blipFill>
                  <pic:spPr bwMode="auto">
                    <a:xfrm>
                      <a:off x="0" y="0"/>
                      <a:ext cx="5692633" cy="3650296"/>
                    </a:xfrm>
                    <a:prstGeom prst="rect">
                      <a:avLst/>
                    </a:prstGeom>
                    <a:ln>
                      <a:noFill/>
                    </a:ln>
                    <a:extLst>
                      <a:ext uri="{53640926-AAD7-44D8-BBD7-CCE9431645EC}">
                        <a14:shadowObscured xmlns:a14="http://schemas.microsoft.com/office/drawing/2010/main"/>
                      </a:ext>
                    </a:extLst>
                  </pic:spPr>
                </pic:pic>
              </a:graphicData>
            </a:graphic>
          </wp:inline>
        </w:drawing>
      </w:r>
    </w:p>
    <w:p w14:paraId="00E271EE" w14:textId="247A2BF4" w:rsidR="006E235A" w:rsidRDefault="006E235A" w:rsidP="006E235A">
      <w:pPr>
        <w:pStyle w:val="Caption"/>
        <w:rPr>
          <w:rFonts w:ascii="Arial" w:hAnsi="Arial" w:cs="Arial"/>
          <w:color w:val="auto"/>
          <w:sz w:val="20"/>
          <w:szCs w:val="20"/>
        </w:rPr>
      </w:pPr>
      <w:r w:rsidRPr="00C0247F">
        <w:rPr>
          <w:rFonts w:ascii="Arial" w:hAnsi="Arial" w:cs="Arial"/>
          <w:color w:val="auto"/>
          <w:sz w:val="20"/>
          <w:szCs w:val="20"/>
        </w:rPr>
        <w:t xml:space="preserve">[Figure 3]: Frictional sensitivity test by Meyer and Maytas, showing the 50% probability of initiation. </w:t>
      </w:r>
    </w:p>
    <w:p w14:paraId="42C25E71" w14:textId="77777777" w:rsidR="00615F8B" w:rsidRPr="00615F8B" w:rsidRDefault="00615F8B" w:rsidP="00615F8B"/>
    <w:p w14:paraId="648E5648" w14:textId="6A12CE84" w:rsidR="00D10791" w:rsidRPr="00C0247F" w:rsidRDefault="00A23700" w:rsidP="000B7D3A">
      <w:pPr>
        <w:spacing w:line="360" w:lineRule="auto"/>
        <w:rPr>
          <w:rFonts w:ascii="Arial" w:hAnsi="Arial" w:cs="Arial"/>
          <w:sz w:val="22"/>
          <w:szCs w:val="22"/>
        </w:rPr>
      </w:pPr>
      <w:r w:rsidRPr="00C0247F">
        <w:rPr>
          <w:rFonts w:ascii="Arial" w:hAnsi="Arial" w:cs="Arial"/>
          <w:sz w:val="22"/>
          <w:szCs w:val="22"/>
        </w:rPr>
        <w:t>It provides a frictional sensitivity of 0.3-1</w:t>
      </w:r>
      <w:r w:rsidR="001B022C" w:rsidRPr="00C0247F">
        <w:rPr>
          <w:rFonts w:ascii="Arial" w:hAnsi="Arial" w:cs="Arial"/>
          <w:sz w:val="22"/>
          <w:szCs w:val="22"/>
        </w:rPr>
        <w:t>N</w:t>
      </w:r>
      <w:r w:rsidR="00C13FA8" w:rsidRPr="00C0247F">
        <w:rPr>
          <w:rFonts w:ascii="Arial" w:hAnsi="Arial" w:cs="Arial"/>
          <w:sz w:val="22"/>
          <w:szCs w:val="22"/>
        </w:rPr>
        <w:t>.</w:t>
      </w:r>
      <w:r w:rsidR="001013F7" w:rsidRPr="00C0247F">
        <w:rPr>
          <w:rFonts w:ascii="Arial" w:hAnsi="Arial" w:cs="Arial"/>
          <w:sz w:val="22"/>
          <w:szCs w:val="22"/>
        </w:rPr>
        <w:t xml:space="preserve"> </w:t>
      </w:r>
      <w:r w:rsidR="0010721F" w:rsidRPr="00C0247F">
        <w:rPr>
          <w:rFonts w:ascii="Arial" w:hAnsi="Arial" w:cs="Arial"/>
          <w:sz w:val="22"/>
          <w:szCs w:val="22"/>
        </w:rPr>
        <w:t xml:space="preserve">Electrostatic sensitivity of lead azide was done by Rathsburg and Schmitz where they found lead azides charge sensitivity to be comparable to that of </w:t>
      </w:r>
      <w:r w:rsidR="004E62CA" w:rsidRPr="00C0247F">
        <w:rPr>
          <w:rFonts w:ascii="Arial" w:hAnsi="Arial" w:cs="Arial"/>
          <w:sz w:val="22"/>
          <w:szCs w:val="22"/>
        </w:rPr>
        <w:t>nitrosoguanidine [</w:t>
      </w:r>
      <w:r w:rsidR="004E0305" w:rsidRPr="00C0247F">
        <w:rPr>
          <w:rFonts w:ascii="Arial" w:hAnsi="Arial" w:cs="Arial"/>
          <w:sz w:val="22"/>
          <w:szCs w:val="22"/>
        </w:rPr>
        <w:t>9]</w:t>
      </w:r>
      <w:r w:rsidR="00C0247F" w:rsidRPr="00C0247F">
        <w:rPr>
          <w:rFonts w:ascii="Arial" w:hAnsi="Arial" w:cs="Arial"/>
          <w:sz w:val="22"/>
          <w:szCs w:val="22"/>
        </w:rPr>
        <w:t>.</w:t>
      </w:r>
      <w:r w:rsidR="00C13FA8" w:rsidRPr="00C0247F">
        <w:rPr>
          <w:rFonts w:ascii="Arial" w:hAnsi="Arial" w:cs="Arial"/>
          <w:sz w:val="22"/>
          <w:szCs w:val="22"/>
        </w:rPr>
        <w:t xml:space="preserve"> </w:t>
      </w:r>
      <w:r w:rsidRPr="00C0247F">
        <w:rPr>
          <w:rFonts w:ascii="Arial" w:hAnsi="Arial" w:cs="Arial"/>
          <w:sz w:val="22"/>
          <w:szCs w:val="22"/>
        </w:rPr>
        <w:t>They showed that l</w:t>
      </w:r>
      <w:r w:rsidR="0010721F" w:rsidRPr="00C0247F">
        <w:rPr>
          <w:rFonts w:ascii="Arial" w:hAnsi="Arial" w:cs="Arial"/>
          <w:sz w:val="22"/>
          <w:szCs w:val="22"/>
        </w:rPr>
        <w:t>ead azide at 35-50% humidity with a contact area of 200cm</w:t>
      </w:r>
      <w:r w:rsidR="0010721F" w:rsidRPr="00C0247F">
        <w:rPr>
          <w:rFonts w:ascii="Arial" w:hAnsi="Arial" w:cs="Arial"/>
          <w:sz w:val="22"/>
          <w:szCs w:val="22"/>
          <w:vertAlign w:val="superscript"/>
        </w:rPr>
        <w:t>2</w:t>
      </w:r>
      <w:r w:rsidR="0010721F" w:rsidRPr="00C0247F">
        <w:rPr>
          <w:rFonts w:ascii="Arial" w:hAnsi="Arial" w:cs="Arial"/>
          <w:sz w:val="22"/>
          <w:szCs w:val="22"/>
        </w:rPr>
        <w:t xml:space="preserve"> has a maximum charge quantity (before detonation) of 0.2µ, 0.25µ, 0.3µ and 0.34µ at 50g, 100g, 300g and 500g quantities</w:t>
      </w:r>
      <w:r w:rsidRPr="00C0247F">
        <w:rPr>
          <w:rFonts w:ascii="Arial" w:hAnsi="Arial" w:cs="Arial"/>
          <w:sz w:val="22"/>
          <w:szCs w:val="22"/>
        </w:rPr>
        <w:t xml:space="preserve">. </w:t>
      </w:r>
      <w:r w:rsidR="0010721F" w:rsidRPr="00C0247F">
        <w:rPr>
          <w:rFonts w:ascii="Arial" w:hAnsi="Arial" w:cs="Arial"/>
          <w:sz w:val="22"/>
          <w:szCs w:val="22"/>
        </w:rPr>
        <w:t>There ha</w:t>
      </w:r>
      <w:r w:rsidR="001D7CDF" w:rsidRPr="00C0247F">
        <w:rPr>
          <w:rFonts w:ascii="Arial" w:hAnsi="Arial" w:cs="Arial"/>
          <w:sz w:val="22"/>
          <w:szCs w:val="22"/>
        </w:rPr>
        <w:t>ve</w:t>
      </w:r>
      <w:r w:rsidR="0010721F" w:rsidRPr="00C0247F">
        <w:rPr>
          <w:rFonts w:ascii="Arial" w:hAnsi="Arial" w:cs="Arial"/>
          <w:sz w:val="22"/>
          <w:szCs w:val="22"/>
        </w:rPr>
        <w:t xml:space="preserve"> been other experiments such as that from Majzlik J and Strnad J</w:t>
      </w:r>
      <w:r w:rsidR="00C13FA8" w:rsidRPr="00C0247F">
        <w:rPr>
          <w:rFonts w:ascii="Arial" w:hAnsi="Arial" w:cs="Arial"/>
          <w:sz w:val="22"/>
          <w:szCs w:val="22"/>
        </w:rPr>
        <w:t xml:space="preserve">, </w:t>
      </w:r>
      <w:r w:rsidR="0010721F" w:rsidRPr="00C0247F">
        <w:rPr>
          <w:rFonts w:ascii="Arial" w:hAnsi="Arial" w:cs="Arial"/>
          <w:sz w:val="22"/>
          <w:szCs w:val="22"/>
        </w:rPr>
        <w:t>showing a maximum of 6-12mJ</w:t>
      </w:r>
      <w:r w:rsidR="001D7CDF" w:rsidRPr="00C0247F">
        <w:rPr>
          <w:rFonts w:ascii="Arial" w:hAnsi="Arial" w:cs="Arial"/>
          <w:sz w:val="22"/>
          <w:szCs w:val="22"/>
        </w:rPr>
        <w:t xml:space="preserve"> (no stated conditions). The work surrounding primary explosives friction sensitivity remains</w:t>
      </w:r>
      <w:r w:rsidR="004E62CA">
        <w:rPr>
          <w:rFonts w:ascii="Arial" w:hAnsi="Arial" w:cs="Arial"/>
          <w:sz w:val="22"/>
          <w:szCs w:val="22"/>
        </w:rPr>
        <w:t xml:space="preserve"> relatively</w:t>
      </w:r>
      <w:r w:rsidR="001D7CDF" w:rsidRPr="00C0247F">
        <w:rPr>
          <w:rFonts w:ascii="Arial" w:hAnsi="Arial" w:cs="Arial"/>
          <w:sz w:val="22"/>
          <w:szCs w:val="22"/>
        </w:rPr>
        <w:t xml:space="preserve"> unexplored to this day.</w:t>
      </w:r>
    </w:p>
    <w:p w14:paraId="6879E12B" w14:textId="2C7982D9" w:rsidR="00AF3CF6" w:rsidRPr="00C0247F" w:rsidRDefault="009B1F0D" w:rsidP="000B7D3A">
      <w:pPr>
        <w:spacing w:line="360" w:lineRule="auto"/>
        <w:rPr>
          <w:rFonts w:ascii="Arial" w:hAnsi="Arial" w:cs="Arial"/>
          <w:sz w:val="22"/>
          <w:szCs w:val="22"/>
        </w:rPr>
      </w:pPr>
      <w:r w:rsidRPr="00C0247F">
        <w:rPr>
          <w:rFonts w:ascii="Arial" w:hAnsi="Arial" w:cs="Arial"/>
          <w:sz w:val="22"/>
          <w:szCs w:val="22"/>
        </w:rPr>
        <w:t>Research by</w:t>
      </w:r>
      <w:r w:rsidR="004E62CA">
        <w:rPr>
          <w:rFonts w:ascii="Arial" w:hAnsi="Arial" w:cs="Arial"/>
          <w:sz w:val="22"/>
          <w:szCs w:val="22"/>
        </w:rPr>
        <w:t xml:space="preserve"> Walker</w:t>
      </w:r>
      <w:r w:rsidRPr="00C0247F">
        <w:rPr>
          <w:rFonts w:ascii="Arial" w:hAnsi="Arial" w:cs="Arial"/>
          <w:sz w:val="22"/>
          <w:szCs w:val="22"/>
        </w:rPr>
        <w:t xml:space="preserve"> [</w:t>
      </w:r>
      <w:r w:rsidR="004E0305" w:rsidRPr="00C0247F">
        <w:rPr>
          <w:rFonts w:ascii="Arial" w:hAnsi="Arial" w:cs="Arial"/>
          <w:sz w:val="22"/>
          <w:szCs w:val="22"/>
        </w:rPr>
        <w:t>10</w:t>
      </w:r>
      <w:r w:rsidRPr="00C0247F">
        <w:rPr>
          <w:rFonts w:ascii="Arial" w:hAnsi="Arial" w:cs="Arial"/>
          <w:sz w:val="22"/>
          <w:szCs w:val="22"/>
        </w:rPr>
        <w:t xml:space="preserve">] suggests that the standard tests act more to simulate than to discern any real </w:t>
      </w:r>
      <w:r w:rsidR="004E62CA" w:rsidRPr="00C0247F">
        <w:rPr>
          <w:rFonts w:ascii="Arial" w:hAnsi="Arial" w:cs="Arial"/>
          <w:sz w:val="22"/>
          <w:szCs w:val="22"/>
        </w:rPr>
        <w:t>mechanism and</w:t>
      </w:r>
      <w:r w:rsidRPr="00C0247F">
        <w:rPr>
          <w:rFonts w:ascii="Arial" w:hAnsi="Arial" w:cs="Arial"/>
          <w:sz w:val="22"/>
          <w:szCs w:val="22"/>
        </w:rPr>
        <w:t xml:space="preserve"> proposes standardisations for tests done on azides.</w:t>
      </w:r>
      <w:r w:rsidR="00D10791" w:rsidRPr="00C0247F">
        <w:rPr>
          <w:rFonts w:ascii="Arial" w:hAnsi="Arial" w:cs="Arial"/>
          <w:sz w:val="22"/>
          <w:szCs w:val="22"/>
        </w:rPr>
        <w:t xml:space="preserve"> </w:t>
      </w:r>
    </w:p>
    <w:p w14:paraId="08EA34A4" w14:textId="73A29A6D" w:rsidR="00F80923" w:rsidRPr="00C0247F" w:rsidRDefault="00FA4D6D" w:rsidP="00C0247F">
      <w:pPr>
        <w:spacing w:line="360" w:lineRule="auto"/>
        <w:jc w:val="center"/>
        <w:rPr>
          <w:rFonts w:ascii="Arial" w:hAnsi="Arial" w:cs="Arial"/>
          <w:b/>
          <w:bCs/>
          <w:sz w:val="28"/>
          <w:szCs w:val="28"/>
        </w:rPr>
      </w:pPr>
      <w:r w:rsidRPr="00C0247F">
        <w:rPr>
          <w:rFonts w:ascii="Arial" w:hAnsi="Arial" w:cs="Arial"/>
          <w:b/>
          <w:bCs/>
          <w:sz w:val="28"/>
          <w:szCs w:val="28"/>
        </w:rPr>
        <w:t>TNT</w:t>
      </w:r>
      <w:r w:rsidR="00EB1FAC">
        <w:rPr>
          <w:rFonts w:ascii="Arial" w:hAnsi="Arial" w:cs="Arial"/>
          <w:b/>
          <w:bCs/>
          <w:sz w:val="28"/>
          <w:szCs w:val="28"/>
        </w:rPr>
        <w:t xml:space="preserve"> - Secondary</w:t>
      </w:r>
    </w:p>
    <w:p w14:paraId="7BEC7746" w14:textId="6043FF75" w:rsidR="00E00EB1" w:rsidRPr="00C0247F" w:rsidRDefault="00E00EB1" w:rsidP="000B7D3A">
      <w:pPr>
        <w:spacing w:line="360" w:lineRule="auto"/>
        <w:rPr>
          <w:rFonts w:ascii="Arial" w:hAnsi="Arial" w:cs="Arial"/>
          <w:sz w:val="22"/>
          <w:szCs w:val="22"/>
        </w:rPr>
      </w:pPr>
      <w:r w:rsidRPr="00C0247F">
        <w:rPr>
          <w:rFonts w:ascii="Arial" w:hAnsi="Arial" w:cs="Arial"/>
          <w:sz w:val="22"/>
          <w:szCs w:val="22"/>
        </w:rPr>
        <w:t xml:space="preserve">TNT can exist as </w:t>
      </w:r>
      <w:r w:rsidR="004E62CA" w:rsidRPr="00C0247F">
        <w:rPr>
          <w:rFonts w:ascii="Arial" w:hAnsi="Arial" w:cs="Arial"/>
          <w:sz w:val="22"/>
          <w:szCs w:val="22"/>
        </w:rPr>
        <w:t>six</w:t>
      </w:r>
      <w:r w:rsidRPr="00C0247F">
        <w:rPr>
          <w:rFonts w:ascii="Arial" w:hAnsi="Arial" w:cs="Arial"/>
          <w:sz w:val="22"/>
          <w:szCs w:val="22"/>
        </w:rPr>
        <w:t xml:space="preserve"> different isomers, but the one </w:t>
      </w:r>
      <w:r w:rsidR="004D002A" w:rsidRPr="00C0247F">
        <w:rPr>
          <w:rFonts w:ascii="Arial" w:hAnsi="Arial" w:cs="Arial"/>
          <w:sz w:val="22"/>
          <w:szCs w:val="22"/>
        </w:rPr>
        <w:t xml:space="preserve">commonly </w:t>
      </w:r>
      <w:r w:rsidRPr="00C0247F">
        <w:rPr>
          <w:rFonts w:ascii="Arial" w:hAnsi="Arial" w:cs="Arial"/>
          <w:sz w:val="22"/>
          <w:szCs w:val="22"/>
        </w:rPr>
        <w:t xml:space="preserve">used in the explosives industry is isomer 2,4,6-trinitrotoluene. </w:t>
      </w:r>
      <w:r w:rsidR="004D002A" w:rsidRPr="00C0247F">
        <w:rPr>
          <w:rFonts w:ascii="Arial" w:hAnsi="Arial" w:cs="Arial"/>
          <w:sz w:val="22"/>
          <w:szCs w:val="22"/>
        </w:rPr>
        <w:t xml:space="preserve">Pelletier and Walter first prepared </w:t>
      </w:r>
      <w:r w:rsidR="00DB7767" w:rsidRPr="00C0247F">
        <w:rPr>
          <w:rFonts w:ascii="Arial" w:hAnsi="Arial" w:cs="Arial"/>
          <w:sz w:val="22"/>
          <w:szCs w:val="22"/>
        </w:rPr>
        <w:t>a precursor</w:t>
      </w:r>
      <w:r w:rsidR="004D002A" w:rsidRPr="00C0247F">
        <w:rPr>
          <w:rFonts w:ascii="Arial" w:hAnsi="Arial" w:cs="Arial"/>
          <w:sz w:val="22"/>
          <w:szCs w:val="22"/>
        </w:rPr>
        <w:t xml:space="preserve"> solution known as toluene in 1837, with its first nitration taking place in 1841</w:t>
      </w:r>
      <w:r w:rsidR="004E62CA">
        <w:rPr>
          <w:rFonts w:ascii="Arial" w:hAnsi="Arial" w:cs="Arial"/>
          <w:sz w:val="22"/>
          <w:szCs w:val="22"/>
        </w:rPr>
        <w:t xml:space="preserve"> [1]</w:t>
      </w:r>
      <w:r w:rsidR="004D002A" w:rsidRPr="00C0247F">
        <w:rPr>
          <w:rFonts w:ascii="Arial" w:hAnsi="Arial" w:cs="Arial"/>
          <w:sz w:val="22"/>
          <w:szCs w:val="22"/>
        </w:rPr>
        <w:t xml:space="preserve">. Wilbrand then prepared </w:t>
      </w:r>
      <w:r w:rsidR="00657011" w:rsidRPr="00C0247F">
        <w:rPr>
          <w:rFonts w:ascii="Arial" w:hAnsi="Arial" w:cs="Arial"/>
          <w:sz w:val="22"/>
          <w:szCs w:val="22"/>
        </w:rPr>
        <w:t xml:space="preserve">TNT in 1863, with the 2-4-6 polymer first synthesised by Hepp in 1880. Its structure was then </w:t>
      </w:r>
      <w:r w:rsidR="00657011" w:rsidRPr="00C0247F">
        <w:rPr>
          <w:rFonts w:ascii="Arial" w:hAnsi="Arial" w:cs="Arial"/>
          <w:sz w:val="22"/>
          <w:szCs w:val="22"/>
        </w:rPr>
        <w:lastRenderedPageBreak/>
        <w:t>later studied by Claus and Becker in 1883 and later manufactured in Germany for use starting in 1891</w:t>
      </w:r>
      <w:r w:rsidR="00D7065F" w:rsidRPr="00C0247F">
        <w:rPr>
          <w:rFonts w:ascii="Arial" w:hAnsi="Arial" w:cs="Arial"/>
          <w:sz w:val="22"/>
          <w:szCs w:val="22"/>
        </w:rPr>
        <w:t xml:space="preserve"> </w:t>
      </w:r>
      <w:r w:rsidR="004E0305" w:rsidRPr="00C0247F">
        <w:rPr>
          <w:rFonts w:ascii="Arial" w:hAnsi="Arial" w:cs="Arial"/>
          <w:sz w:val="22"/>
          <w:szCs w:val="22"/>
        </w:rPr>
        <w:t>[11</w:t>
      </w:r>
      <w:r w:rsidR="00D7065F" w:rsidRPr="00C0247F">
        <w:rPr>
          <w:rFonts w:ascii="Arial" w:hAnsi="Arial" w:cs="Arial"/>
          <w:sz w:val="22"/>
          <w:szCs w:val="22"/>
        </w:rPr>
        <w:t>]</w:t>
      </w:r>
      <w:r w:rsidR="00657011" w:rsidRPr="00C0247F">
        <w:rPr>
          <w:rFonts w:ascii="Arial" w:hAnsi="Arial" w:cs="Arial"/>
          <w:sz w:val="22"/>
          <w:szCs w:val="22"/>
        </w:rPr>
        <w:t>.</w:t>
      </w:r>
    </w:p>
    <w:p w14:paraId="4B386305" w14:textId="56E23D23" w:rsidR="006815A2" w:rsidRPr="00C0247F" w:rsidRDefault="00657011" w:rsidP="000B7D3A">
      <w:pPr>
        <w:spacing w:line="360" w:lineRule="auto"/>
        <w:rPr>
          <w:rFonts w:ascii="Arial" w:hAnsi="Arial" w:cs="Arial"/>
          <w:sz w:val="22"/>
          <w:szCs w:val="22"/>
        </w:rPr>
      </w:pPr>
      <w:r w:rsidRPr="00C0247F">
        <w:rPr>
          <w:rFonts w:ascii="Arial" w:hAnsi="Arial" w:cs="Arial"/>
          <w:sz w:val="22"/>
          <w:szCs w:val="22"/>
        </w:rPr>
        <w:t>TNT is widely desirable due to its</w:t>
      </w:r>
      <w:r w:rsidR="00DB7767" w:rsidRPr="00C0247F">
        <w:rPr>
          <w:rFonts w:ascii="Arial" w:hAnsi="Arial" w:cs="Arial"/>
          <w:sz w:val="22"/>
          <w:szCs w:val="22"/>
        </w:rPr>
        <w:t xml:space="preserve"> blasting effects. It is </w:t>
      </w:r>
      <w:r w:rsidR="004E62CA" w:rsidRPr="00C0247F">
        <w:rPr>
          <w:rFonts w:ascii="Arial" w:hAnsi="Arial" w:cs="Arial"/>
          <w:sz w:val="22"/>
          <w:szCs w:val="22"/>
        </w:rPr>
        <w:t>safe</w:t>
      </w:r>
      <w:r w:rsidR="00DB7767" w:rsidRPr="00C0247F">
        <w:rPr>
          <w:rFonts w:ascii="Arial" w:hAnsi="Arial" w:cs="Arial"/>
          <w:sz w:val="22"/>
          <w:szCs w:val="22"/>
        </w:rPr>
        <w:t xml:space="preserve"> to handle due to its low sensitivity (Figure of Insensitiveness &gt;50, 152)</w:t>
      </w:r>
      <w:r w:rsidR="00565DB0" w:rsidRPr="00C0247F">
        <w:rPr>
          <w:rFonts w:ascii="Arial" w:hAnsi="Arial" w:cs="Arial"/>
          <w:sz w:val="22"/>
          <w:szCs w:val="22"/>
        </w:rPr>
        <w:t xml:space="preserve"> </w:t>
      </w:r>
      <w:r w:rsidR="00DB7767" w:rsidRPr="00C0247F">
        <w:rPr>
          <w:rFonts w:ascii="Arial" w:hAnsi="Arial" w:cs="Arial"/>
          <w:sz w:val="22"/>
          <w:szCs w:val="22"/>
        </w:rPr>
        <w:t xml:space="preserve">and is </w:t>
      </w:r>
      <w:r w:rsidR="004E62CA" w:rsidRPr="00C0247F">
        <w:rPr>
          <w:rFonts w:ascii="Arial" w:hAnsi="Arial" w:cs="Arial"/>
          <w:sz w:val="22"/>
          <w:szCs w:val="22"/>
        </w:rPr>
        <w:t>cheap</w:t>
      </w:r>
      <w:r w:rsidR="00DB7767" w:rsidRPr="00C0247F">
        <w:rPr>
          <w:rFonts w:ascii="Arial" w:hAnsi="Arial" w:cs="Arial"/>
          <w:sz w:val="22"/>
          <w:szCs w:val="22"/>
        </w:rPr>
        <w:t xml:space="preserve"> to manufacture as it can be cast or pressed (although its vapours are toxic). It also has </w:t>
      </w:r>
      <w:r w:rsidR="004E62CA" w:rsidRPr="00C0247F">
        <w:rPr>
          <w:rFonts w:ascii="Arial" w:hAnsi="Arial" w:cs="Arial"/>
          <w:sz w:val="22"/>
          <w:szCs w:val="22"/>
        </w:rPr>
        <w:t>remarkably high</w:t>
      </w:r>
      <w:r w:rsidR="00DB7767" w:rsidRPr="00C0247F">
        <w:rPr>
          <w:rFonts w:ascii="Arial" w:hAnsi="Arial" w:cs="Arial"/>
          <w:sz w:val="22"/>
          <w:szCs w:val="22"/>
        </w:rPr>
        <w:t xml:space="preserve"> explosive power and a good compatibility with other explosives.</w:t>
      </w:r>
      <w:r w:rsidR="005E3481" w:rsidRPr="00C0247F">
        <w:rPr>
          <w:rFonts w:ascii="Arial" w:hAnsi="Arial" w:cs="Arial"/>
          <w:sz w:val="22"/>
          <w:szCs w:val="22"/>
        </w:rPr>
        <w:t xml:space="preserve"> The velocity of its detonation</w:t>
      </w:r>
      <w:r w:rsidR="001013F7" w:rsidRPr="00C0247F">
        <w:rPr>
          <w:rFonts w:ascii="Arial" w:hAnsi="Arial" w:cs="Arial"/>
          <w:sz w:val="22"/>
          <w:szCs w:val="22"/>
        </w:rPr>
        <w:t xml:space="preserve"> varies</w:t>
      </w:r>
      <w:r w:rsidR="005E3481" w:rsidRPr="00C0247F">
        <w:rPr>
          <w:rFonts w:ascii="Arial" w:hAnsi="Arial" w:cs="Arial"/>
          <w:sz w:val="22"/>
          <w:szCs w:val="22"/>
        </w:rPr>
        <w:t xml:space="preserve"> with its density. </w:t>
      </w:r>
      <w:r w:rsidR="00C0247F" w:rsidRPr="00C0247F">
        <w:rPr>
          <w:rFonts w:ascii="Arial" w:hAnsi="Arial" w:cs="Arial"/>
          <w:sz w:val="22"/>
          <w:szCs w:val="22"/>
        </w:rPr>
        <w:t>The below table [Table 2]</w:t>
      </w:r>
      <w:r w:rsidR="005E3481" w:rsidRPr="00C0247F">
        <w:rPr>
          <w:rFonts w:ascii="Arial" w:hAnsi="Arial" w:cs="Arial"/>
          <w:sz w:val="22"/>
          <w:szCs w:val="22"/>
        </w:rPr>
        <w:t xml:space="preserve"> shows</w:t>
      </w:r>
      <w:r w:rsidR="002476D2" w:rsidRPr="00C0247F">
        <w:rPr>
          <w:rFonts w:ascii="Arial" w:hAnsi="Arial" w:cs="Arial"/>
          <w:sz w:val="22"/>
          <w:szCs w:val="22"/>
        </w:rPr>
        <w:t xml:space="preserve"> the main properties of TNT as well as</w:t>
      </w:r>
      <w:r w:rsidR="005E3481" w:rsidRPr="00C0247F">
        <w:rPr>
          <w:rFonts w:ascii="Arial" w:hAnsi="Arial" w:cs="Arial"/>
          <w:sz w:val="22"/>
          <w:szCs w:val="22"/>
        </w:rPr>
        <w:t xml:space="preserve"> a few different velocities at different densities and manufacturing methods</w:t>
      </w:r>
      <w:r w:rsidR="002476D2" w:rsidRPr="00C0247F">
        <w:rPr>
          <w:rFonts w:ascii="Arial" w:hAnsi="Arial" w:cs="Arial"/>
          <w:sz w:val="22"/>
          <w:szCs w:val="22"/>
        </w:rPr>
        <w:t>, up to the largest found value of 8600m/s at a density of 1.77g/cm</w:t>
      </w:r>
      <w:r w:rsidR="002476D2" w:rsidRPr="00C0247F">
        <w:rPr>
          <w:rFonts w:ascii="Arial" w:hAnsi="Arial" w:cs="Arial"/>
          <w:sz w:val="22"/>
          <w:szCs w:val="22"/>
          <w:vertAlign w:val="superscript"/>
        </w:rPr>
        <w:t>3</w:t>
      </w:r>
      <w:r w:rsidR="002476D2" w:rsidRPr="00C0247F">
        <w:rPr>
          <w:rFonts w:ascii="Arial" w:hAnsi="Arial" w:cs="Arial"/>
          <w:sz w:val="22"/>
          <w:szCs w:val="22"/>
        </w:rPr>
        <w:t>.</w:t>
      </w:r>
    </w:p>
    <w:p w14:paraId="0D2AAFA6" w14:textId="4CD481DC" w:rsidR="00DB7767" w:rsidRPr="00C0247F" w:rsidRDefault="00DB7767" w:rsidP="000B7D3A">
      <w:pPr>
        <w:spacing w:line="360" w:lineRule="auto"/>
        <w:rPr>
          <w:rFonts w:ascii="Arial" w:hAnsi="Arial" w:cs="Arial"/>
          <w:sz w:val="22"/>
          <w:szCs w:val="22"/>
        </w:rPr>
      </w:pPr>
      <w:r w:rsidRPr="00C0247F">
        <w:rPr>
          <w:rFonts w:ascii="Arial" w:hAnsi="Arial" w:cs="Arial"/>
          <w:sz w:val="22"/>
          <w:szCs w:val="22"/>
        </w:rPr>
        <w:t>When set, TNT readily forms large crystals on solidification</w:t>
      </w:r>
      <w:r w:rsidR="009E2334" w:rsidRPr="00C0247F">
        <w:rPr>
          <w:rFonts w:ascii="Arial" w:hAnsi="Arial" w:cs="Arial"/>
          <w:sz w:val="22"/>
          <w:szCs w:val="22"/>
        </w:rPr>
        <w:t>,</w:t>
      </w:r>
      <w:r w:rsidRPr="00C0247F">
        <w:rPr>
          <w:rFonts w:ascii="Arial" w:hAnsi="Arial" w:cs="Arial"/>
          <w:sz w:val="22"/>
          <w:szCs w:val="22"/>
        </w:rPr>
        <w:t xml:space="preserve"> </w:t>
      </w:r>
      <w:r w:rsidR="009E2334" w:rsidRPr="00C0247F">
        <w:rPr>
          <w:rFonts w:ascii="Arial" w:hAnsi="Arial" w:cs="Arial"/>
          <w:sz w:val="22"/>
          <w:szCs w:val="22"/>
        </w:rPr>
        <w:t>t</w:t>
      </w:r>
      <w:r w:rsidRPr="00C0247F">
        <w:rPr>
          <w:rFonts w:ascii="Arial" w:hAnsi="Arial" w:cs="Arial"/>
          <w:sz w:val="22"/>
          <w:szCs w:val="22"/>
        </w:rPr>
        <w:t xml:space="preserve">he 2-4-6 isomer has large yellow needle shapes. </w:t>
      </w:r>
      <w:r w:rsidR="009E2334" w:rsidRPr="00C0247F">
        <w:rPr>
          <w:rFonts w:ascii="Arial" w:hAnsi="Arial" w:cs="Arial"/>
          <w:sz w:val="22"/>
          <w:szCs w:val="22"/>
        </w:rPr>
        <w:t>Upon cooling,</w:t>
      </w:r>
      <w:r w:rsidRPr="00C0247F">
        <w:rPr>
          <w:rFonts w:ascii="Arial" w:hAnsi="Arial" w:cs="Arial"/>
          <w:sz w:val="22"/>
          <w:szCs w:val="22"/>
        </w:rPr>
        <w:t xml:space="preserve"> the crystals nucleate </w:t>
      </w:r>
      <w:r w:rsidR="009E2334" w:rsidRPr="00C0247F">
        <w:rPr>
          <w:rFonts w:ascii="Arial" w:hAnsi="Arial" w:cs="Arial"/>
          <w:sz w:val="22"/>
          <w:szCs w:val="22"/>
        </w:rPr>
        <w:t>at the cooler edges (heat loss)</w:t>
      </w:r>
      <w:r w:rsidRPr="00C0247F">
        <w:rPr>
          <w:rFonts w:ascii="Arial" w:hAnsi="Arial" w:cs="Arial"/>
          <w:sz w:val="22"/>
          <w:szCs w:val="22"/>
        </w:rPr>
        <w:t xml:space="preserve"> and grow towards the centre</w:t>
      </w:r>
      <w:r w:rsidR="009E2334" w:rsidRPr="00C0247F">
        <w:rPr>
          <w:rFonts w:ascii="Arial" w:hAnsi="Arial" w:cs="Arial"/>
          <w:sz w:val="22"/>
          <w:szCs w:val="22"/>
        </w:rPr>
        <w:t>, producing directional patterns</w:t>
      </w:r>
      <w:r w:rsidR="00565DB0" w:rsidRPr="00C0247F">
        <w:rPr>
          <w:rFonts w:ascii="Arial" w:hAnsi="Arial" w:cs="Arial"/>
          <w:sz w:val="22"/>
          <w:szCs w:val="22"/>
        </w:rPr>
        <w:t xml:space="preserve"> </w:t>
      </w:r>
      <w:r w:rsidR="004E62CA">
        <w:rPr>
          <w:rFonts w:ascii="Arial" w:hAnsi="Arial" w:cs="Arial"/>
          <w:sz w:val="22"/>
          <w:szCs w:val="22"/>
        </w:rPr>
        <w:t>[</w:t>
      </w:r>
      <w:r w:rsidR="004E0305" w:rsidRPr="00C0247F">
        <w:rPr>
          <w:rFonts w:ascii="Arial" w:hAnsi="Arial" w:cs="Arial"/>
          <w:sz w:val="22"/>
          <w:szCs w:val="22"/>
        </w:rPr>
        <w:t>12</w:t>
      </w:r>
      <w:r w:rsidR="004E62CA">
        <w:rPr>
          <w:rFonts w:ascii="Arial" w:hAnsi="Arial" w:cs="Arial"/>
          <w:sz w:val="22"/>
          <w:szCs w:val="22"/>
        </w:rPr>
        <w:t>]</w:t>
      </w:r>
      <w:r w:rsidR="009E2334" w:rsidRPr="00C0247F">
        <w:rPr>
          <w:rFonts w:ascii="Arial" w:hAnsi="Arial" w:cs="Arial"/>
          <w:sz w:val="22"/>
          <w:szCs w:val="22"/>
        </w:rPr>
        <w:t>. Sadly, this causes a weakness in its structure where cracks are more readily able to form. Furthermore, TNT degrades when exposed to light and undergoes autocatalytic</w:t>
      </w:r>
      <w:r w:rsidR="00615F8B">
        <w:rPr>
          <w:rFonts w:ascii="Arial" w:hAnsi="Arial" w:cs="Arial"/>
          <w:sz w:val="22"/>
          <w:szCs w:val="22"/>
        </w:rPr>
        <w:t xml:space="preserve"> thermal</w:t>
      </w:r>
      <w:r w:rsidR="009E2334" w:rsidRPr="00C0247F">
        <w:rPr>
          <w:rFonts w:ascii="Arial" w:hAnsi="Arial" w:cs="Arial"/>
          <w:sz w:val="22"/>
          <w:szCs w:val="22"/>
        </w:rPr>
        <w:t xml:space="preserve"> decomposition, producing eutectics which travel through its filling and exude towards any open surface</w:t>
      </w:r>
      <w:r w:rsidR="00DF7F6E" w:rsidRPr="00C0247F">
        <w:rPr>
          <w:rFonts w:ascii="Arial" w:hAnsi="Arial" w:cs="Arial"/>
          <w:sz w:val="22"/>
          <w:szCs w:val="22"/>
        </w:rPr>
        <w:t xml:space="preserve">. </w:t>
      </w:r>
      <w:r w:rsidR="004E0305" w:rsidRPr="00C0247F">
        <w:rPr>
          <w:rFonts w:ascii="Arial" w:hAnsi="Arial" w:cs="Arial"/>
          <w:sz w:val="22"/>
          <w:szCs w:val="22"/>
        </w:rPr>
        <w:t>These eutectics can have wildly different properties than TNT, such as a detonation velocity of 8000</w:t>
      </w:r>
      <w:r w:rsidR="004E62CA">
        <w:rPr>
          <w:rFonts w:ascii="Arial" w:hAnsi="Arial" w:cs="Arial"/>
          <w:sz w:val="22"/>
          <w:szCs w:val="22"/>
        </w:rPr>
        <w:t>m/s</w:t>
      </w:r>
      <w:r w:rsidR="004E0305" w:rsidRPr="00C0247F">
        <w:rPr>
          <w:rFonts w:ascii="Arial" w:hAnsi="Arial" w:cs="Arial"/>
          <w:sz w:val="22"/>
          <w:szCs w:val="22"/>
        </w:rPr>
        <w:t xml:space="preserve"> and a density of over 1.8/cm</w:t>
      </w:r>
      <w:r w:rsidR="004E0305" w:rsidRPr="00C0247F">
        <w:rPr>
          <w:rFonts w:ascii="Arial" w:hAnsi="Arial" w:cs="Arial"/>
          <w:sz w:val="22"/>
          <w:szCs w:val="22"/>
          <w:vertAlign w:val="superscript"/>
        </w:rPr>
        <w:t>3</w:t>
      </w:r>
      <w:r w:rsidR="00DF7F6E" w:rsidRPr="00C0247F">
        <w:rPr>
          <w:rFonts w:ascii="Arial" w:hAnsi="Arial" w:cs="Arial"/>
          <w:sz w:val="22"/>
          <w:szCs w:val="22"/>
        </w:rPr>
        <w:t xml:space="preserve"> [13]. </w:t>
      </w:r>
      <w:r w:rsidR="004E62CA">
        <w:rPr>
          <w:rFonts w:ascii="Arial" w:hAnsi="Arial" w:cs="Arial"/>
          <w:sz w:val="22"/>
          <w:szCs w:val="22"/>
        </w:rPr>
        <w:t>Also, due to TNT’s</w:t>
      </w:r>
      <w:r w:rsidR="00615F8B">
        <w:rPr>
          <w:rFonts w:ascii="Arial" w:hAnsi="Arial" w:cs="Arial"/>
          <w:sz w:val="22"/>
          <w:szCs w:val="22"/>
        </w:rPr>
        <w:t xml:space="preserve"> large</w:t>
      </w:r>
      <w:r w:rsidR="004E62CA">
        <w:rPr>
          <w:rFonts w:ascii="Arial" w:hAnsi="Arial" w:cs="Arial"/>
          <w:sz w:val="22"/>
          <w:szCs w:val="22"/>
        </w:rPr>
        <w:t xml:space="preserve"> negative oxygen balance, it produces a large amount of soot when detonated.</w:t>
      </w:r>
    </w:p>
    <w:tbl>
      <w:tblPr>
        <w:tblStyle w:val="TableGrid"/>
        <w:tblW w:w="0" w:type="auto"/>
        <w:tblLook w:val="04A0" w:firstRow="1" w:lastRow="0" w:firstColumn="1" w:lastColumn="0" w:noHBand="0" w:noVBand="1"/>
      </w:tblPr>
      <w:tblGrid>
        <w:gridCol w:w="4508"/>
        <w:gridCol w:w="4508"/>
      </w:tblGrid>
      <w:tr w:rsidR="00C0247F" w:rsidRPr="00C0247F" w14:paraId="3FEB6505" w14:textId="77777777" w:rsidTr="00707AF5">
        <w:tc>
          <w:tcPr>
            <w:tcW w:w="4508" w:type="dxa"/>
          </w:tcPr>
          <w:p w14:paraId="4BDEAB3D" w14:textId="77777777" w:rsidR="00FA4D6D" w:rsidRPr="00C0247F" w:rsidRDefault="00FA4D6D" w:rsidP="000B7D3A">
            <w:pPr>
              <w:spacing w:line="360" w:lineRule="auto"/>
              <w:rPr>
                <w:rFonts w:ascii="Arial" w:hAnsi="Arial" w:cs="Arial"/>
                <w:sz w:val="22"/>
                <w:szCs w:val="22"/>
              </w:rPr>
            </w:pPr>
          </w:p>
        </w:tc>
        <w:tc>
          <w:tcPr>
            <w:tcW w:w="4508" w:type="dxa"/>
          </w:tcPr>
          <w:p w14:paraId="385C1701" w14:textId="28FBD344" w:rsidR="00FA4D6D" w:rsidRPr="00C0247F" w:rsidRDefault="006815A2" w:rsidP="000B7D3A">
            <w:pPr>
              <w:spacing w:line="360" w:lineRule="auto"/>
              <w:rPr>
                <w:rFonts w:ascii="Arial" w:hAnsi="Arial" w:cs="Arial"/>
                <w:b/>
                <w:bCs/>
                <w:sz w:val="22"/>
                <w:szCs w:val="22"/>
              </w:rPr>
            </w:pPr>
            <w:r w:rsidRPr="00C0247F">
              <w:rPr>
                <w:rFonts w:ascii="Arial" w:hAnsi="Arial" w:cs="Arial"/>
                <w:b/>
                <w:bCs/>
                <w:sz w:val="22"/>
                <w:szCs w:val="22"/>
              </w:rPr>
              <w:t>TNT</w:t>
            </w:r>
          </w:p>
        </w:tc>
      </w:tr>
      <w:tr w:rsidR="00C0247F" w:rsidRPr="00C0247F" w14:paraId="40EFAE2E" w14:textId="77777777" w:rsidTr="00707AF5">
        <w:tc>
          <w:tcPr>
            <w:tcW w:w="4508" w:type="dxa"/>
          </w:tcPr>
          <w:p w14:paraId="2EAD60B8" w14:textId="3E674A57"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Velocity of detonation (m/s)</w:t>
            </w:r>
          </w:p>
          <w:p w14:paraId="2A90FB43" w14:textId="031D1865"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(pressed at 1.55g/cm</w:t>
            </w:r>
            <w:r w:rsidRPr="00C0247F">
              <w:rPr>
                <w:rFonts w:ascii="Arial" w:hAnsi="Arial" w:cs="Arial"/>
                <w:sz w:val="22"/>
                <w:szCs w:val="22"/>
                <w:vertAlign w:val="superscript"/>
              </w:rPr>
              <w:t>3</w:t>
            </w:r>
            <w:r w:rsidRPr="00C0247F">
              <w:rPr>
                <w:rFonts w:ascii="Arial" w:hAnsi="Arial" w:cs="Arial"/>
                <w:sz w:val="22"/>
                <w:szCs w:val="22"/>
              </w:rPr>
              <w:t>)</w:t>
            </w:r>
            <w:r w:rsidR="002476D2" w:rsidRPr="00C0247F">
              <w:rPr>
                <w:rFonts w:ascii="Arial" w:hAnsi="Arial" w:cs="Arial"/>
                <w:sz w:val="22"/>
                <w:szCs w:val="22"/>
              </w:rPr>
              <w:t xml:space="preserve"> [</w:t>
            </w:r>
            <w:r w:rsidR="00DF7F6E" w:rsidRPr="00C0247F">
              <w:rPr>
                <w:rFonts w:ascii="Arial" w:hAnsi="Arial" w:cs="Arial"/>
                <w:sz w:val="22"/>
                <w:szCs w:val="22"/>
              </w:rPr>
              <w:t>14</w:t>
            </w:r>
            <w:r w:rsidR="002476D2" w:rsidRPr="00C0247F">
              <w:rPr>
                <w:rFonts w:ascii="Arial" w:hAnsi="Arial" w:cs="Arial"/>
                <w:sz w:val="22"/>
                <w:szCs w:val="22"/>
              </w:rPr>
              <w:t>]</w:t>
            </w:r>
          </w:p>
          <w:p w14:paraId="5BAE5092" w14:textId="77777777" w:rsidR="005E3481" w:rsidRPr="00C0247F" w:rsidRDefault="005E3481" w:rsidP="000B7D3A">
            <w:pPr>
              <w:spacing w:line="360" w:lineRule="auto"/>
              <w:rPr>
                <w:rFonts w:ascii="Arial" w:hAnsi="Arial" w:cs="Arial"/>
                <w:sz w:val="22"/>
                <w:szCs w:val="22"/>
              </w:rPr>
            </w:pPr>
            <w:r w:rsidRPr="00C0247F">
              <w:rPr>
                <w:rFonts w:ascii="Arial" w:hAnsi="Arial" w:cs="Arial"/>
                <w:sz w:val="22"/>
                <w:szCs w:val="22"/>
              </w:rPr>
              <w:t>(pressed at 1.6g/cm</w:t>
            </w:r>
            <w:r w:rsidRPr="00C0247F">
              <w:rPr>
                <w:rFonts w:ascii="Arial" w:hAnsi="Arial" w:cs="Arial"/>
                <w:sz w:val="22"/>
                <w:szCs w:val="22"/>
                <w:vertAlign w:val="superscript"/>
              </w:rPr>
              <w:t>3</w:t>
            </w:r>
            <w:r w:rsidRPr="00C0247F">
              <w:rPr>
                <w:rFonts w:ascii="Arial" w:hAnsi="Arial" w:cs="Arial"/>
                <w:sz w:val="22"/>
                <w:szCs w:val="22"/>
              </w:rPr>
              <w:t>)</w:t>
            </w:r>
          </w:p>
          <w:p w14:paraId="2DF463CA" w14:textId="3285B08E" w:rsidR="005E3481" w:rsidRPr="00C0247F" w:rsidRDefault="005E3481" w:rsidP="000B7D3A">
            <w:pPr>
              <w:spacing w:line="360" w:lineRule="auto"/>
              <w:rPr>
                <w:rFonts w:ascii="Arial" w:hAnsi="Arial" w:cs="Arial"/>
                <w:sz w:val="22"/>
                <w:szCs w:val="22"/>
              </w:rPr>
            </w:pPr>
            <w:r w:rsidRPr="00C0247F">
              <w:rPr>
                <w:rFonts w:ascii="Arial" w:hAnsi="Arial" w:cs="Arial"/>
                <w:sz w:val="22"/>
                <w:szCs w:val="22"/>
              </w:rPr>
              <w:t>(pressed at 1.625g</w:t>
            </w:r>
            <w:r w:rsidR="00FB0A32" w:rsidRPr="00C0247F">
              <w:rPr>
                <w:rFonts w:ascii="Arial" w:hAnsi="Arial" w:cs="Arial"/>
                <w:sz w:val="22"/>
                <w:szCs w:val="22"/>
              </w:rPr>
              <w:t>/cm</w:t>
            </w:r>
            <w:r w:rsidR="00FB0A32" w:rsidRPr="00C0247F">
              <w:rPr>
                <w:rFonts w:ascii="Arial" w:hAnsi="Arial" w:cs="Arial"/>
                <w:sz w:val="22"/>
                <w:szCs w:val="22"/>
                <w:vertAlign w:val="superscript"/>
              </w:rPr>
              <w:t>3</w:t>
            </w:r>
            <w:r w:rsidRPr="00C0247F">
              <w:rPr>
                <w:rFonts w:ascii="Arial" w:hAnsi="Arial" w:cs="Arial"/>
                <w:sz w:val="22"/>
                <w:szCs w:val="22"/>
              </w:rPr>
              <w:t xml:space="preserve">) </w:t>
            </w:r>
            <w:r w:rsidR="00DF7F6E" w:rsidRPr="00C0247F">
              <w:rPr>
                <w:rFonts w:ascii="Arial" w:hAnsi="Arial" w:cs="Arial"/>
                <w:sz w:val="22"/>
                <w:szCs w:val="22"/>
              </w:rPr>
              <w:t>[15]</w:t>
            </w:r>
          </w:p>
          <w:p w14:paraId="448F3A9F" w14:textId="6364F130" w:rsidR="005E3481" w:rsidRPr="00C0247F" w:rsidRDefault="005E3481" w:rsidP="000B7D3A">
            <w:pPr>
              <w:spacing w:line="360" w:lineRule="auto"/>
              <w:rPr>
                <w:rFonts w:ascii="Arial" w:hAnsi="Arial" w:cs="Arial"/>
                <w:sz w:val="22"/>
                <w:szCs w:val="22"/>
              </w:rPr>
            </w:pPr>
            <w:r w:rsidRPr="00C0247F">
              <w:rPr>
                <w:rFonts w:ascii="Arial" w:hAnsi="Arial" w:cs="Arial"/>
                <w:sz w:val="22"/>
                <w:szCs w:val="22"/>
              </w:rPr>
              <w:t>(pressed at 1.77 g/</w:t>
            </w:r>
            <w:r w:rsidR="00FB0A32" w:rsidRPr="00C0247F">
              <w:rPr>
                <w:rFonts w:ascii="Arial" w:hAnsi="Arial" w:cs="Arial"/>
                <w:sz w:val="22"/>
                <w:szCs w:val="22"/>
              </w:rPr>
              <w:t>cm</w:t>
            </w:r>
            <w:r w:rsidR="00FB0A32" w:rsidRPr="00C0247F">
              <w:rPr>
                <w:rFonts w:ascii="Arial" w:hAnsi="Arial" w:cs="Arial"/>
                <w:sz w:val="22"/>
                <w:szCs w:val="22"/>
                <w:vertAlign w:val="superscript"/>
              </w:rPr>
              <w:t>3</w:t>
            </w:r>
            <w:r w:rsidRPr="00C0247F">
              <w:rPr>
                <w:rFonts w:ascii="Arial" w:hAnsi="Arial" w:cs="Arial"/>
                <w:sz w:val="22"/>
                <w:szCs w:val="22"/>
              </w:rPr>
              <w:t>) (</w:t>
            </w:r>
            <w:r w:rsidR="00DF7F6E" w:rsidRPr="00C0247F">
              <w:rPr>
                <w:rFonts w:ascii="Arial" w:hAnsi="Arial" w:cs="Arial"/>
                <w:sz w:val="22"/>
                <w:szCs w:val="22"/>
              </w:rPr>
              <w:t>16</w:t>
            </w:r>
            <w:r w:rsidRPr="00C0247F">
              <w:rPr>
                <w:rFonts w:ascii="Arial" w:hAnsi="Arial" w:cs="Arial"/>
                <w:sz w:val="22"/>
                <w:szCs w:val="22"/>
              </w:rPr>
              <w:t>)</w:t>
            </w:r>
          </w:p>
        </w:tc>
        <w:tc>
          <w:tcPr>
            <w:tcW w:w="4508" w:type="dxa"/>
          </w:tcPr>
          <w:p w14:paraId="1ED3266B" w14:textId="77777777" w:rsidR="005E3481" w:rsidRPr="00C0247F" w:rsidRDefault="005E3481" w:rsidP="000B7D3A">
            <w:pPr>
              <w:spacing w:line="360" w:lineRule="auto"/>
              <w:rPr>
                <w:rFonts w:ascii="Arial" w:hAnsi="Arial" w:cs="Arial"/>
                <w:sz w:val="22"/>
                <w:szCs w:val="22"/>
              </w:rPr>
            </w:pPr>
          </w:p>
          <w:p w14:paraId="46F85CC7" w14:textId="77777777"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6716</w:t>
            </w:r>
          </w:p>
          <w:p w14:paraId="35A2B036" w14:textId="77777777" w:rsidR="005E3481" w:rsidRPr="00C0247F" w:rsidRDefault="005E3481" w:rsidP="000B7D3A">
            <w:pPr>
              <w:spacing w:line="360" w:lineRule="auto"/>
              <w:rPr>
                <w:rFonts w:ascii="Arial" w:hAnsi="Arial" w:cs="Arial"/>
                <w:sz w:val="22"/>
                <w:szCs w:val="22"/>
              </w:rPr>
            </w:pPr>
            <w:r w:rsidRPr="00C0247F">
              <w:rPr>
                <w:rFonts w:ascii="Arial" w:hAnsi="Arial" w:cs="Arial"/>
                <w:sz w:val="22"/>
                <w:szCs w:val="22"/>
              </w:rPr>
              <w:t>6825</w:t>
            </w:r>
          </w:p>
          <w:p w14:paraId="5A6056AA" w14:textId="74754334" w:rsidR="005E3481" w:rsidRPr="00C0247F" w:rsidRDefault="005E3481" w:rsidP="000B7D3A">
            <w:pPr>
              <w:spacing w:line="360" w:lineRule="auto"/>
              <w:rPr>
                <w:rFonts w:ascii="Arial" w:hAnsi="Arial" w:cs="Arial"/>
                <w:sz w:val="22"/>
                <w:szCs w:val="22"/>
              </w:rPr>
            </w:pPr>
            <w:r w:rsidRPr="00C0247F">
              <w:rPr>
                <w:rFonts w:ascii="Arial" w:hAnsi="Arial" w:cs="Arial"/>
                <w:sz w:val="22"/>
                <w:szCs w:val="22"/>
              </w:rPr>
              <w:t>6950</w:t>
            </w:r>
          </w:p>
          <w:p w14:paraId="45C8BC61" w14:textId="6D6F7E04" w:rsidR="005E3481" w:rsidRPr="00C0247F" w:rsidRDefault="005E3481" w:rsidP="000B7D3A">
            <w:pPr>
              <w:spacing w:line="360" w:lineRule="auto"/>
              <w:rPr>
                <w:rFonts w:ascii="Arial" w:hAnsi="Arial" w:cs="Arial"/>
                <w:sz w:val="22"/>
                <w:szCs w:val="22"/>
              </w:rPr>
            </w:pPr>
            <w:r w:rsidRPr="00C0247F">
              <w:rPr>
                <w:rFonts w:ascii="Arial" w:hAnsi="Arial" w:cs="Arial"/>
                <w:sz w:val="22"/>
                <w:szCs w:val="22"/>
              </w:rPr>
              <w:t>8600</w:t>
            </w:r>
          </w:p>
        </w:tc>
      </w:tr>
      <w:tr w:rsidR="00C0247F" w:rsidRPr="00C0247F" w14:paraId="718B848E" w14:textId="77777777" w:rsidTr="00707AF5">
        <w:tc>
          <w:tcPr>
            <w:tcW w:w="4508" w:type="dxa"/>
          </w:tcPr>
          <w:p w14:paraId="017A12FD" w14:textId="1B9BC526"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Velocity of detonation (m/s)</w:t>
            </w:r>
          </w:p>
          <w:p w14:paraId="0C7F5A09" w14:textId="4BCD4793"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(cast at 1.605g/</w:t>
            </w:r>
            <w:r w:rsidR="00FB0A32" w:rsidRPr="00C0247F">
              <w:rPr>
                <w:rFonts w:ascii="Arial" w:hAnsi="Arial" w:cs="Arial"/>
                <w:sz w:val="22"/>
                <w:szCs w:val="22"/>
              </w:rPr>
              <w:t>cm</w:t>
            </w:r>
            <w:r w:rsidR="00FB0A32" w:rsidRPr="00C0247F">
              <w:rPr>
                <w:rFonts w:ascii="Arial" w:hAnsi="Arial" w:cs="Arial"/>
                <w:sz w:val="22"/>
                <w:szCs w:val="22"/>
                <w:vertAlign w:val="superscript"/>
              </w:rPr>
              <w:t>3</w:t>
            </w:r>
            <w:r w:rsidRPr="00C0247F">
              <w:rPr>
                <w:rFonts w:ascii="Arial" w:hAnsi="Arial" w:cs="Arial"/>
                <w:sz w:val="22"/>
                <w:szCs w:val="22"/>
              </w:rPr>
              <w:t>)</w:t>
            </w:r>
          </w:p>
          <w:p w14:paraId="45F9E57D" w14:textId="6C48881C"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(cast at 1.620g/cm</w:t>
            </w:r>
            <w:r w:rsidRPr="00C0247F">
              <w:rPr>
                <w:rFonts w:ascii="Arial" w:hAnsi="Arial" w:cs="Arial"/>
                <w:sz w:val="22"/>
                <w:szCs w:val="22"/>
                <w:vertAlign w:val="superscript"/>
              </w:rPr>
              <w:t>3</w:t>
            </w:r>
            <w:r w:rsidRPr="00C0247F">
              <w:rPr>
                <w:rFonts w:ascii="Arial" w:hAnsi="Arial" w:cs="Arial"/>
                <w:sz w:val="22"/>
                <w:szCs w:val="22"/>
              </w:rPr>
              <w:t>)</w:t>
            </w:r>
            <w:r w:rsidR="00DF7F6E" w:rsidRPr="00C0247F">
              <w:rPr>
                <w:rFonts w:ascii="Arial" w:hAnsi="Arial" w:cs="Arial"/>
                <w:sz w:val="22"/>
                <w:szCs w:val="22"/>
              </w:rPr>
              <w:t xml:space="preserve"> [15]</w:t>
            </w:r>
          </w:p>
        </w:tc>
        <w:tc>
          <w:tcPr>
            <w:tcW w:w="4508" w:type="dxa"/>
          </w:tcPr>
          <w:p w14:paraId="259084DC" w14:textId="77777777" w:rsidR="006815A2" w:rsidRPr="00C0247F" w:rsidRDefault="006815A2" w:rsidP="000B7D3A">
            <w:pPr>
              <w:spacing w:line="360" w:lineRule="auto"/>
              <w:rPr>
                <w:rFonts w:ascii="Arial" w:hAnsi="Arial" w:cs="Arial"/>
                <w:sz w:val="22"/>
                <w:szCs w:val="22"/>
              </w:rPr>
            </w:pPr>
          </w:p>
          <w:p w14:paraId="64F1EF91" w14:textId="77777777"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6430</w:t>
            </w:r>
          </w:p>
          <w:p w14:paraId="1EE5D0E4" w14:textId="107EC757"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6880</w:t>
            </w:r>
          </w:p>
        </w:tc>
      </w:tr>
      <w:tr w:rsidR="00C0247F" w:rsidRPr="00C0247F" w14:paraId="61E93F37" w14:textId="77777777" w:rsidTr="00707AF5">
        <w:tc>
          <w:tcPr>
            <w:tcW w:w="4508" w:type="dxa"/>
          </w:tcPr>
          <w:p w14:paraId="1069319A" w14:textId="5A20317A"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Frictional sensitivity (N)</w:t>
            </w:r>
            <w:r w:rsidR="002476D2" w:rsidRPr="00C0247F">
              <w:rPr>
                <w:rFonts w:ascii="Arial" w:hAnsi="Arial" w:cs="Arial"/>
                <w:sz w:val="22"/>
                <w:szCs w:val="22"/>
              </w:rPr>
              <w:t xml:space="preserve"> [</w:t>
            </w:r>
            <w:r w:rsidR="00DF7F6E" w:rsidRPr="00C0247F">
              <w:rPr>
                <w:rFonts w:ascii="Arial" w:hAnsi="Arial" w:cs="Arial"/>
                <w:sz w:val="22"/>
                <w:szCs w:val="22"/>
              </w:rPr>
              <w:t>14]</w:t>
            </w:r>
          </w:p>
        </w:tc>
        <w:tc>
          <w:tcPr>
            <w:tcW w:w="4508" w:type="dxa"/>
          </w:tcPr>
          <w:p w14:paraId="2EA097B8" w14:textId="100F45D2"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Greater than 360N on friction test (insensitive)</w:t>
            </w:r>
          </w:p>
        </w:tc>
      </w:tr>
      <w:tr w:rsidR="00C0247F" w:rsidRPr="00C0247F" w14:paraId="0D96B9AB" w14:textId="77777777" w:rsidTr="00707AF5">
        <w:tc>
          <w:tcPr>
            <w:tcW w:w="4508" w:type="dxa"/>
          </w:tcPr>
          <w:p w14:paraId="3AE98725" w14:textId="1AB70A1A"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Figure of Insensitiveness</w:t>
            </w:r>
          </w:p>
        </w:tc>
        <w:tc>
          <w:tcPr>
            <w:tcW w:w="4508" w:type="dxa"/>
          </w:tcPr>
          <w:p w14:paraId="2BF26844" w14:textId="1A20D74A"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152 (</w:t>
            </w:r>
            <w:r w:rsidR="00615F8B">
              <w:rPr>
                <w:rFonts w:ascii="Arial" w:hAnsi="Arial" w:cs="Arial"/>
                <w:sz w:val="22"/>
                <w:szCs w:val="22"/>
              </w:rPr>
              <w:t>&gt;50 highlights a secondary explosive)</w:t>
            </w:r>
          </w:p>
        </w:tc>
      </w:tr>
      <w:tr w:rsidR="00C0247F" w:rsidRPr="00C0247F" w14:paraId="5103E7BD" w14:textId="77777777" w:rsidTr="00707AF5">
        <w:tc>
          <w:tcPr>
            <w:tcW w:w="4508" w:type="dxa"/>
          </w:tcPr>
          <w:p w14:paraId="12502CE3" w14:textId="6642EE26"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Figure of Friction</w:t>
            </w:r>
          </w:p>
        </w:tc>
        <w:tc>
          <w:tcPr>
            <w:tcW w:w="4508" w:type="dxa"/>
          </w:tcPr>
          <w:p w14:paraId="28D6BC56" w14:textId="1CDB3980"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5.8 (rotary friction machine)</w:t>
            </w:r>
          </w:p>
        </w:tc>
      </w:tr>
      <w:tr w:rsidR="00C0247F" w:rsidRPr="00C0247F" w14:paraId="239B66E2" w14:textId="77777777" w:rsidTr="00707AF5">
        <w:tc>
          <w:tcPr>
            <w:tcW w:w="4508" w:type="dxa"/>
          </w:tcPr>
          <w:p w14:paraId="34002CE0" w14:textId="642EFC1C"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TNTe</w:t>
            </w:r>
            <w:r w:rsidR="00DF7F6E" w:rsidRPr="00C0247F">
              <w:rPr>
                <w:rFonts w:ascii="Arial" w:hAnsi="Arial" w:cs="Arial"/>
                <w:sz w:val="22"/>
                <w:szCs w:val="22"/>
              </w:rPr>
              <w:t xml:space="preserve"> </w:t>
            </w:r>
          </w:p>
        </w:tc>
        <w:tc>
          <w:tcPr>
            <w:tcW w:w="4508" w:type="dxa"/>
          </w:tcPr>
          <w:p w14:paraId="05C64D98" w14:textId="31BAB09F"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1</w:t>
            </w:r>
          </w:p>
        </w:tc>
      </w:tr>
      <w:tr w:rsidR="00C0247F" w:rsidRPr="00C0247F" w14:paraId="7A55FB67" w14:textId="77777777" w:rsidTr="00707AF5">
        <w:tc>
          <w:tcPr>
            <w:tcW w:w="4508" w:type="dxa"/>
          </w:tcPr>
          <w:p w14:paraId="1BC6BB74" w14:textId="77777777"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Oxygen Balance</w:t>
            </w:r>
          </w:p>
        </w:tc>
        <w:tc>
          <w:tcPr>
            <w:tcW w:w="4508" w:type="dxa"/>
          </w:tcPr>
          <w:p w14:paraId="32121254" w14:textId="4C5789B5"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-73.9</w:t>
            </w:r>
          </w:p>
        </w:tc>
      </w:tr>
      <w:tr w:rsidR="00C0247F" w:rsidRPr="00C0247F" w14:paraId="309F9A38" w14:textId="77777777" w:rsidTr="00707AF5">
        <w:tc>
          <w:tcPr>
            <w:tcW w:w="4508" w:type="dxa"/>
          </w:tcPr>
          <w:p w14:paraId="4F9A84EB" w14:textId="77777777"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Colour</w:t>
            </w:r>
          </w:p>
        </w:tc>
        <w:tc>
          <w:tcPr>
            <w:tcW w:w="4508" w:type="dxa"/>
          </w:tcPr>
          <w:p w14:paraId="75EA17CA" w14:textId="7A2B1EF0"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Pale yellow</w:t>
            </w:r>
          </w:p>
        </w:tc>
      </w:tr>
      <w:tr w:rsidR="00C0247F" w:rsidRPr="00C0247F" w14:paraId="2698C13A" w14:textId="77777777" w:rsidTr="00707AF5">
        <w:tc>
          <w:tcPr>
            <w:tcW w:w="4508" w:type="dxa"/>
          </w:tcPr>
          <w:p w14:paraId="75EC174E" w14:textId="77777777"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Molecular Weight</w:t>
            </w:r>
          </w:p>
        </w:tc>
        <w:tc>
          <w:tcPr>
            <w:tcW w:w="4508" w:type="dxa"/>
          </w:tcPr>
          <w:p w14:paraId="7D46F7AE" w14:textId="0BFB78E1"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227.133</w:t>
            </w:r>
          </w:p>
        </w:tc>
      </w:tr>
      <w:tr w:rsidR="00C0247F" w:rsidRPr="00C0247F" w14:paraId="3B9959E0" w14:textId="77777777" w:rsidTr="00707AF5">
        <w:tc>
          <w:tcPr>
            <w:tcW w:w="4508" w:type="dxa"/>
          </w:tcPr>
          <w:p w14:paraId="4D39A104" w14:textId="6D8201F3"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lastRenderedPageBreak/>
              <w:t>Decomposition Temperature (</w:t>
            </w:r>
            <w:r w:rsidR="000B7D3A" w:rsidRPr="00C0247F">
              <w:rPr>
                <w:rFonts w:ascii="Arial" w:hAnsi="Arial" w:cs="Arial"/>
                <w:sz w:val="22"/>
                <w:szCs w:val="22"/>
              </w:rPr>
              <w:t>°C</w:t>
            </w:r>
            <w:r w:rsidRPr="00C0247F">
              <w:rPr>
                <w:rFonts w:ascii="Arial" w:hAnsi="Arial" w:cs="Arial"/>
                <w:sz w:val="22"/>
                <w:szCs w:val="22"/>
              </w:rPr>
              <w:t>)</w:t>
            </w:r>
          </w:p>
        </w:tc>
        <w:tc>
          <w:tcPr>
            <w:tcW w:w="4508" w:type="dxa"/>
          </w:tcPr>
          <w:p w14:paraId="36E2F337" w14:textId="65BF9ACD"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80.7</w:t>
            </w:r>
          </w:p>
        </w:tc>
      </w:tr>
      <w:tr w:rsidR="00C0247F" w:rsidRPr="00C0247F" w14:paraId="77A97851" w14:textId="77777777" w:rsidTr="00707AF5">
        <w:tc>
          <w:tcPr>
            <w:tcW w:w="4508" w:type="dxa"/>
          </w:tcPr>
          <w:p w14:paraId="0519B880" w14:textId="357F6EC2"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Boiling Point (</w:t>
            </w:r>
            <w:r w:rsidR="000B7D3A" w:rsidRPr="00C0247F">
              <w:rPr>
                <w:rFonts w:ascii="Arial" w:hAnsi="Arial" w:cs="Arial"/>
                <w:sz w:val="22"/>
                <w:szCs w:val="22"/>
              </w:rPr>
              <w:t>°C</w:t>
            </w:r>
            <w:r w:rsidRPr="00C0247F">
              <w:rPr>
                <w:rFonts w:ascii="Arial" w:hAnsi="Arial" w:cs="Arial"/>
                <w:sz w:val="22"/>
                <w:szCs w:val="22"/>
              </w:rPr>
              <w:t>)</w:t>
            </w:r>
          </w:p>
        </w:tc>
        <w:tc>
          <w:tcPr>
            <w:tcW w:w="4508" w:type="dxa"/>
          </w:tcPr>
          <w:p w14:paraId="46C7BCF9" w14:textId="33536CE2"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345-373</w:t>
            </w:r>
          </w:p>
        </w:tc>
      </w:tr>
      <w:tr w:rsidR="00C0247F" w:rsidRPr="00C0247F" w14:paraId="7A9B406D" w14:textId="77777777" w:rsidTr="00707AF5">
        <w:tc>
          <w:tcPr>
            <w:tcW w:w="4508" w:type="dxa"/>
          </w:tcPr>
          <w:p w14:paraId="3B79AFCA" w14:textId="270061DF"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Thermal Ignition (</w:t>
            </w:r>
            <w:r w:rsidR="000B7D3A" w:rsidRPr="00C0247F">
              <w:rPr>
                <w:rFonts w:ascii="Arial" w:hAnsi="Arial" w:cs="Arial"/>
                <w:sz w:val="22"/>
                <w:szCs w:val="22"/>
              </w:rPr>
              <w:t>°C</w:t>
            </w:r>
            <w:r w:rsidRPr="00C0247F">
              <w:rPr>
                <w:rFonts w:ascii="Arial" w:hAnsi="Arial" w:cs="Arial"/>
                <w:sz w:val="22"/>
                <w:szCs w:val="22"/>
              </w:rPr>
              <w:t>)</w:t>
            </w:r>
          </w:p>
        </w:tc>
        <w:tc>
          <w:tcPr>
            <w:tcW w:w="4508" w:type="dxa"/>
          </w:tcPr>
          <w:p w14:paraId="4659B5AB" w14:textId="2A5A2135"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240</w:t>
            </w:r>
          </w:p>
        </w:tc>
      </w:tr>
      <w:tr w:rsidR="00C0247F" w:rsidRPr="00C0247F" w14:paraId="12CD5115" w14:textId="77777777" w:rsidTr="00707AF5">
        <w:tc>
          <w:tcPr>
            <w:tcW w:w="4508" w:type="dxa"/>
          </w:tcPr>
          <w:p w14:paraId="31039799" w14:textId="77777777"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Enthalpy of formation (kJ/Mol)</w:t>
            </w:r>
          </w:p>
        </w:tc>
        <w:tc>
          <w:tcPr>
            <w:tcW w:w="4508" w:type="dxa"/>
          </w:tcPr>
          <w:p w14:paraId="71DBA81D" w14:textId="6922F12D"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-62.07</w:t>
            </w:r>
          </w:p>
        </w:tc>
      </w:tr>
      <w:tr w:rsidR="00C0247F" w:rsidRPr="00C0247F" w14:paraId="6ACA20B1" w14:textId="77777777" w:rsidTr="00707AF5">
        <w:tc>
          <w:tcPr>
            <w:tcW w:w="4508" w:type="dxa"/>
          </w:tcPr>
          <w:p w14:paraId="69AC3F82" w14:textId="77777777"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Energy formation (kJ/Mol)</w:t>
            </w:r>
          </w:p>
        </w:tc>
        <w:tc>
          <w:tcPr>
            <w:tcW w:w="4508" w:type="dxa"/>
          </w:tcPr>
          <w:p w14:paraId="100D56DD" w14:textId="0B4E7C0C"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-45.44</w:t>
            </w:r>
          </w:p>
        </w:tc>
      </w:tr>
      <w:tr w:rsidR="00C0247F" w:rsidRPr="00C0247F" w14:paraId="5387B03C" w14:textId="77777777" w:rsidTr="00707AF5">
        <w:tc>
          <w:tcPr>
            <w:tcW w:w="4508" w:type="dxa"/>
          </w:tcPr>
          <w:p w14:paraId="67552048" w14:textId="77777777"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Heat of Explosion (kJ/Kg)</w:t>
            </w:r>
          </w:p>
        </w:tc>
        <w:tc>
          <w:tcPr>
            <w:tcW w:w="4508" w:type="dxa"/>
          </w:tcPr>
          <w:p w14:paraId="47C45F45" w14:textId="3BE27664"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4091.6</w:t>
            </w:r>
          </w:p>
        </w:tc>
      </w:tr>
      <w:tr w:rsidR="00C0247F" w:rsidRPr="00C0247F" w14:paraId="34433272" w14:textId="77777777" w:rsidTr="00707AF5">
        <w:tc>
          <w:tcPr>
            <w:tcW w:w="4508" w:type="dxa"/>
          </w:tcPr>
          <w:p w14:paraId="72180F67" w14:textId="00C677C8"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Heat of Detonation (KJ/Mol)</w:t>
            </w:r>
          </w:p>
        </w:tc>
        <w:tc>
          <w:tcPr>
            <w:tcW w:w="4508" w:type="dxa"/>
          </w:tcPr>
          <w:p w14:paraId="2013D79C" w14:textId="064CCD66"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-929.34</w:t>
            </w:r>
          </w:p>
        </w:tc>
      </w:tr>
      <w:tr w:rsidR="00C0247F" w:rsidRPr="00C0247F" w14:paraId="02FDA533" w14:textId="77777777" w:rsidTr="00707AF5">
        <w:tc>
          <w:tcPr>
            <w:tcW w:w="4508" w:type="dxa"/>
          </w:tcPr>
          <w:p w14:paraId="1780C34B" w14:textId="77777777"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Gas Volume (dm</w:t>
            </w:r>
            <w:r w:rsidRPr="00C0247F">
              <w:rPr>
                <w:rFonts w:ascii="Arial" w:hAnsi="Arial" w:cs="Arial"/>
                <w:sz w:val="22"/>
                <w:szCs w:val="22"/>
                <w:vertAlign w:val="superscript"/>
              </w:rPr>
              <w:t>3</w:t>
            </w:r>
            <w:r w:rsidRPr="00C0247F">
              <w:rPr>
                <w:rFonts w:ascii="Arial" w:hAnsi="Arial" w:cs="Arial"/>
                <w:sz w:val="22"/>
                <w:szCs w:val="22"/>
              </w:rPr>
              <w:t>/kg</w:t>
            </w:r>
          </w:p>
        </w:tc>
        <w:tc>
          <w:tcPr>
            <w:tcW w:w="4508" w:type="dxa"/>
          </w:tcPr>
          <w:p w14:paraId="41D0D163" w14:textId="50282BEC"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739.7</w:t>
            </w:r>
          </w:p>
        </w:tc>
      </w:tr>
      <w:tr w:rsidR="00C0247F" w:rsidRPr="00C0247F" w14:paraId="5ECF6956" w14:textId="77777777" w:rsidTr="00707AF5">
        <w:tc>
          <w:tcPr>
            <w:tcW w:w="4508" w:type="dxa"/>
          </w:tcPr>
          <w:p w14:paraId="57B74E06" w14:textId="77777777" w:rsidR="006815A2" w:rsidRPr="00C0247F" w:rsidRDefault="006815A2" w:rsidP="000B7D3A">
            <w:pPr>
              <w:spacing w:line="360" w:lineRule="auto"/>
              <w:rPr>
                <w:rFonts w:ascii="Arial" w:hAnsi="Arial" w:cs="Arial"/>
                <w:sz w:val="22"/>
                <w:szCs w:val="22"/>
              </w:rPr>
            </w:pPr>
            <w:r w:rsidRPr="00C0247F">
              <w:rPr>
                <w:rFonts w:ascii="Arial" w:hAnsi="Arial" w:cs="Arial"/>
                <w:sz w:val="22"/>
                <w:szCs w:val="22"/>
              </w:rPr>
              <w:t>Power index</w:t>
            </w:r>
          </w:p>
        </w:tc>
        <w:tc>
          <w:tcPr>
            <w:tcW w:w="4508" w:type="dxa"/>
          </w:tcPr>
          <w:p w14:paraId="2E391460" w14:textId="3876F9CC" w:rsidR="006815A2" w:rsidRPr="00C0247F" w:rsidRDefault="006815A2" w:rsidP="000B7D3A">
            <w:pPr>
              <w:keepNext/>
              <w:spacing w:line="360" w:lineRule="auto"/>
              <w:rPr>
                <w:rFonts w:ascii="Arial" w:hAnsi="Arial" w:cs="Arial"/>
                <w:sz w:val="22"/>
                <w:szCs w:val="22"/>
              </w:rPr>
            </w:pPr>
            <w:r w:rsidRPr="00C0247F">
              <w:rPr>
                <w:rFonts w:ascii="Arial" w:hAnsi="Arial" w:cs="Arial"/>
                <w:sz w:val="22"/>
                <w:szCs w:val="22"/>
              </w:rPr>
              <w:t>110.3</w:t>
            </w:r>
          </w:p>
        </w:tc>
      </w:tr>
    </w:tbl>
    <w:p w14:paraId="3AFCD6C2" w14:textId="71F20F54" w:rsidR="00615F8B" w:rsidRDefault="000B7D3A" w:rsidP="00615F8B">
      <w:pPr>
        <w:pStyle w:val="Caption"/>
        <w:spacing w:line="360" w:lineRule="auto"/>
        <w:jc w:val="center"/>
        <w:rPr>
          <w:rFonts w:ascii="Arial" w:hAnsi="Arial" w:cs="Arial"/>
          <w:color w:val="auto"/>
          <w:sz w:val="20"/>
          <w:szCs w:val="20"/>
        </w:rPr>
      </w:pPr>
      <w:r w:rsidRPr="00C0247F">
        <w:rPr>
          <w:rFonts w:ascii="Arial" w:hAnsi="Arial" w:cs="Arial"/>
          <w:color w:val="auto"/>
          <w:sz w:val="20"/>
          <w:szCs w:val="20"/>
        </w:rPr>
        <w:t xml:space="preserve">Table </w:t>
      </w:r>
      <w:r w:rsidRPr="00C0247F">
        <w:rPr>
          <w:rFonts w:ascii="Arial" w:hAnsi="Arial" w:cs="Arial"/>
          <w:color w:val="auto"/>
          <w:sz w:val="20"/>
          <w:szCs w:val="20"/>
        </w:rPr>
        <w:fldChar w:fldCharType="begin"/>
      </w:r>
      <w:r w:rsidRPr="00C0247F">
        <w:rPr>
          <w:rFonts w:ascii="Arial" w:hAnsi="Arial" w:cs="Arial"/>
          <w:color w:val="auto"/>
          <w:sz w:val="20"/>
          <w:szCs w:val="20"/>
        </w:rPr>
        <w:instrText xml:space="preserve"> SEQ Table \* ARABIC </w:instrText>
      </w:r>
      <w:r w:rsidRPr="00C0247F">
        <w:rPr>
          <w:rFonts w:ascii="Arial" w:hAnsi="Arial" w:cs="Arial"/>
          <w:color w:val="auto"/>
          <w:sz w:val="20"/>
          <w:szCs w:val="20"/>
        </w:rPr>
        <w:fldChar w:fldCharType="separate"/>
      </w:r>
      <w:r w:rsidRPr="00C0247F">
        <w:rPr>
          <w:rFonts w:ascii="Arial" w:hAnsi="Arial" w:cs="Arial"/>
          <w:noProof/>
          <w:color w:val="auto"/>
          <w:sz w:val="20"/>
          <w:szCs w:val="20"/>
        </w:rPr>
        <w:t>2</w:t>
      </w:r>
      <w:r w:rsidRPr="00C0247F">
        <w:rPr>
          <w:rFonts w:ascii="Arial" w:hAnsi="Arial" w:cs="Arial"/>
          <w:color w:val="auto"/>
          <w:sz w:val="20"/>
          <w:szCs w:val="20"/>
        </w:rPr>
        <w:fldChar w:fldCharType="end"/>
      </w:r>
      <w:r w:rsidRPr="00C0247F">
        <w:rPr>
          <w:rFonts w:ascii="Arial" w:hAnsi="Arial" w:cs="Arial"/>
          <w:color w:val="auto"/>
          <w:sz w:val="20"/>
          <w:szCs w:val="20"/>
        </w:rPr>
        <w:t>: The chemical properties discussed for TNT, the majority of which was compiled by Akhavan</w:t>
      </w:r>
      <w:r w:rsidR="00615F8B">
        <w:rPr>
          <w:rFonts w:ascii="Arial" w:hAnsi="Arial" w:cs="Arial"/>
          <w:color w:val="auto"/>
          <w:sz w:val="20"/>
          <w:szCs w:val="20"/>
        </w:rPr>
        <w:t>.</w:t>
      </w:r>
    </w:p>
    <w:p w14:paraId="0B60E480" w14:textId="77777777" w:rsidR="00615F8B" w:rsidRPr="00615F8B" w:rsidRDefault="00615F8B" w:rsidP="00615F8B"/>
    <w:p w14:paraId="53CA1A88" w14:textId="44906150" w:rsidR="00615F8B" w:rsidRPr="00615F8B" w:rsidRDefault="00615F8B" w:rsidP="00615F8B">
      <w:pPr>
        <w:spacing w:line="360" w:lineRule="auto"/>
        <w:jc w:val="center"/>
        <w:rPr>
          <w:rFonts w:ascii="Arial" w:hAnsi="Arial" w:cs="Arial"/>
          <w:b/>
          <w:bCs/>
          <w:sz w:val="28"/>
          <w:szCs w:val="28"/>
        </w:rPr>
      </w:pPr>
      <w:r w:rsidRPr="00615F8B">
        <w:rPr>
          <w:rFonts w:ascii="Arial" w:hAnsi="Arial" w:cs="Arial"/>
          <w:b/>
          <w:bCs/>
          <w:sz w:val="28"/>
          <w:szCs w:val="28"/>
        </w:rPr>
        <w:t>Critical Diameter</w:t>
      </w:r>
    </w:p>
    <w:p w14:paraId="4A185FA8" w14:textId="3BE22C06" w:rsidR="00A758DB" w:rsidRPr="00C0247F" w:rsidRDefault="00C21983" w:rsidP="000B7D3A">
      <w:pPr>
        <w:spacing w:line="360" w:lineRule="auto"/>
        <w:rPr>
          <w:rFonts w:ascii="Arial" w:hAnsi="Arial" w:cs="Arial"/>
          <w:sz w:val="22"/>
          <w:szCs w:val="22"/>
        </w:rPr>
      </w:pPr>
      <w:r w:rsidRPr="00C0247F">
        <w:rPr>
          <w:rFonts w:ascii="Arial" w:hAnsi="Arial" w:cs="Arial"/>
          <w:sz w:val="22"/>
          <w:szCs w:val="22"/>
        </w:rPr>
        <w:t xml:space="preserve">The critical diameter </w:t>
      </w:r>
      <w:r w:rsidR="00615F8B">
        <w:rPr>
          <w:rFonts w:ascii="Arial" w:hAnsi="Arial" w:cs="Arial"/>
          <w:sz w:val="22"/>
          <w:szCs w:val="22"/>
        </w:rPr>
        <w:t>is</w:t>
      </w:r>
      <w:r w:rsidRPr="00C0247F">
        <w:rPr>
          <w:rFonts w:ascii="Arial" w:hAnsi="Arial" w:cs="Arial"/>
          <w:sz w:val="22"/>
          <w:szCs w:val="22"/>
        </w:rPr>
        <w:t xml:space="preserve"> defined as the minimum diameter of an explosive required for detonation. Below this value, the detonation velocity decreases and the reaction will either deflagrate or just fail entirely. The confinement of an explosive will decrease the critical diameter value as the pressure is now allowed to build up against the wall of the confinement, providing a greater pressure wave </w:t>
      </w:r>
      <w:r w:rsidR="00814BCA" w:rsidRPr="00C0247F">
        <w:rPr>
          <w:rFonts w:ascii="Arial" w:hAnsi="Arial" w:cs="Arial"/>
          <w:sz w:val="22"/>
          <w:szCs w:val="22"/>
        </w:rPr>
        <w:t xml:space="preserve">with less energy loss to the surroundings. This is analogous to kicking a ball in an open </w:t>
      </w:r>
      <w:r w:rsidR="003245FE" w:rsidRPr="00C0247F">
        <w:rPr>
          <w:rFonts w:ascii="Arial" w:hAnsi="Arial" w:cs="Arial"/>
          <w:sz w:val="22"/>
          <w:szCs w:val="22"/>
        </w:rPr>
        <w:t>field or</w:t>
      </w:r>
      <w:r w:rsidR="00814BCA" w:rsidRPr="00C0247F">
        <w:rPr>
          <w:rFonts w:ascii="Arial" w:hAnsi="Arial" w:cs="Arial"/>
          <w:sz w:val="22"/>
          <w:szCs w:val="22"/>
        </w:rPr>
        <w:t xml:space="preserve"> kicking a ball in a confined alleyway. </w:t>
      </w:r>
      <w:r w:rsidR="003245FE" w:rsidRPr="00C0247F">
        <w:rPr>
          <w:rFonts w:ascii="Arial" w:hAnsi="Arial" w:cs="Arial"/>
          <w:sz w:val="22"/>
          <w:szCs w:val="22"/>
        </w:rPr>
        <w:t xml:space="preserve">Importantly, this means that materials can now be used in varying sizes to prevent, or make sure of, detonation. Transporting materials unconfined and in smaller quantities would help prevent accidental detonation. This is also useful for OME designers as it provides the exact amount of explosive material needed for a cost or weight sensitive design. Any wider of a shape and it becomes redundant, and any smaller and it </w:t>
      </w:r>
      <w:r w:rsidR="004E62CA" w:rsidRPr="00C0247F">
        <w:rPr>
          <w:rFonts w:ascii="Arial" w:hAnsi="Arial" w:cs="Arial"/>
          <w:sz w:val="22"/>
          <w:szCs w:val="22"/>
        </w:rPr>
        <w:t>will not</w:t>
      </w:r>
      <w:r w:rsidR="003245FE" w:rsidRPr="00C0247F">
        <w:rPr>
          <w:rFonts w:ascii="Arial" w:hAnsi="Arial" w:cs="Arial"/>
          <w:sz w:val="22"/>
          <w:szCs w:val="22"/>
        </w:rPr>
        <w:t xml:space="preserve"> go off.</w:t>
      </w:r>
      <w:r w:rsidRPr="00C0247F">
        <w:rPr>
          <w:rFonts w:ascii="Arial" w:hAnsi="Arial" w:cs="Arial"/>
          <w:sz w:val="22"/>
          <w:szCs w:val="22"/>
        </w:rPr>
        <w:t xml:space="preserve"> The density of the material also affects the critical diameter</w:t>
      </w:r>
      <w:r w:rsidR="00814BCA" w:rsidRPr="00C0247F">
        <w:rPr>
          <w:rFonts w:ascii="Arial" w:hAnsi="Arial" w:cs="Arial"/>
          <w:sz w:val="22"/>
          <w:szCs w:val="22"/>
        </w:rPr>
        <w:t xml:space="preserve"> with an inverse relationship. This is because the material now has less medium to propagate through, so a smaller density needs more explosive material to provide enough energy to detonate</w:t>
      </w:r>
      <w:r w:rsidR="004E62CA" w:rsidRPr="00C0247F">
        <w:rPr>
          <w:rFonts w:ascii="Arial" w:hAnsi="Arial" w:cs="Arial"/>
          <w:sz w:val="22"/>
          <w:szCs w:val="22"/>
        </w:rPr>
        <w:t xml:space="preserve">. </w:t>
      </w:r>
      <w:r w:rsidR="003245FE" w:rsidRPr="00C0247F">
        <w:rPr>
          <w:rFonts w:ascii="Arial" w:hAnsi="Arial" w:cs="Arial"/>
          <w:sz w:val="22"/>
          <w:szCs w:val="22"/>
        </w:rPr>
        <w:t xml:space="preserve">Eventually, this will lead to such a low density, that the critical diameter is now absurdly high – with this phenomenon being known as its critical density. Furthermore, this means that all explosives will have varying critical diameters depending on the density of substance. Other factors that can contribute to this are </w:t>
      </w:r>
      <w:r w:rsidR="00A758DB" w:rsidRPr="00C0247F">
        <w:rPr>
          <w:rFonts w:ascii="Arial" w:hAnsi="Arial" w:cs="Arial"/>
          <w:sz w:val="22"/>
          <w:szCs w:val="22"/>
        </w:rPr>
        <w:t>heat, atmospheric pressure, moisture, particle shape, etc.</w:t>
      </w:r>
    </w:p>
    <w:p w14:paraId="04891FEC" w14:textId="523921A1" w:rsidR="00615F8B" w:rsidRDefault="00D82DAD" w:rsidP="000B7D3A">
      <w:pPr>
        <w:spacing w:line="360" w:lineRule="auto"/>
        <w:rPr>
          <w:rFonts w:ascii="Arial" w:eastAsia="Times New Roman" w:hAnsi="Arial" w:cs="Arial"/>
          <w:kern w:val="0"/>
          <w:sz w:val="22"/>
          <w:szCs w:val="22"/>
          <w:lang w:eastAsia="en-GB"/>
          <w14:ligatures w14:val="none"/>
        </w:rPr>
      </w:pPr>
      <w:r w:rsidRPr="00C0247F">
        <w:rPr>
          <w:rFonts w:ascii="Arial" w:hAnsi="Arial" w:cs="Arial"/>
          <w:sz w:val="22"/>
          <w:szCs w:val="22"/>
        </w:rPr>
        <w:t>TNT in literature h</w:t>
      </w:r>
      <w:r w:rsidR="00F02D23" w:rsidRPr="00C0247F">
        <w:rPr>
          <w:rFonts w:ascii="Arial" w:hAnsi="Arial" w:cs="Arial"/>
          <w:sz w:val="22"/>
          <w:szCs w:val="22"/>
        </w:rPr>
        <w:t xml:space="preserve">as multiple critical </w:t>
      </w:r>
      <w:r w:rsidR="00C0247F" w:rsidRPr="00C0247F">
        <w:rPr>
          <w:rFonts w:ascii="Arial" w:hAnsi="Arial" w:cs="Arial"/>
          <w:sz w:val="22"/>
          <w:szCs w:val="22"/>
        </w:rPr>
        <w:t>diameters</w:t>
      </w:r>
      <w:r w:rsidR="00F02D23" w:rsidRPr="00C0247F">
        <w:rPr>
          <w:rFonts w:ascii="Arial" w:hAnsi="Arial" w:cs="Arial"/>
          <w:sz w:val="22"/>
          <w:szCs w:val="22"/>
        </w:rPr>
        <w:t xml:space="preserve"> depending on its initial characteristics</w:t>
      </w:r>
      <w:r w:rsidRPr="00C0247F">
        <w:rPr>
          <w:rFonts w:ascii="Arial" w:hAnsi="Arial" w:cs="Arial"/>
          <w:sz w:val="22"/>
          <w:szCs w:val="22"/>
        </w:rPr>
        <w:t xml:space="preserve">. </w:t>
      </w:r>
      <w:r w:rsidR="004E62CA">
        <w:rPr>
          <w:rFonts w:ascii="Arial" w:hAnsi="Arial" w:cs="Arial"/>
          <w:sz w:val="22"/>
          <w:szCs w:val="22"/>
        </w:rPr>
        <w:t>LLNL</w:t>
      </w:r>
      <w:r w:rsidRPr="00C0247F">
        <w:rPr>
          <w:rFonts w:ascii="Arial" w:hAnsi="Arial" w:cs="Arial"/>
          <w:sz w:val="22"/>
          <w:szCs w:val="22"/>
        </w:rPr>
        <w:t xml:space="preserve"> handbook has unconfined cast </w:t>
      </w:r>
      <w:r w:rsidR="004E62CA">
        <w:rPr>
          <w:rFonts w:ascii="Arial" w:hAnsi="Arial" w:cs="Arial"/>
          <w:sz w:val="22"/>
          <w:szCs w:val="22"/>
        </w:rPr>
        <w:t>TNT</w:t>
      </w:r>
      <w:r w:rsidRPr="00C0247F">
        <w:rPr>
          <w:rFonts w:ascii="Arial" w:hAnsi="Arial" w:cs="Arial"/>
          <w:sz w:val="22"/>
          <w:szCs w:val="22"/>
        </w:rPr>
        <w:t xml:space="preserve"> as 27.43mm </w:t>
      </w:r>
      <w:r w:rsidR="00DF7F6E" w:rsidRPr="00C0247F">
        <w:rPr>
          <w:rFonts w:ascii="Arial" w:eastAsia="Times New Roman" w:hAnsi="Arial" w:cs="Arial"/>
          <w:kern w:val="0"/>
          <w:sz w:val="22"/>
          <w:szCs w:val="22"/>
          <w:lang w:eastAsia="en-GB"/>
          <w14:ligatures w14:val="none"/>
        </w:rPr>
        <w:t>[17]</w:t>
      </w:r>
      <w:r w:rsidR="00C0247F" w:rsidRPr="00C0247F">
        <w:rPr>
          <w:rFonts w:ascii="Arial" w:eastAsia="Times New Roman" w:hAnsi="Arial" w:cs="Arial"/>
          <w:kern w:val="0"/>
          <w:sz w:val="22"/>
          <w:szCs w:val="22"/>
          <w:lang w:eastAsia="en-GB"/>
          <w14:ligatures w14:val="none"/>
        </w:rPr>
        <w:t>.</w:t>
      </w:r>
      <w:r w:rsidR="00DF7F6E" w:rsidRPr="00C0247F">
        <w:rPr>
          <w:rFonts w:ascii="Arial" w:eastAsia="Times New Roman" w:hAnsi="Arial" w:cs="Arial"/>
          <w:kern w:val="0"/>
          <w:sz w:val="22"/>
          <w:szCs w:val="22"/>
          <w:lang w:eastAsia="en-GB"/>
          <w14:ligatures w14:val="none"/>
        </w:rPr>
        <w:t xml:space="preserve"> </w:t>
      </w:r>
      <w:r w:rsidRPr="00C0247F">
        <w:rPr>
          <w:rFonts w:ascii="Arial" w:eastAsia="Times New Roman" w:hAnsi="Arial" w:cs="Arial"/>
          <w:kern w:val="0"/>
          <w:sz w:val="22"/>
          <w:szCs w:val="22"/>
          <w:lang w:eastAsia="en-GB"/>
          <w14:ligatures w14:val="none"/>
        </w:rPr>
        <w:t>And another at 27mm [</w:t>
      </w:r>
      <w:r w:rsidR="00DF7F6E" w:rsidRPr="00C0247F">
        <w:rPr>
          <w:rFonts w:ascii="Arial" w:eastAsia="Times New Roman" w:hAnsi="Arial" w:cs="Arial"/>
          <w:kern w:val="0"/>
          <w:sz w:val="22"/>
          <w:szCs w:val="22"/>
          <w:lang w:eastAsia="en-GB"/>
          <w14:ligatures w14:val="none"/>
        </w:rPr>
        <w:t>18]</w:t>
      </w:r>
      <w:r w:rsidR="007B3949">
        <w:rPr>
          <w:rFonts w:ascii="Arial" w:eastAsia="Times New Roman" w:hAnsi="Arial" w:cs="Arial"/>
          <w:kern w:val="0"/>
          <w:sz w:val="22"/>
          <w:szCs w:val="22"/>
          <w:lang w:eastAsia="en-GB"/>
          <w14:ligatures w14:val="none"/>
        </w:rPr>
        <w:t>.</w:t>
      </w:r>
      <w:r w:rsidRPr="00C0247F">
        <w:rPr>
          <w:rFonts w:ascii="Arial" w:eastAsia="Times New Roman" w:hAnsi="Arial" w:cs="Arial"/>
          <w:kern w:val="0"/>
          <w:sz w:val="22"/>
          <w:szCs w:val="22"/>
          <w:lang w:eastAsia="en-GB"/>
          <w14:ligatures w14:val="none"/>
        </w:rPr>
        <w:t xml:space="preserve"> </w:t>
      </w:r>
      <w:r w:rsidR="001013F7" w:rsidRPr="00C0247F">
        <w:rPr>
          <w:rFonts w:ascii="Arial" w:eastAsia="Times New Roman" w:hAnsi="Arial" w:cs="Arial"/>
          <w:kern w:val="0"/>
          <w:sz w:val="22"/>
          <w:szCs w:val="22"/>
          <w:lang w:eastAsia="en-GB"/>
          <w14:ligatures w14:val="none"/>
        </w:rPr>
        <w:t>JSP 333 shows TNT with a density of 1.61g/cm</w:t>
      </w:r>
      <w:r w:rsidR="001013F7" w:rsidRPr="00C0247F">
        <w:rPr>
          <w:rFonts w:ascii="Arial" w:eastAsia="Times New Roman" w:hAnsi="Arial" w:cs="Arial"/>
          <w:kern w:val="0"/>
          <w:sz w:val="22"/>
          <w:szCs w:val="22"/>
          <w:vertAlign w:val="superscript"/>
          <w:lang w:eastAsia="en-GB"/>
          <w14:ligatures w14:val="none"/>
        </w:rPr>
        <w:t>3</w:t>
      </w:r>
      <w:r w:rsidR="001013F7" w:rsidRPr="00C0247F">
        <w:rPr>
          <w:rFonts w:ascii="Arial" w:eastAsia="Times New Roman" w:hAnsi="Arial" w:cs="Arial"/>
          <w:kern w:val="0"/>
          <w:sz w:val="22"/>
          <w:szCs w:val="22"/>
          <w:lang w:eastAsia="en-GB"/>
          <w14:ligatures w14:val="none"/>
        </w:rPr>
        <w:t xml:space="preserve"> has a critical diameter of 7mm at just 0.2mm of confinement</w:t>
      </w:r>
      <w:r w:rsidR="00DF7F6E" w:rsidRPr="00C0247F">
        <w:rPr>
          <w:rFonts w:ascii="Arial" w:eastAsia="Times New Roman" w:hAnsi="Arial" w:cs="Arial"/>
          <w:kern w:val="0"/>
          <w:sz w:val="22"/>
          <w:szCs w:val="22"/>
          <w:lang w:eastAsia="en-GB"/>
          <w14:ligatures w14:val="none"/>
        </w:rPr>
        <w:t xml:space="preserve">. </w:t>
      </w:r>
      <w:r w:rsidR="00CD0F28" w:rsidRPr="00C0247F">
        <w:rPr>
          <w:rFonts w:ascii="Arial" w:eastAsia="Times New Roman" w:hAnsi="Arial" w:cs="Arial"/>
          <w:kern w:val="0"/>
          <w:sz w:val="22"/>
          <w:szCs w:val="22"/>
          <w:lang w:eastAsia="en-GB"/>
          <w14:ligatures w14:val="none"/>
        </w:rPr>
        <w:t xml:space="preserve">Another source states a </w:t>
      </w:r>
      <w:r w:rsidR="00F02D23" w:rsidRPr="00C0247F">
        <w:rPr>
          <w:rFonts w:ascii="Arial" w:eastAsia="Times New Roman" w:hAnsi="Arial" w:cs="Arial"/>
          <w:kern w:val="0"/>
          <w:sz w:val="22"/>
          <w:szCs w:val="22"/>
          <w:lang w:eastAsia="en-GB"/>
          <w14:ligatures w14:val="none"/>
        </w:rPr>
        <w:t xml:space="preserve">critical diameter </w:t>
      </w:r>
      <w:r w:rsidR="00CD0F28" w:rsidRPr="00C0247F">
        <w:rPr>
          <w:rFonts w:ascii="Arial" w:eastAsia="Times New Roman" w:hAnsi="Arial" w:cs="Arial"/>
          <w:kern w:val="0"/>
          <w:sz w:val="22"/>
          <w:szCs w:val="22"/>
          <w:lang w:eastAsia="en-GB"/>
          <w14:ligatures w14:val="none"/>
        </w:rPr>
        <w:t>of just</w:t>
      </w:r>
      <w:r w:rsidR="00F02D23" w:rsidRPr="00C0247F">
        <w:rPr>
          <w:rFonts w:ascii="Arial" w:eastAsia="Times New Roman" w:hAnsi="Arial" w:cs="Arial"/>
          <w:kern w:val="0"/>
          <w:sz w:val="22"/>
          <w:szCs w:val="22"/>
          <w:lang w:eastAsia="en-GB"/>
          <w14:ligatures w14:val="none"/>
        </w:rPr>
        <w:t xml:space="preserve"> 8-10mm</w:t>
      </w:r>
      <w:r w:rsidR="001013F7" w:rsidRPr="00C0247F">
        <w:rPr>
          <w:rFonts w:ascii="Arial" w:eastAsia="Times New Roman" w:hAnsi="Arial" w:cs="Arial"/>
          <w:kern w:val="0"/>
          <w:sz w:val="22"/>
          <w:szCs w:val="22"/>
          <w:lang w:eastAsia="en-GB"/>
          <w14:ligatures w14:val="none"/>
        </w:rPr>
        <w:t xml:space="preserve"> with similar </w:t>
      </w:r>
      <w:r w:rsidR="001013F7" w:rsidRPr="00C0247F">
        <w:rPr>
          <w:rFonts w:ascii="Arial" w:eastAsia="Times New Roman" w:hAnsi="Arial" w:cs="Arial"/>
          <w:kern w:val="0"/>
          <w:sz w:val="22"/>
          <w:szCs w:val="22"/>
          <w:lang w:eastAsia="en-GB"/>
          <w14:ligatures w14:val="none"/>
        </w:rPr>
        <w:lastRenderedPageBreak/>
        <w:t>confinemen</w:t>
      </w:r>
      <w:r w:rsidR="00DF7F6E" w:rsidRPr="00C0247F">
        <w:rPr>
          <w:rFonts w:ascii="Arial" w:eastAsia="Times New Roman" w:hAnsi="Arial" w:cs="Arial"/>
          <w:kern w:val="0"/>
          <w:sz w:val="22"/>
          <w:szCs w:val="22"/>
          <w:lang w:eastAsia="en-GB"/>
          <w14:ligatures w14:val="none"/>
        </w:rPr>
        <w:t>t [19]</w:t>
      </w:r>
      <w:r w:rsidR="00F02D23" w:rsidRPr="00C0247F">
        <w:rPr>
          <w:rFonts w:ascii="Arial" w:eastAsia="Times New Roman" w:hAnsi="Arial" w:cs="Arial"/>
          <w:kern w:val="0"/>
          <w:sz w:val="22"/>
          <w:szCs w:val="22"/>
          <w:lang w:eastAsia="en-GB"/>
          <w14:ligatures w14:val="none"/>
        </w:rPr>
        <w:t>.</w:t>
      </w:r>
      <w:r w:rsidR="00CD0F28" w:rsidRPr="00C0247F">
        <w:rPr>
          <w:rFonts w:ascii="Arial" w:eastAsia="Times New Roman" w:hAnsi="Arial" w:cs="Arial"/>
          <w:kern w:val="0"/>
          <w:sz w:val="22"/>
          <w:szCs w:val="22"/>
          <w:lang w:eastAsia="en-GB"/>
          <w14:ligatures w14:val="none"/>
        </w:rPr>
        <w:t xml:space="preserve"> In addition to this, </w:t>
      </w:r>
      <w:r w:rsidR="00DF7F6E" w:rsidRPr="00C0247F">
        <w:rPr>
          <w:rFonts w:ascii="Arial" w:eastAsia="Times New Roman" w:hAnsi="Arial" w:cs="Arial"/>
          <w:kern w:val="0"/>
          <w:sz w:val="22"/>
          <w:szCs w:val="22"/>
          <w:lang w:eastAsia="en-GB"/>
          <w14:ligatures w14:val="none"/>
        </w:rPr>
        <w:t>the</w:t>
      </w:r>
      <w:r w:rsidR="00CD0F28" w:rsidRPr="00C0247F">
        <w:rPr>
          <w:rFonts w:ascii="Arial" w:eastAsia="Times New Roman" w:hAnsi="Arial" w:cs="Arial"/>
          <w:kern w:val="0"/>
          <w:sz w:val="22"/>
          <w:szCs w:val="22"/>
          <w:lang w:eastAsia="en-GB"/>
          <w14:ligatures w14:val="none"/>
        </w:rPr>
        <w:t xml:space="preserve"> paper </w:t>
      </w:r>
      <w:r w:rsidR="00DF7F6E" w:rsidRPr="00C0247F">
        <w:rPr>
          <w:rFonts w:ascii="Arial" w:eastAsia="Times New Roman" w:hAnsi="Arial" w:cs="Arial"/>
          <w:kern w:val="0"/>
          <w:sz w:val="22"/>
          <w:szCs w:val="22"/>
          <w:lang w:eastAsia="en-GB"/>
          <w14:ligatures w14:val="none"/>
        </w:rPr>
        <w:t xml:space="preserve">by Price </w:t>
      </w:r>
      <w:r w:rsidR="00CD0F28" w:rsidRPr="00C0247F">
        <w:rPr>
          <w:rFonts w:ascii="Arial" w:eastAsia="Times New Roman" w:hAnsi="Arial" w:cs="Arial"/>
          <w:kern w:val="0"/>
          <w:sz w:val="22"/>
          <w:szCs w:val="22"/>
          <w:lang w:eastAsia="en-GB"/>
          <w14:ligatures w14:val="none"/>
        </w:rPr>
        <w:t xml:space="preserve">specifically tested </w:t>
      </w:r>
      <w:r w:rsidR="004E62CA">
        <w:rPr>
          <w:rFonts w:ascii="Arial" w:eastAsia="Times New Roman" w:hAnsi="Arial" w:cs="Arial"/>
          <w:kern w:val="0"/>
          <w:sz w:val="22"/>
          <w:szCs w:val="22"/>
          <w:lang w:eastAsia="en-GB"/>
          <w14:ligatures w14:val="none"/>
        </w:rPr>
        <w:t>TNT</w:t>
      </w:r>
      <w:r w:rsidR="00CD0F28" w:rsidRPr="00C0247F">
        <w:rPr>
          <w:rFonts w:ascii="Arial" w:eastAsia="Times New Roman" w:hAnsi="Arial" w:cs="Arial"/>
          <w:kern w:val="0"/>
          <w:sz w:val="22"/>
          <w:szCs w:val="22"/>
          <w:lang w:eastAsia="en-GB"/>
          <w14:ligatures w14:val="none"/>
        </w:rPr>
        <w:t xml:space="preserve"> with a density greater than 0.37g/cm</w:t>
      </w:r>
      <w:r w:rsidR="00CD0F28" w:rsidRPr="00C0247F">
        <w:rPr>
          <w:rFonts w:ascii="Arial" w:eastAsia="Times New Roman" w:hAnsi="Arial" w:cs="Arial"/>
          <w:kern w:val="0"/>
          <w:sz w:val="22"/>
          <w:szCs w:val="22"/>
          <w:vertAlign w:val="superscript"/>
          <w:lang w:eastAsia="en-GB"/>
          <w14:ligatures w14:val="none"/>
        </w:rPr>
        <w:t>3</w:t>
      </w:r>
      <w:r w:rsidR="00DF7F6E" w:rsidRPr="00C0247F">
        <w:rPr>
          <w:rFonts w:ascii="Arial" w:eastAsia="Times New Roman" w:hAnsi="Arial" w:cs="Arial"/>
          <w:kern w:val="0"/>
          <w:sz w:val="22"/>
          <w:szCs w:val="22"/>
          <w:lang w:eastAsia="en-GB"/>
          <w14:ligatures w14:val="none"/>
        </w:rPr>
        <w:t>,</w:t>
      </w:r>
      <w:r w:rsidR="00CD0F28" w:rsidRPr="00C0247F">
        <w:rPr>
          <w:rFonts w:ascii="Arial" w:eastAsia="Times New Roman" w:hAnsi="Arial" w:cs="Arial"/>
          <w:kern w:val="0"/>
          <w:sz w:val="22"/>
          <w:szCs w:val="22"/>
          <w:lang w:eastAsia="en-GB"/>
          <w14:ligatures w14:val="none"/>
        </w:rPr>
        <w:t xml:space="preserve"> which is the lowest </w:t>
      </w:r>
      <w:r w:rsidR="007B3949">
        <w:rPr>
          <w:rFonts w:ascii="Arial" w:eastAsia="Times New Roman" w:hAnsi="Arial" w:cs="Arial"/>
          <w:kern w:val="0"/>
          <w:sz w:val="22"/>
          <w:szCs w:val="22"/>
          <w:lang w:eastAsia="en-GB"/>
          <w14:ligatures w14:val="none"/>
        </w:rPr>
        <w:t>tested density</w:t>
      </w:r>
      <w:r w:rsidR="00CD0F28" w:rsidRPr="00C0247F">
        <w:rPr>
          <w:rFonts w:ascii="Arial" w:eastAsia="Times New Roman" w:hAnsi="Arial" w:cs="Arial"/>
          <w:kern w:val="0"/>
          <w:sz w:val="22"/>
          <w:szCs w:val="22"/>
          <w:lang w:eastAsia="en-GB"/>
          <w14:ligatures w14:val="none"/>
        </w:rPr>
        <w:t xml:space="preserve"> available to find. </w:t>
      </w:r>
    </w:p>
    <w:p w14:paraId="6CCB96ED" w14:textId="2001EA60" w:rsidR="00D7065F" w:rsidRPr="00C0247F" w:rsidRDefault="00EF17EB" w:rsidP="000B7D3A">
      <w:pPr>
        <w:spacing w:line="360" w:lineRule="auto"/>
        <w:rPr>
          <w:rFonts w:ascii="Arial" w:eastAsia="Times New Roman" w:hAnsi="Arial" w:cs="Arial"/>
          <w:kern w:val="0"/>
          <w:sz w:val="22"/>
          <w:szCs w:val="22"/>
          <w:lang w:eastAsia="en-GB"/>
          <w14:ligatures w14:val="none"/>
        </w:rPr>
      </w:pPr>
      <w:r w:rsidRPr="00C0247F">
        <w:rPr>
          <w:rFonts w:ascii="Arial" w:eastAsia="Times New Roman" w:hAnsi="Arial" w:cs="Arial"/>
          <w:kern w:val="0"/>
          <w:sz w:val="22"/>
          <w:szCs w:val="22"/>
          <w:lang w:eastAsia="en-GB"/>
          <w14:ligatures w14:val="none"/>
        </w:rPr>
        <w:t>Lead azide</w:t>
      </w:r>
      <w:r w:rsidR="00D7065F" w:rsidRPr="00C0247F">
        <w:rPr>
          <w:rFonts w:ascii="Arial" w:eastAsia="Times New Roman" w:hAnsi="Arial" w:cs="Arial"/>
          <w:kern w:val="0"/>
          <w:sz w:val="22"/>
          <w:szCs w:val="22"/>
          <w:lang w:eastAsia="en-GB"/>
          <w14:ligatures w14:val="none"/>
        </w:rPr>
        <w:t xml:space="preserve"> has almost no data on its critical diameter, with some </w:t>
      </w:r>
      <w:r w:rsidRPr="00C0247F">
        <w:rPr>
          <w:rFonts w:ascii="Arial" w:eastAsia="Times New Roman" w:hAnsi="Arial" w:cs="Arial"/>
          <w:kern w:val="0"/>
          <w:sz w:val="22"/>
          <w:szCs w:val="22"/>
          <w:lang w:eastAsia="en-GB"/>
          <w14:ligatures w14:val="none"/>
        </w:rPr>
        <w:t>studies</w:t>
      </w:r>
      <w:r w:rsidR="00D7065F" w:rsidRPr="00C0247F">
        <w:rPr>
          <w:rFonts w:ascii="Arial" w:eastAsia="Times New Roman" w:hAnsi="Arial" w:cs="Arial"/>
          <w:kern w:val="0"/>
          <w:sz w:val="22"/>
          <w:szCs w:val="22"/>
          <w:lang w:eastAsia="en-GB"/>
          <w14:ligatures w14:val="none"/>
        </w:rPr>
        <w:t xml:space="preserve"> using sizes of 10</w:t>
      </w:r>
      <w:r w:rsidRPr="00C0247F">
        <w:rPr>
          <w:rFonts w:ascii="Arial" w:eastAsia="Times New Roman" w:hAnsi="Arial" w:cs="Arial"/>
          <w:kern w:val="0"/>
          <w:sz w:val="22"/>
          <w:szCs w:val="22"/>
          <w:lang w:eastAsia="en-GB"/>
          <w14:ligatures w14:val="none"/>
        </w:rPr>
        <w:t>μ (while confined)</w:t>
      </w:r>
      <w:r w:rsidR="00D7065F" w:rsidRPr="00C0247F">
        <w:rPr>
          <w:rFonts w:ascii="Arial" w:eastAsia="Times New Roman" w:hAnsi="Arial" w:cs="Arial"/>
          <w:kern w:val="0"/>
          <w:sz w:val="22"/>
          <w:szCs w:val="22"/>
          <w:lang w:eastAsia="en-GB"/>
          <w14:ligatures w14:val="none"/>
        </w:rPr>
        <w:t xml:space="preserve"> [</w:t>
      </w:r>
      <w:r w:rsidR="00C0247F" w:rsidRPr="00C0247F">
        <w:rPr>
          <w:rFonts w:ascii="Arial" w:eastAsia="Times New Roman" w:hAnsi="Arial" w:cs="Arial"/>
          <w:kern w:val="0"/>
          <w:sz w:val="22"/>
          <w:szCs w:val="22"/>
          <w:lang w:eastAsia="en-GB"/>
          <w14:ligatures w14:val="none"/>
        </w:rPr>
        <w:t>21</w:t>
      </w:r>
      <w:r w:rsidR="00D7065F" w:rsidRPr="00C0247F">
        <w:rPr>
          <w:rFonts w:ascii="Arial" w:eastAsia="Times New Roman" w:hAnsi="Arial" w:cs="Arial"/>
          <w:kern w:val="0"/>
          <w:sz w:val="22"/>
          <w:szCs w:val="22"/>
          <w:lang w:eastAsia="en-GB"/>
          <w14:ligatures w14:val="none"/>
        </w:rPr>
        <w:t xml:space="preserve">] and still achieving detonation. </w:t>
      </w:r>
      <w:r w:rsidRPr="00C0247F">
        <w:rPr>
          <w:rFonts w:ascii="Arial" w:eastAsia="Times New Roman" w:hAnsi="Arial" w:cs="Arial"/>
          <w:kern w:val="0"/>
          <w:sz w:val="22"/>
          <w:szCs w:val="22"/>
          <w:lang w:eastAsia="en-GB"/>
          <w14:ligatures w14:val="none"/>
        </w:rPr>
        <w:t xml:space="preserve">This suggests that the critical diameter for lead azide is not </w:t>
      </w:r>
      <w:r w:rsidR="001013F7" w:rsidRPr="00C0247F">
        <w:rPr>
          <w:rFonts w:ascii="Arial" w:eastAsia="Times New Roman" w:hAnsi="Arial" w:cs="Arial"/>
          <w:kern w:val="0"/>
          <w:sz w:val="22"/>
          <w:szCs w:val="22"/>
          <w:lang w:eastAsia="en-GB"/>
          <w14:ligatures w14:val="none"/>
        </w:rPr>
        <w:t>too</w:t>
      </w:r>
      <w:r w:rsidRPr="00C0247F">
        <w:rPr>
          <w:rFonts w:ascii="Arial" w:eastAsia="Times New Roman" w:hAnsi="Arial" w:cs="Arial"/>
          <w:kern w:val="0"/>
          <w:sz w:val="22"/>
          <w:szCs w:val="22"/>
          <w:lang w:eastAsia="en-GB"/>
          <w14:ligatures w14:val="none"/>
        </w:rPr>
        <w:t xml:space="preserve"> important to consider when designing for practical applications. The usual density used for lead azide is 4.8g/cm</w:t>
      </w:r>
      <w:r w:rsidRPr="00C0247F">
        <w:rPr>
          <w:rFonts w:ascii="Arial" w:eastAsia="Times New Roman" w:hAnsi="Arial" w:cs="Arial"/>
          <w:kern w:val="0"/>
          <w:sz w:val="22"/>
          <w:szCs w:val="22"/>
          <w:vertAlign w:val="superscript"/>
          <w:lang w:eastAsia="en-GB"/>
          <w14:ligatures w14:val="none"/>
        </w:rPr>
        <w:t>3</w:t>
      </w:r>
      <w:r w:rsidR="00DF7F6E" w:rsidRPr="00C0247F">
        <w:rPr>
          <w:rFonts w:ascii="Arial" w:eastAsia="Times New Roman" w:hAnsi="Arial" w:cs="Arial"/>
          <w:kern w:val="0"/>
          <w:sz w:val="22"/>
          <w:szCs w:val="22"/>
          <w:lang w:eastAsia="en-GB"/>
          <w14:ligatures w14:val="none"/>
        </w:rPr>
        <w:t>, as stated by Murray.</w:t>
      </w:r>
    </w:p>
    <w:p w14:paraId="4D9E9AF6" w14:textId="52CF97E8" w:rsidR="00A758DB" w:rsidRPr="00C0247F" w:rsidRDefault="00A758DB" w:rsidP="000B7D3A">
      <w:pPr>
        <w:spacing w:line="360" w:lineRule="auto"/>
        <w:rPr>
          <w:rFonts w:ascii="Arial" w:hAnsi="Arial" w:cs="Arial"/>
          <w:sz w:val="22"/>
          <w:szCs w:val="22"/>
        </w:rPr>
      </w:pPr>
      <w:r w:rsidRPr="00C0247F">
        <w:rPr>
          <w:rFonts w:ascii="Arial" w:hAnsi="Arial" w:cs="Arial"/>
          <w:sz w:val="22"/>
          <w:szCs w:val="22"/>
        </w:rPr>
        <w:t xml:space="preserve">For the chosen explosives, a minimum of 0.9g of lead azide </w:t>
      </w:r>
      <w:r w:rsidR="00CD0F28" w:rsidRPr="00C0247F">
        <w:rPr>
          <w:rFonts w:ascii="Arial" w:hAnsi="Arial" w:cs="Arial"/>
          <w:sz w:val="22"/>
          <w:szCs w:val="22"/>
        </w:rPr>
        <w:t>is</w:t>
      </w:r>
      <w:r w:rsidRPr="00C0247F">
        <w:rPr>
          <w:rFonts w:ascii="Arial" w:hAnsi="Arial" w:cs="Arial"/>
          <w:sz w:val="22"/>
          <w:szCs w:val="22"/>
        </w:rPr>
        <w:t xml:space="preserve"> needed to initiate the TNT [</w:t>
      </w:r>
      <w:r w:rsidR="00DF7F6E" w:rsidRPr="00C0247F">
        <w:rPr>
          <w:rFonts w:ascii="Arial" w:hAnsi="Arial" w:cs="Arial"/>
          <w:sz w:val="22"/>
          <w:szCs w:val="22"/>
        </w:rPr>
        <w:t>11</w:t>
      </w:r>
      <w:r w:rsidR="007B3949">
        <w:rPr>
          <w:rFonts w:ascii="Arial" w:hAnsi="Arial" w:cs="Arial"/>
          <w:sz w:val="22"/>
          <w:szCs w:val="22"/>
        </w:rPr>
        <w:t>]</w:t>
      </w:r>
      <w:r w:rsidRPr="00C0247F">
        <w:rPr>
          <w:rFonts w:ascii="Arial" w:hAnsi="Arial" w:cs="Arial"/>
          <w:sz w:val="22"/>
          <w:szCs w:val="22"/>
        </w:rPr>
        <w:t>. Lead azide is not as sensitive to impact, ESD, or heat as other primaries such as mercury fulminate. However, lead azide is extremely sensitive to friction (</w:t>
      </w:r>
      <w:r w:rsidR="002637DA" w:rsidRPr="00C0247F">
        <w:rPr>
          <w:rFonts w:ascii="Arial" w:hAnsi="Arial" w:cs="Arial"/>
          <w:sz w:val="22"/>
          <w:szCs w:val="22"/>
        </w:rPr>
        <w:t>0.3-</w:t>
      </w:r>
      <w:r w:rsidR="00F6624F" w:rsidRPr="00C0247F">
        <w:rPr>
          <w:rFonts w:ascii="Arial" w:hAnsi="Arial" w:cs="Arial"/>
          <w:sz w:val="22"/>
          <w:szCs w:val="22"/>
        </w:rPr>
        <w:t>1</w:t>
      </w:r>
      <w:r w:rsidR="002637DA" w:rsidRPr="00C0247F">
        <w:rPr>
          <w:rFonts w:ascii="Arial" w:hAnsi="Arial" w:cs="Arial"/>
          <w:sz w:val="22"/>
          <w:szCs w:val="22"/>
        </w:rPr>
        <w:t>N)</w:t>
      </w:r>
      <w:r w:rsidRPr="00C0247F">
        <w:rPr>
          <w:rFonts w:ascii="Arial" w:hAnsi="Arial" w:cs="Arial"/>
          <w:sz w:val="22"/>
          <w:szCs w:val="22"/>
        </w:rPr>
        <w:t xml:space="preserve"> and therefore friction should be the chosen stimulus to initiate the primary explosive.</w:t>
      </w:r>
      <w:r w:rsidR="002637DA" w:rsidRPr="00C0247F">
        <w:rPr>
          <w:rFonts w:ascii="Arial" w:hAnsi="Arial" w:cs="Arial"/>
          <w:sz w:val="22"/>
          <w:szCs w:val="22"/>
        </w:rPr>
        <w:t xml:space="preserve"> A study by Bowden suggests that </w:t>
      </w:r>
      <w:r w:rsidR="0009599D" w:rsidRPr="00C0247F">
        <w:rPr>
          <w:rFonts w:ascii="Arial" w:hAnsi="Arial" w:cs="Arial"/>
          <w:sz w:val="22"/>
          <w:szCs w:val="22"/>
        </w:rPr>
        <w:t xml:space="preserve">initiation by friction is </w:t>
      </w:r>
      <w:r w:rsidR="004E62CA" w:rsidRPr="00C0247F">
        <w:rPr>
          <w:rFonts w:ascii="Arial" w:hAnsi="Arial" w:cs="Arial"/>
          <w:sz w:val="22"/>
          <w:szCs w:val="22"/>
        </w:rPr>
        <w:t>thermal</w:t>
      </w:r>
      <w:r w:rsidR="0009599D" w:rsidRPr="00C0247F">
        <w:rPr>
          <w:rFonts w:ascii="Arial" w:hAnsi="Arial" w:cs="Arial"/>
          <w:sz w:val="22"/>
          <w:szCs w:val="22"/>
        </w:rPr>
        <w:t xml:space="preserve"> in origin and </w:t>
      </w:r>
      <w:r w:rsidR="00865973" w:rsidRPr="00C0247F">
        <w:rPr>
          <w:rFonts w:ascii="Arial" w:hAnsi="Arial" w:cs="Arial"/>
          <w:sz w:val="22"/>
          <w:szCs w:val="22"/>
        </w:rPr>
        <w:t xml:space="preserve">is </w:t>
      </w:r>
      <w:r w:rsidR="0009599D" w:rsidRPr="00C0247F">
        <w:rPr>
          <w:rFonts w:ascii="Arial" w:hAnsi="Arial" w:cs="Arial"/>
          <w:sz w:val="22"/>
          <w:szCs w:val="22"/>
        </w:rPr>
        <w:t>due to the formation of localised hotspots</w:t>
      </w:r>
      <w:r w:rsidR="00865973" w:rsidRPr="00C0247F">
        <w:rPr>
          <w:rFonts w:ascii="Arial" w:hAnsi="Arial" w:cs="Arial"/>
          <w:sz w:val="22"/>
          <w:szCs w:val="22"/>
        </w:rPr>
        <w:t>. This</w:t>
      </w:r>
      <w:r w:rsidR="0009599D" w:rsidRPr="00C0247F">
        <w:rPr>
          <w:rFonts w:ascii="Arial" w:hAnsi="Arial" w:cs="Arial"/>
          <w:sz w:val="22"/>
          <w:szCs w:val="22"/>
        </w:rPr>
        <w:t xml:space="preserve"> then goes further and suggests that for primaries such as lead azide, intergranular friction is just as important</w:t>
      </w:r>
      <w:r w:rsidR="00865973" w:rsidRPr="00C0247F">
        <w:rPr>
          <w:rFonts w:ascii="Arial" w:hAnsi="Arial" w:cs="Arial"/>
          <w:sz w:val="22"/>
          <w:szCs w:val="22"/>
        </w:rPr>
        <w:t xml:space="preserve"> [</w:t>
      </w:r>
      <w:r w:rsidR="000B7D3A" w:rsidRPr="00C0247F">
        <w:rPr>
          <w:rFonts w:ascii="Arial" w:hAnsi="Arial" w:cs="Arial"/>
          <w:sz w:val="22"/>
          <w:szCs w:val="22"/>
        </w:rPr>
        <w:t>20]</w:t>
      </w:r>
      <w:r w:rsidR="007B3949">
        <w:rPr>
          <w:rFonts w:ascii="Arial" w:hAnsi="Arial" w:cs="Arial"/>
          <w:sz w:val="22"/>
          <w:szCs w:val="22"/>
        </w:rPr>
        <w:t>.</w:t>
      </w:r>
      <w:r w:rsidR="00865973" w:rsidRPr="00C0247F">
        <w:rPr>
          <w:rFonts w:ascii="Arial" w:hAnsi="Arial" w:cs="Arial"/>
          <w:sz w:val="22"/>
          <w:szCs w:val="22"/>
        </w:rPr>
        <w:t xml:space="preserve"> It </w:t>
      </w:r>
      <w:r w:rsidR="00CD0F28" w:rsidRPr="00C0247F">
        <w:rPr>
          <w:rFonts w:ascii="Arial" w:hAnsi="Arial" w:cs="Arial"/>
          <w:sz w:val="22"/>
          <w:szCs w:val="22"/>
        </w:rPr>
        <w:t xml:space="preserve">then </w:t>
      </w:r>
      <w:r w:rsidR="00865973" w:rsidRPr="00C0247F">
        <w:rPr>
          <w:rFonts w:ascii="Arial" w:hAnsi="Arial" w:cs="Arial"/>
          <w:sz w:val="22"/>
          <w:szCs w:val="22"/>
        </w:rPr>
        <w:t>shows a link between the melting point of the material used to provide friction (such as grit) and the effectiveness of it initiating a detonation of the explosive material. Grit with a melting point between 400-500</w:t>
      </w:r>
      <w:r w:rsidR="000B7D3A" w:rsidRPr="00C0247F">
        <w:rPr>
          <w:rFonts w:ascii="Arial" w:hAnsi="Arial" w:cs="Arial"/>
          <w:sz w:val="22"/>
          <w:szCs w:val="22"/>
        </w:rPr>
        <w:t>°C</w:t>
      </w:r>
      <w:r w:rsidR="00865973" w:rsidRPr="00C0247F">
        <w:rPr>
          <w:rFonts w:ascii="Arial" w:hAnsi="Arial" w:cs="Arial"/>
          <w:sz w:val="22"/>
          <w:szCs w:val="22"/>
        </w:rPr>
        <w:t xml:space="preserve"> is shown as an effective sensitiser</w:t>
      </w:r>
      <w:r w:rsidR="00CD0F28" w:rsidRPr="00C0247F">
        <w:rPr>
          <w:rFonts w:ascii="Arial" w:hAnsi="Arial" w:cs="Arial"/>
          <w:sz w:val="22"/>
          <w:szCs w:val="22"/>
        </w:rPr>
        <w:t>, rather than any of its other properties</w:t>
      </w:r>
      <w:r w:rsidR="00865973" w:rsidRPr="00C0247F">
        <w:rPr>
          <w:rFonts w:ascii="Arial" w:hAnsi="Arial" w:cs="Arial"/>
          <w:sz w:val="22"/>
          <w:szCs w:val="22"/>
        </w:rPr>
        <w:t xml:space="preserve">. The explosive train will therefore </w:t>
      </w:r>
      <w:r w:rsidR="00D82DAD" w:rsidRPr="00C0247F">
        <w:rPr>
          <w:rFonts w:ascii="Arial" w:hAnsi="Arial" w:cs="Arial"/>
          <w:sz w:val="22"/>
          <w:szCs w:val="22"/>
        </w:rPr>
        <w:t xml:space="preserve">use a stab detonator to </w:t>
      </w:r>
      <w:r w:rsidR="004E62CA" w:rsidRPr="00C0247F">
        <w:rPr>
          <w:rFonts w:ascii="Arial" w:hAnsi="Arial" w:cs="Arial"/>
          <w:sz w:val="22"/>
          <w:szCs w:val="22"/>
        </w:rPr>
        <w:t>function as</w:t>
      </w:r>
      <w:r w:rsidR="00D82DAD" w:rsidRPr="00C0247F">
        <w:rPr>
          <w:rFonts w:ascii="Arial" w:hAnsi="Arial" w:cs="Arial"/>
          <w:sz w:val="22"/>
          <w:szCs w:val="22"/>
        </w:rPr>
        <w:t xml:space="preserve"> a friction triggered initiator. This will set off the primary explosive (lead azide) and in turn the shock wave will cause</w:t>
      </w:r>
      <w:r w:rsidR="00CD0F28" w:rsidRPr="00C0247F">
        <w:rPr>
          <w:rFonts w:ascii="Arial" w:hAnsi="Arial" w:cs="Arial"/>
          <w:sz w:val="22"/>
          <w:szCs w:val="22"/>
        </w:rPr>
        <w:t xml:space="preserve"> the propagation of the</w:t>
      </w:r>
      <w:r w:rsidR="00D82DAD" w:rsidRPr="00C0247F">
        <w:rPr>
          <w:rFonts w:ascii="Arial" w:hAnsi="Arial" w:cs="Arial"/>
          <w:sz w:val="22"/>
          <w:szCs w:val="22"/>
        </w:rPr>
        <w:t xml:space="preserve"> detonation</w:t>
      </w:r>
      <w:r w:rsidR="00CD0F28" w:rsidRPr="00C0247F">
        <w:rPr>
          <w:rFonts w:ascii="Arial" w:hAnsi="Arial" w:cs="Arial"/>
          <w:sz w:val="22"/>
          <w:szCs w:val="22"/>
        </w:rPr>
        <w:t xml:space="preserve"> wave</w:t>
      </w:r>
      <w:r w:rsidR="00D82DAD" w:rsidRPr="00C0247F">
        <w:rPr>
          <w:rFonts w:ascii="Arial" w:hAnsi="Arial" w:cs="Arial"/>
          <w:sz w:val="22"/>
          <w:szCs w:val="22"/>
        </w:rPr>
        <w:t xml:space="preserve"> in the secondary explosive (TNT)</w:t>
      </w:r>
      <w:r w:rsidR="00F863C4" w:rsidRPr="00C0247F">
        <w:rPr>
          <w:rFonts w:ascii="Arial" w:hAnsi="Arial" w:cs="Arial"/>
          <w:sz w:val="22"/>
          <w:szCs w:val="22"/>
        </w:rPr>
        <w:t xml:space="preserve"> [F</w:t>
      </w:r>
      <w:r w:rsidR="00C0247F" w:rsidRPr="00C0247F">
        <w:rPr>
          <w:rFonts w:ascii="Arial" w:hAnsi="Arial" w:cs="Arial"/>
          <w:sz w:val="22"/>
          <w:szCs w:val="22"/>
        </w:rPr>
        <w:t>igure</w:t>
      </w:r>
      <w:r w:rsidR="00F863C4" w:rsidRPr="00C0247F">
        <w:rPr>
          <w:rFonts w:ascii="Arial" w:hAnsi="Arial" w:cs="Arial"/>
          <w:sz w:val="22"/>
          <w:szCs w:val="22"/>
        </w:rPr>
        <w:t xml:space="preserve"> </w:t>
      </w:r>
      <w:r w:rsidR="00C0247F" w:rsidRPr="00C0247F">
        <w:rPr>
          <w:rFonts w:ascii="Arial" w:hAnsi="Arial" w:cs="Arial"/>
          <w:sz w:val="22"/>
          <w:szCs w:val="22"/>
        </w:rPr>
        <w:t>4</w:t>
      </w:r>
      <w:r w:rsidR="007E66BE">
        <w:rPr>
          <w:rFonts w:ascii="Arial" w:hAnsi="Arial" w:cs="Arial"/>
          <w:sz w:val="22"/>
          <w:szCs w:val="22"/>
        </w:rPr>
        <w:t>]</w:t>
      </w:r>
      <w:r w:rsidR="00CD0F28" w:rsidRPr="00C0247F">
        <w:rPr>
          <w:rFonts w:ascii="Arial" w:hAnsi="Arial" w:cs="Arial"/>
          <w:sz w:val="22"/>
          <w:szCs w:val="22"/>
        </w:rPr>
        <w:t>.</w:t>
      </w:r>
    </w:p>
    <w:p w14:paraId="0EA7D157" w14:textId="77777777" w:rsidR="00F863C4" w:rsidRPr="00C0247F" w:rsidRDefault="00F863C4" w:rsidP="000B7D3A">
      <w:pPr>
        <w:spacing w:line="360" w:lineRule="auto"/>
        <w:rPr>
          <w:rFonts w:ascii="Arial" w:hAnsi="Arial" w:cs="Arial"/>
          <w:noProof/>
          <w:sz w:val="22"/>
          <w:szCs w:val="22"/>
        </w:rPr>
      </w:pPr>
    </w:p>
    <w:p w14:paraId="5BFC7D79" w14:textId="77777777" w:rsidR="00C0247F" w:rsidRPr="00C0247F" w:rsidRDefault="00F863C4" w:rsidP="00C0247F">
      <w:pPr>
        <w:keepNext/>
        <w:spacing w:line="360" w:lineRule="auto"/>
        <w:rPr>
          <w:rFonts w:ascii="Arial" w:hAnsi="Arial" w:cs="Arial"/>
        </w:rPr>
      </w:pPr>
      <w:r w:rsidRPr="00C0247F">
        <w:rPr>
          <w:rFonts w:ascii="Arial" w:hAnsi="Arial" w:cs="Arial"/>
          <w:noProof/>
          <w:sz w:val="22"/>
          <w:szCs w:val="22"/>
        </w:rPr>
        <w:drawing>
          <wp:inline distT="0" distB="0" distL="0" distR="0" wp14:anchorId="0421428B" wp14:editId="164966DC">
            <wp:extent cx="5731510" cy="2293620"/>
            <wp:effectExtent l="0" t="0" r="2540" b="0"/>
            <wp:docPr id="706732577" name="Picture 1" descr="A diagram of a bo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32577" name="Picture 1" descr="A diagram of a boat&#10;&#10;AI-generated content may be incorrect."/>
                    <pic:cNvPicPr/>
                  </pic:nvPicPr>
                  <pic:blipFill rotWithShape="1">
                    <a:blip r:embed="rId8">
                      <a:extLst>
                        <a:ext uri="{28A0092B-C50C-407E-A947-70E740481C1C}">
                          <a14:useLocalDpi xmlns:a14="http://schemas.microsoft.com/office/drawing/2010/main" val="0"/>
                        </a:ext>
                      </a:extLst>
                    </a:blip>
                    <a:srcRect b="28856"/>
                    <a:stretch>
                      <a:fillRect/>
                    </a:stretch>
                  </pic:blipFill>
                  <pic:spPr bwMode="auto">
                    <a:xfrm>
                      <a:off x="0" y="0"/>
                      <a:ext cx="5731510" cy="2293620"/>
                    </a:xfrm>
                    <a:prstGeom prst="rect">
                      <a:avLst/>
                    </a:prstGeom>
                    <a:ln>
                      <a:noFill/>
                    </a:ln>
                    <a:extLst>
                      <a:ext uri="{53640926-AAD7-44D8-BBD7-CCE9431645EC}">
                        <a14:shadowObscured xmlns:a14="http://schemas.microsoft.com/office/drawing/2010/main"/>
                      </a:ext>
                    </a:extLst>
                  </pic:spPr>
                </pic:pic>
              </a:graphicData>
            </a:graphic>
          </wp:inline>
        </w:drawing>
      </w:r>
    </w:p>
    <w:p w14:paraId="3D2BBA68" w14:textId="4A4EC469" w:rsidR="00F863C4" w:rsidRDefault="00C0247F" w:rsidP="00C0247F">
      <w:pPr>
        <w:pStyle w:val="Caption"/>
        <w:jc w:val="center"/>
        <w:rPr>
          <w:rFonts w:ascii="Arial" w:hAnsi="Arial" w:cs="Arial"/>
        </w:rPr>
      </w:pPr>
      <w:r w:rsidRPr="00C0247F">
        <w:rPr>
          <w:rFonts w:ascii="Arial" w:hAnsi="Arial" w:cs="Arial"/>
          <w:color w:val="auto"/>
          <w:sz w:val="20"/>
          <w:szCs w:val="20"/>
        </w:rPr>
        <w:t>[Figure 4]: A theorised explosive chain containing lead azide and TNT with their respective values for detonation</w:t>
      </w:r>
      <w:r w:rsidRPr="00C0247F">
        <w:rPr>
          <w:rFonts w:ascii="Arial" w:hAnsi="Arial" w:cs="Arial"/>
        </w:rPr>
        <w:t>.</w:t>
      </w:r>
    </w:p>
    <w:p w14:paraId="1B297CFE" w14:textId="77777777" w:rsidR="00615F8B" w:rsidRPr="00615F8B" w:rsidRDefault="00615F8B" w:rsidP="00615F8B"/>
    <w:p w14:paraId="6DD8485B" w14:textId="2F32F043" w:rsidR="00865973" w:rsidRPr="00C0247F" w:rsidRDefault="00C0247F" w:rsidP="00C0247F">
      <w:pPr>
        <w:spacing w:line="360" w:lineRule="auto"/>
        <w:jc w:val="center"/>
        <w:rPr>
          <w:rFonts w:ascii="Arial" w:hAnsi="Arial" w:cs="Arial"/>
          <w:b/>
          <w:bCs/>
          <w:sz w:val="28"/>
          <w:szCs w:val="28"/>
        </w:rPr>
      </w:pPr>
      <w:r w:rsidRPr="00C0247F">
        <w:rPr>
          <w:rFonts w:ascii="Arial" w:hAnsi="Arial" w:cs="Arial"/>
          <w:b/>
          <w:bCs/>
          <w:sz w:val="28"/>
          <w:szCs w:val="28"/>
        </w:rPr>
        <w:t>REFERENCES</w:t>
      </w:r>
    </w:p>
    <w:p w14:paraId="3BC80E8E" w14:textId="5B519988"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lastRenderedPageBreak/>
        <w:t>[1]</w:t>
      </w:r>
      <w:r w:rsidR="00C0247F" w:rsidRPr="00C0247F">
        <w:rPr>
          <w:rFonts w:ascii="Arial" w:hAnsi="Arial" w:cs="Arial"/>
          <w:sz w:val="22"/>
          <w:szCs w:val="22"/>
        </w:rPr>
        <w:tab/>
      </w:r>
      <w:r w:rsidRPr="000B7D3A">
        <w:rPr>
          <w:rFonts w:ascii="Arial" w:hAnsi="Arial" w:cs="Arial"/>
          <w:sz w:val="22"/>
          <w:szCs w:val="22"/>
        </w:rPr>
        <w:t xml:space="preserve">J. Akhavan and R. Society, </w:t>
      </w:r>
      <w:r w:rsidRPr="000B7D3A">
        <w:rPr>
          <w:rFonts w:ascii="Arial" w:hAnsi="Arial" w:cs="Arial"/>
          <w:i/>
          <w:iCs/>
          <w:sz w:val="22"/>
          <w:szCs w:val="22"/>
        </w:rPr>
        <w:t>The chemistry of explosives</w:t>
      </w:r>
      <w:r w:rsidRPr="000B7D3A">
        <w:rPr>
          <w:rFonts w:ascii="Arial" w:hAnsi="Arial" w:cs="Arial"/>
          <w:sz w:val="22"/>
          <w:szCs w:val="22"/>
        </w:rPr>
        <w:t>. Cambridge, Uk: Royal Society Of Chemistry, 2011.</w:t>
      </w:r>
    </w:p>
    <w:p w14:paraId="1A28B56A" w14:textId="7E16055D"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t>[2]</w:t>
      </w:r>
      <w:r w:rsidR="00C0247F" w:rsidRPr="00C0247F">
        <w:rPr>
          <w:rFonts w:ascii="Arial" w:hAnsi="Arial" w:cs="Arial"/>
          <w:sz w:val="22"/>
          <w:szCs w:val="22"/>
        </w:rPr>
        <w:tab/>
      </w:r>
      <w:r w:rsidRPr="000B7D3A">
        <w:rPr>
          <w:rFonts w:ascii="Arial" w:hAnsi="Arial" w:cs="Arial"/>
          <w:sz w:val="22"/>
          <w:szCs w:val="22"/>
        </w:rPr>
        <w:t xml:space="preserve">Salvati, Baccio, and Ferdinando, </w:t>
      </w:r>
      <w:r w:rsidRPr="000B7D3A">
        <w:rPr>
          <w:rFonts w:ascii="Arial" w:hAnsi="Arial" w:cs="Arial"/>
          <w:i/>
          <w:iCs/>
          <w:sz w:val="22"/>
          <w:szCs w:val="22"/>
        </w:rPr>
        <w:t>Vocabolario di polveri ed esplosivi</w:t>
      </w:r>
      <w:r w:rsidRPr="000B7D3A">
        <w:rPr>
          <w:rFonts w:ascii="Arial" w:hAnsi="Arial" w:cs="Arial"/>
          <w:sz w:val="22"/>
          <w:szCs w:val="22"/>
        </w:rPr>
        <w:t>. Forzani e c., tipografi del Senato.</w:t>
      </w:r>
    </w:p>
    <w:p w14:paraId="54A31AB8" w14:textId="6F9E7996"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t>[3]</w:t>
      </w:r>
      <w:r w:rsidR="00C0247F" w:rsidRPr="00C0247F">
        <w:rPr>
          <w:rFonts w:ascii="Arial" w:hAnsi="Arial" w:cs="Arial"/>
          <w:sz w:val="22"/>
          <w:szCs w:val="22"/>
        </w:rPr>
        <w:tab/>
      </w:r>
      <w:r w:rsidRPr="000B7D3A">
        <w:rPr>
          <w:rFonts w:ascii="Arial" w:hAnsi="Arial" w:cs="Arial"/>
          <w:sz w:val="22"/>
          <w:szCs w:val="22"/>
        </w:rPr>
        <w:t xml:space="preserve">S, G Murray, </w:t>
      </w:r>
      <w:r w:rsidRPr="000B7D3A">
        <w:rPr>
          <w:rFonts w:ascii="Arial" w:hAnsi="Arial" w:cs="Arial"/>
          <w:i/>
          <w:iCs/>
          <w:sz w:val="22"/>
          <w:szCs w:val="22"/>
        </w:rPr>
        <w:t>JSP 333, The Service Textbook of Explosives</w:t>
      </w:r>
      <w:r w:rsidRPr="000B7D3A">
        <w:rPr>
          <w:rFonts w:ascii="Arial" w:hAnsi="Arial" w:cs="Arial"/>
          <w:sz w:val="22"/>
          <w:szCs w:val="22"/>
        </w:rPr>
        <w:t>. 2020.</w:t>
      </w:r>
    </w:p>
    <w:p w14:paraId="3E61A2C3" w14:textId="21C115D4"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t>[4]</w:t>
      </w:r>
      <w:r w:rsidR="00C0247F" w:rsidRPr="00C0247F">
        <w:rPr>
          <w:rFonts w:ascii="Arial" w:hAnsi="Arial" w:cs="Arial"/>
          <w:sz w:val="22"/>
          <w:szCs w:val="22"/>
        </w:rPr>
        <w:tab/>
      </w:r>
      <w:r w:rsidRPr="000B7D3A">
        <w:rPr>
          <w:rFonts w:ascii="Arial" w:hAnsi="Arial" w:cs="Arial"/>
          <w:sz w:val="22"/>
          <w:szCs w:val="22"/>
        </w:rPr>
        <w:t xml:space="preserve">R. Matyáš and J. Pachman, </w:t>
      </w:r>
      <w:r w:rsidRPr="000B7D3A">
        <w:rPr>
          <w:rFonts w:ascii="Arial" w:hAnsi="Arial" w:cs="Arial"/>
          <w:i/>
          <w:iCs/>
          <w:sz w:val="22"/>
          <w:szCs w:val="22"/>
        </w:rPr>
        <w:t>Primary Explosives</w:t>
      </w:r>
      <w:r w:rsidRPr="000B7D3A">
        <w:rPr>
          <w:rFonts w:ascii="Arial" w:hAnsi="Arial" w:cs="Arial"/>
          <w:sz w:val="22"/>
          <w:szCs w:val="22"/>
        </w:rPr>
        <w:t>. Springer Science &amp; Business Media, 2013.</w:t>
      </w:r>
    </w:p>
    <w:p w14:paraId="251E63BB" w14:textId="4F4844E1"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t>[5]</w:t>
      </w:r>
      <w:r w:rsidR="00C0247F" w:rsidRPr="00C0247F">
        <w:rPr>
          <w:rFonts w:ascii="Arial" w:hAnsi="Arial" w:cs="Arial"/>
          <w:sz w:val="22"/>
          <w:szCs w:val="22"/>
        </w:rPr>
        <w:tab/>
      </w:r>
      <w:r w:rsidRPr="000B7D3A">
        <w:rPr>
          <w:rFonts w:ascii="Arial" w:hAnsi="Arial" w:cs="Arial"/>
          <w:sz w:val="22"/>
          <w:szCs w:val="22"/>
        </w:rPr>
        <w:t>T. M. Klapötke, “L,” De Gruyter, 2021, pp. 983–1070. doi: https://doi.org/10.1515/9783110672565-011.</w:t>
      </w:r>
    </w:p>
    <w:p w14:paraId="12B12D3E" w14:textId="3D1752D3"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t>[6]</w:t>
      </w:r>
      <w:r w:rsidR="00C0247F" w:rsidRPr="00C0247F">
        <w:rPr>
          <w:rFonts w:ascii="Arial" w:hAnsi="Arial" w:cs="Arial"/>
          <w:sz w:val="22"/>
          <w:szCs w:val="22"/>
        </w:rPr>
        <w:tab/>
      </w:r>
      <w:r w:rsidRPr="000B7D3A">
        <w:rPr>
          <w:rFonts w:ascii="Arial" w:hAnsi="Arial" w:cs="Arial"/>
          <w:sz w:val="22"/>
          <w:szCs w:val="22"/>
        </w:rPr>
        <w:t xml:space="preserve">K. Oyler, N. Mehta, and G. Cheng, “OVERVIEW OF EXPLOSIVE INITIATORS,” 2015. Available: </w:t>
      </w:r>
      <w:hyperlink r:id="rId9" w:history="1">
        <w:r w:rsidRPr="000B7D3A">
          <w:rPr>
            <w:rStyle w:val="Hyperlink"/>
            <w:rFonts w:ascii="Arial" w:hAnsi="Arial" w:cs="Arial"/>
            <w:color w:val="auto"/>
            <w:sz w:val="22"/>
            <w:szCs w:val="22"/>
          </w:rPr>
          <w:t>https://apps.dtic.mil/sti/tr/pdf/ADA625185.pdf</w:t>
        </w:r>
      </w:hyperlink>
    </w:p>
    <w:p w14:paraId="25AA1A3A" w14:textId="6D6CF5EC"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t>[7]</w:t>
      </w:r>
      <w:r w:rsidR="00C0247F" w:rsidRPr="00C0247F">
        <w:rPr>
          <w:rFonts w:ascii="Arial" w:hAnsi="Arial" w:cs="Arial"/>
          <w:sz w:val="22"/>
          <w:szCs w:val="22"/>
        </w:rPr>
        <w:tab/>
      </w:r>
      <w:r w:rsidRPr="000B7D3A">
        <w:rPr>
          <w:rFonts w:ascii="Arial" w:hAnsi="Arial" w:cs="Arial"/>
          <w:sz w:val="22"/>
          <w:szCs w:val="22"/>
        </w:rPr>
        <w:t xml:space="preserve">F. P. BOWDEN and O. A. GURTON, “Birth and Growth of the Explosion in Solids Initiated by Impact,” </w:t>
      </w:r>
      <w:r w:rsidRPr="000B7D3A">
        <w:rPr>
          <w:rFonts w:ascii="Arial" w:hAnsi="Arial" w:cs="Arial"/>
          <w:i/>
          <w:iCs/>
          <w:sz w:val="22"/>
          <w:szCs w:val="22"/>
        </w:rPr>
        <w:t>Nature</w:t>
      </w:r>
      <w:r w:rsidRPr="000B7D3A">
        <w:rPr>
          <w:rFonts w:ascii="Arial" w:hAnsi="Arial" w:cs="Arial"/>
          <w:sz w:val="22"/>
          <w:szCs w:val="22"/>
        </w:rPr>
        <w:t>, vol. 161, no. 4088, pp. 348–348, Mar. 1948, doi: https://doi.org/10.1038/161348a0.</w:t>
      </w:r>
    </w:p>
    <w:p w14:paraId="2E2BD743" w14:textId="4DC1E898"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t>[8]</w:t>
      </w:r>
      <w:r w:rsidR="00C0247F" w:rsidRPr="00C0247F">
        <w:rPr>
          <w:rFonts w:ascii="Arial" w:hAnsi="Arial" w:cs="Arial"/>
          <w:sz w:val="22"/>
          <w:szCs w:val="22"/>
        </w:rPr>
        <w:tab/>
      </w:r>
      <w:r w:rsidRPr="000B7D3A">
        <w:rPr>
          <w:rFonts w:ascii="Arial" w:hAnsi="Arial" w:cs="Arial"/>
          <w:sz w:val="22"/>
          <w:szCs w:val="22"/>
        </w:rPr>
        <w:t xml:space="preserve">R. Meyer, J. Köhler, and A. Homburg, </w:t>
      </w:r>
      <w:r w:rsidRPr="000B7D3A">
        <w:rPr>
          <w:rFonts w:ascii="Arial" w:hAnsi="Arial" w:cs="Arial"/>
          <w:i/>
          <w:iCs/>
          <w:sz w:val="22"/>
          <w:szCs w:val="22"/>
        </w:rPr>
        <w:t>Explosives</w:t>
      </w:r>
      <w:r w:rsidRPr="000B7D3A">
        <w:rPr>
          <w:rFonts w:ascii="Arial" w:hAnsi="Arial" w:cs="Arial"/>
          <w:sz w:val="22"/>
          <w:szCs w:val="22"/>
        </w:rPr>
        <w:t>. John Wiley &amp; Sons, 2008.</w:t>
      </w:r>
    </w:p>
    <w:p w14:paraId="5F497A8C" w14:textId="10873DF1"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t>[9]</w:t>
      </w:r>
      <w:r w:rsidR="00C0247F" w:rsidRPr="00C0247F">
        <w:rPr>
          <w:rFonts w:ascii="Arial" w:hAnsi="Arial" w:cs="Arial"/>
          <w:sz w:val="22"/>
          <w:szCs w:val="22"/>
        </w:rPr>
        <w:tab/>
      </w:r>
      <w:r w:rsidRPr="000B7D3A">
        <w:rPr>
          <w:rFonts w:ascii="Arial" w:hAnsi="Arial" w:cs="Arial"/>
          <w:sz w:val="22"/>
          <w:szCs w:val="22"/>
        </w:rPr>
        <w:t xml:space="preserve">Wyatt, Moore, A. G. K, and S. J. F, “The Ignition of Primary Explosives by Electric Discharges,” </w:t>
      </w:r>
      <w:r w:rsidRPr="000B7D3A">
        <w:rPr>
          <w:rFonts w:ascii="Arial" w:hAnsi="Arial" w:cs="Arial"/>
          <w:i/>
          <w:iCs/>
          <w:sz w:val="22"/>
          <w:szCs w:val="22"/>
        </w:rPr>
        <w:t>Proceedings of the Royal Society of London. Series A, Mathematical and Physical Sciences</w:t>
      </w:r>
      <w:r w:rsidRPr="000B7D3A">
        <w:rPr>
          <w:rFonts w:ascii="Arial" w:hAnsi="Arial" w:cs="Arial"/>
          <w:sz w:val="22"/>
          <w:szCs w:val="22"/>
        </w:rPr>
        <w:t>, vol. 246, no. 1245, pp. 189–196, 1958, doi: https://doi.org/10.2307/100471.</w:t>
      </w:r>
    </w:p>
    <w:p w14:paraId="116A55AD" w14:textId="0F7516D0"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t>[10]</w:t>
      </w:r>
      <w:r w:rsidR="00C0247F" w:rsidRPr="00C0247F">
        <w:rPr>
          <w:rFonts w:ascii="Arial" w:hAnsi="Arial" w:cs="Arial"/>
          <w:sz w:val="22"/>
          <w:szCs w:val="22"/>
        </w:rPr>
        <w:tab/>
      </w:r>
      <w:r w:rsidRPr="000B7D3A">
        <w:rPr>
          <w:rFonts w:ascii="Arial" w:hAnsi="Arial" w:cs="Arial"/>
          <w:sz w:val="22"/>
          <w:szCs w:val="22"/>
        </w:rPr>
        <w:t xml:space="preserve">H. D. Fair and R. F. Walker, </w:t>
      </w:r>
      <w:r w:rsidRPr="000B7D3A">
        <w:rPr>
          <w:rFonts w:ascii="Arial" w:hAnsi="Arial" w:cs="Arial"/>
          <w:i/>
          <w:iCs/>
          <w:sz w:val="22"/>
          <w:szCs w:val="22"/>
        </w:rPr>
        <w:t>Energetic Materials</w:t>
      </w:r>
      <w:r w:rsidRPr="000B7D3A">
        <w:rPr>
          <w:rFonts w:ascii="Arial" w:hAnsi="Arial" w:cs="Arial"/>
          <w:sz w:val="22"/>
          <w:szCs w:val="22"/>
        </w:rPr>
        <w:t>. Springer, 1977.</w:t>
      </w:r>
    </w:p>
    <w:p w14:paraId="4EC2A06F" w14:textId="7DF39B64"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t>[11]</w:t>
      </w:r>
      <w:r w:rsidR="00C0247F" w:rsidRPr="00C0247F">
        <w:rPr>
          <w:rFonts w:ascii="Arial" w:hAnsi="Arial" w:cs="Arial"/>
          <w:sz w:val="22"/>
          <w:szCs w:val="22"/>
        </w:rPr>
        <w:tab/>
      </w:r>
      <w:r w:rsidRPr="000B7D3A">
        <w:rPr>
          <w:rFonts w:ascii="Arial" w:hAnsi="Arial" w:cs="Arial"/>
          <w:sz w:val="22"/>
          <w:szCs w:val="22"/>
        </w:rPr>
        <w:t>S. G. Carlton, “TNT; Trinitrotoluenes and Monoand Dinitrotoluenes, Their Manufacture and Properties,” vol. TP290.T8 S58 1918, Available: https://digital.sciencehistory.org/works/x7kpj2z</w:t>
      </w:r>
    </w:p>
    <w:p w14:paraId="3AA839DF" w14:textId="00363D43"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t>[12]</w:t>
      </w:r>
      <w:r w:rsidR="00C0247F" w:rsidRPr="00C0247F">
        <w:rPr>
          <w:rFonts w:ascii="Arial" w:hAnsi="Arial" w:cs="Arial"/>
          <w:sz w:val="22"/>
          <w:szCs w:val="22"/>
        </w:rPr>
        <w:tab/>
      </w:r>
      <w:r w:rsidRPr="000B7D3A">
        <w:rPr>
          <w:rFonts w:ascii="Arial" w:hAnsi="Arial" w:cs="Arial"/>
          <w:sz w:val="22"/>
          <w:szCs w:val="22"/>
        </w:rPr>
        <w:t xml:space="preserve">R. M. Vrcelj, H. G. Gallagher, and P. J. Halfpenny, “John N. Sherwood: Studies of Energetic Materials,” </w:t>
      </w:r>
      <w:r w:rsidRPr="000B7D3A">
        <w:rPr>
          <w:rFonts w:ascii="Arial" w:hAnsi="Arial" w:cs="Arial"/>
          <w:i/>
          <w:iCs/>
          <w:sz w:val="22"/>
          <w:szCs w:val="22"/>
        </w:rPr>
        <w:t>Crystal growth &amp; design</w:t>
      </w:r>
      <w:r w:rsidRPr="000B7D3A">
        <w:rPr>
          <w:rFonts w:ascii="Arial" w:hAnsi="Arial" w:cs="Arial"/>
          <w:sz w:val="22"/>
          <w:szCs w:val="22"/>
        </w:rPr>
        <w:t>, vol. 23, no. 8, pp. 6161–6171, Jul. 2023, doi: https://doi.org/10.1021/acs.cgd.3c00321.</w:t>
      </w:r>
    </w:p>
    <w:p w14:paraId="20970DDC" w14:textId="095865E8"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t>[13]</w:t>
      </w:r>
      <w:r w:rsidR="00C0247F" w:rsidRPr="00C0247F">
        <w:rPr>
          <w:rFonts w:ascii="Arial" w:hAnsi="Arial" w:cs="Arial"/>
          <w:sz w:val="22"/>
          <w:szCs w:val="22"/>
        </w:rPr>
        <w:tab/>
      </w:r>
      <w:r w:rsidRPr="000B7D3A">
        <w:rPr>
          <w:rFonts w:ascii="Arial" w:hAnsi="Arial" w:cs="Arial"/>
          <w:sz w:val="22"/>
          <w:szCs w:val="22"/>
        </w:rPr>
        <w:t xml:space="preserve">X. Song </w:t>
      </w:r>
      <w:r w:rsidRPr="000B7D3A">
        <w:rPr>
          <w:rFonts w:ascii="Arial" w:hAnsi="Arial" w:cs="Arial"/>
          <w:i/>
          <w:iCs/>
          <w:sz w:val="22"/>
          <w:szCs w:val="22"/>
        </w:rPr>
        <w:t>et al.</w:t>
      </w:r>
      <w:r w:rsidRPr="000B7D3A">
        <w:rPr>
          <w:rFonts w:ascii="Arial" w:hAnsi="Arial" w:cs="Arial"/>
          <w:sz w:val="22"/>
          <w:szCs w:val="22"/>
        </w:rPr>
        <w:t xml:space="preserve">, “Thermodynamics and energy properties of the lowest eutectic mixture of TNBA/MTNP,” </w:t>
      </w:r>
      <w:r w:rsidRPr="000B7D3A">
        <w:rPr>
          <w:rFonts w:ascii="Arial" w:hAnsi="Arial" w:cs="Arial"/>
          <w:i/>
          <w:iCs/>
          <w:sz w:val="22"/>
          <w:szCs w:val="22"/>
        </w:rPr>
        <w:t>FirePhysChem</w:t>
      </w:r>
      <w:r w:rsidRPr="000B7D3A">
        <w:rPr>
          <w:rFonts w:ascii="Arial" w:hAnsi="Arial" w:cs="Arial"/>
          <w:sz w:val="22"/>
          <w:szCs w:val="22"/>
        </w:rPr>
        <w:t>, vol. 4, no. 4, pp. 317–326, Apr. 2024, doi: https://doi.org/10.1016/j.fpc.2024.04.001.</w:t>
      </w:r>
    </w:p>
    <w:p w14:paraId="14102326" w14:textId="7C5ABD04"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t>[14]</w:t>
      </w:r>
      <w:r w:rsidR="00C0247F" w:rsidRPr="00C0247F">
        <w:rPr>
          <w:rFonts w:ascii="Arial" w:hAnsi="Arial" w:cs="Arial"/>
          <w:sz w:val="22"/>
          <w:szCs w:val="22"/>
        </w:rPr>
        <w:tab/>
      </w:r>
      <w:r w:rsidRPr="000B7D3A">
        <w:rPr>
          <w:rFonts w:ascii="Arial" w:hAnsi="Arial" w:cs="Arial"/>
          <w:sz w:val="22"/>
          <w:szCs w:val="22"/>
        </w:rPr>
        <w:t xml:space="preserve">S. Terzić and D. Simic, </w:t>
      </w:r>
      <w:r w:rsidRPr="000B7D3A">
        <w:rPr>
          <w:rFonts w:ascii="Arial" w:hAnsi="Arial" w:cs="Arial"/>
          <w:i/>
          <w:iCs/>
          <w:sz w:val="22"/>
          <w:szCs w:val="22"/>
        </w:rPr>
        <w:t>EXPLOSIVE PROPERTIES AND PROCESSING POSSIBILITIES OF RECYCLED TRINITROTOLUENE</w:t>
      </w:r>
      <w:r w:rsidRPr="000B7D3A">
        <w:rPr>
          <w:rFonts w:ascii="Arial" w:hAnsi="Arial" w:cs="Arial"/>
          <w:sz w:val="22"/>
          <w:szCs w:val="22"/>
        </w:rPr>
        <w:t>. 2014.</w:t>
      </w:r>
    </w:p>
    <w:p w14:paraId="720D75EC" w14:textId="143E3F44"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lastRenderedPageBreak/>
        <w:t>[15]</w:t>
      </w:r>
      <w:r w:rsidR="00C0247F" w:rsidRPr="00C0247F">
        <w:rPr>
          <w:rFonts w:ascii="Arial" w:hAnsi="Arial" w:cs="Arial"/>
          <w:sz w:val="22"/>
          <w:szCs w:val="22"/>
        </w:rPr>
        <w:tab/>
      </w:r>
      <w:r w:rsidRPr="000B7D3A">
        <w:rPr>
          <w:rFonts w:ascii="Arial" w:hAnsi="Arial" w:cs="Arial"/>
          <w:sz w:val="22"/>
          <w:szCs w:val="22"/>
        </w:rPr>
        <w:t xml:space="preserve">Cybulski, W. B. ; Payman, W. ; Woodhead, D. W., “Explosion waves and shock waves. VII.The velocity of detonation in cast T.N.T,” </w:t>
      </w:r>
      <w:r w:rsidRPr="000B7D3A">
        <w:rPr>
          <w:rFonts w:ascii="Arial" w:hAnsi="Arial" w:cs="Arial"/>
          <w:i/>
          <w:iCs/>
          <w:sz w:val="22"/>
          <w:szCs w:val="22"/>
        </w:rPr>
        <w:t>Proceedings of the Royal Society of London. Series A. Mathematical and Physical Sciences</w:t>
      </w:r>
      <w:r w:rsidRPr="000B7D3A">
        <w:rPr>
          <w:rFonts w:ascii="Arial" w:hAnsi="Arial" w:cs="Arial"/>
          <w:sz w:val="22"/>
          <w:szCs w:val="22"/>
        </w:rPr>
        <w:t>, vol. 197, no. 1048, pp. 51–72, May 1949, doi: https://doi.org/10.1098/rspa.1949.0050.</w:t>
      </w:r>
    </w:p>
    <w:p w14:paraId="6EC4E2E7" w14:textId="34179071"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t>[16]</w:t>
      </w:r>
      <w:r w:rsidR="00C0247F" w:rsidRPr="00C0247F">
        <w:rPr>
          <w:rFonts w:ascii="Arial" w:hAnsi="Arial" w:cs="Arial"/>
          <w:sz w:val="22"/>
          <w:szCs w:val="22"/>
        </w:rPr>
        <w:tab/>
      </w:r>
      <w:r w:rsidRPr="000B7D3A">
        <w:rPr>
          <w:rFonts w:ascii="Arial" w:hAnsi="Arial" w:cs="Arial"/>
          <w:sz w:val="22"/>
          <w:szCs w:val="22"/>
        </w:rPr>
        <w:t xml:space="preserve">D. Price, “The detonation velocity-loading density relation for selected explosives and mixtures of explosives,” </w:t>
      </w:r>
      <w:r w:rsidRPr="000B7D3A">
        <w:rPr>
          <w:rFonts w:ascii="Arial" w:hAnsi="Arial" w:cs="Arial"/>
          <w:i/>
          <w:iCs/>
          <w:sz w:val="22"/>
          <w:szCs w:val="22"/>
        </w:rPr>
        <w:t>Journal of Energetic Materials</w:t>
      </w:r>
      <w:r w:rsidRPr="000B7D3A">
        <w:rPr>
          <w:rFonts w:ascii="Arial" w:hAnsi="Arial" w:cs="Arial"/>
          <w:sz w:val="22"/>
          <w:szCs w:val="22"/>
        </w:rPr>
        <w:t>, vol. 1, no. 1, pp. 55–82, Jan. 1983, doi: https://doi.org/10.1080/07370658308010819.</w:t>
      </w:r>
    </w:p>
    <w:p w14:paraId="7C2D8701" w14:textId="1C051A10"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t>[17]</w:t>
      </w:r>
      <w:r w:rsidR="00C0247F" w:rsidRPr="00C0247F">
        <w:rPr>
          <w:rFonts w:ascii="Arial" w:hAnsi="Arial" w:cs="Arial"/>
          <w:sz w:val="22"/>
          <w:szCs w:val="22"/>
        </w:rPr>
        <w:tab/>
      </w:r>
      <w:r w:rsidRPr="000B7D3A">
        <w:rPr>
          <w:rFonts w:ascii="Arial" w:hAnsi="Arial" w:cs="Arial"/>
          <w:sz w:val="22"/>
          <w:szCs w:val="22"/>
        </w:rPr>
        <w:t xml:space="preserve">B. M. Dobratz and L. Livermore, </w:t>
      </w:r>
      <w:r w:rsidRPr="000B7D3A">
        <w:rPr>
          <w:rFonts w:ascii="Arial" w:hAnsi="Arial" w:cs="Arial"/>
          <w:i/>
          <w:iCs/>
          <w:sz w:val="22"/>
          <w:szCs w:val="22"/>
        </w:rPr>
        <w:t>LLNL explosives handbook : properties of chemical explosives and explosive simulants</w:t>
      </w:r>
      <w:r w:rsidRPr="000B7D3A">
        <w:rPr>
          <w:rFonts w:ascii="Arial" w:hAnsi="Arial" w:cs="Arial"/>
          <w:sz w:val="22"/>
          <w:szCs w:val="22"/>
        </w:rPr>
        <w:t>. Livermore, Calif.: Lawrence Livermore National Laboratory, University Of California ; Springfield, Va, 1981.</w:t>
      </w:r>
    </w:p>
    <w:p w14:paraId="3941EAA0" w14:textId="5AFB5F55"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t>[18]</w:t>
      </w:r>
      <w:r w:rsidR="00C0247F" w:rsidRPr="00C0247F">
        <w:rPr>
          <w:rFonts w:ascii="Arial" w:hAnsi="Arial" w:cs="Arial"/>
          <w:sz w:val="22"/>
          <w:szCs w:val="22"/>
        </w:rPr>
        <w:tab/>
      </w:r>
      <w:r w:rsidRPr="000B7D3A">
        <w:rPr>
          <w:rFonts w:ascii="Arial" w:hAnsi="Arial" w:cs="Arial"/>
          <w:sz w:val="22"/>
          <w:szCs w:val="22"/>
        </w:rPr>
        <w:t xml:space="preserve">I. Jaffe and D. Price, “Determination of the Critical Diameter of Explosive Materials,” </w:t>
      </w:r>
      <w:r w:rsidRPr="000B7D3A">
        <w:rPr>
          <w:rFonts w:ascii="Arial" w:hAnsi="Arial" w:cs="Arial"/>
          <w:i/>
          <w:iCs/>
          <w:sz w:val="22"/>
          <w:szCs w:val="22"/>
        </w:rPr>
        <w:t>ARS journal</w:t>
      </w:r>
      <w:r w:rsidRPr="000B7D3A">
        <w:rPr>
          <w:rFonts w:ascii="Arial" w:hAnsi="Arial" w:cs="Arial"/>
          <w:sz w:val="22"/>
          <w:szCs w:val="22"/>
        </w:rPr>
        <w:t>, vol. 32, no. 7, pp. 1060–1065, Jul. 1962, doi: https://doi.org/10.2514/8.6205.</w:t>
      </w:r>
    </w:p>
    <w:p w14:paraId="23673668" w14:textId="288E331C" w:rsidR="000B7D3A" w:rsidRPr="000B7D3A" w:rsidRDefault="000B7D3A" w:rsidP="000B7D3A">
      <w:pPr>
        <w:spacing w:line="360" w:lineRule="auto"/>
        <w:rPr>
          <w:rFonts w:ascii="Arial" w:hAnsi="Arial" w:cs="Arial"/>
          <w:sz w:val="22"/>
          <w:szCs w:val="22"/>
        </w:rPr>
      </w:pPr>
      <w:r w:rsidRPr="000B7D3A">
        <w:rPr>
          <w:rFonts w:ascii="Arial" w:hAnsi="Arial" w:cs="Arial"/>
          <w:sz w:val="22"/>
          <w:szCs w:val="22"/>
        </w:rPr>
        <w:t>[19]</w:t>
      </w:r>
      <w:r w:rsidR="00C0247F" w:rsidRPr="00C0247F">
        <w:rPr>
          <w:rFonts w:ascii="Arial" w:hAnsi="Arial" w:cs="Arial"/>
          <w:sz w:val="22"/>
          <w:szCs w:val="22"/>
        </w:rPr>
        <w:tab/>
      </w:r>
      <w:r w:rsidRPr="000B7D3A">
        <w:rPr>
          <w:rFonts w:ascii="Arial" w:hAnsi="Arial" w:cs="Arial"/>
          <w:sz w:val="22"/>
          <w:szCs w:val="22"/>
        </w:rPr>
        <w:t xml:space="preserve">N. Kubota, </w:t>
      </w:r>
      <w:r w:rsidRPr="000B7D3A">
        <w:rPr>
          <w:rFonts w:ascii="Arial" w:hAnsi="Arial" w:cs="Arial"/>
          <w:i/>
          <w:iCs/>
          <w:sz w:val="22"/>
          <w:szCs w:val="22"/>
        </w:rPr>
        <w:t>Propellants and Explosives</w:t>
      </w:r>
      <w:r w:rsidRPr="000B7D3A">
        <w:rPr>
          <w:rFonts w:ascii="Arial" w:hAnsi="Arial" w:cs="Arial"/>
          <w:sz w:val="22"/>
          <w:szCs w:val="22"/>
        </w:rPr>
        <w:t>. John Wiley &amp; Sons, 2015.</w:t>
      </w:r>
    </w:p>
    <w:p w14:paraId="7009616C" w14:textId="53126849" w:rsidR="000B7D3A" w:rsidRPr="00C0247F" w:rsidRDefault="000B7D3A" w:rsidP="000B7D3A">
      <w:pPr>
        <w:spacing w:line="360" w:lineRule="auto"/>
        <w:rPr>
          <w:rFonts w:ascii="Arial" w:hAnsi="Arial" w:cs="Arial"/>
          <w:sz w:val="22"/>
          <w:szCs w:val="22"/>
        </w:rPr>
      </w:pPr>
      <w:r w:rsidRPr="000B7D3A">
        <w:rPr>
          <w:rFonts w:ascii="Arial" w:hAnsi="Arial" w:cs="Arial"/>
          <w:sz w:val="22"/>
          <w:szCs w:val="22"/>
        </w:rPr>
        <w:t>[20]</w:t>
      </w:r>
      <w:r w:rsidR="00C0247F" w:rsidRPr="00C0247F">
        <w:rPr>
          <w:rFonts w:ascii="Arial" w:hAnsi="Arial" w:cs="Arial"/>
          <w:sz w:val="22"/>
          <w:szCs w:val="22"/>
        </w:rPr>
        <w:tab/>
      </w:r>
      <w:r w:rsidRPr="000B7D3A">
        <w:rPr>
          <w:rFonts w:ascii="Arial" w:hAnsi="Arial" w:cs="Arial"/>
          <w:sz w:val="22"/>
          <w:szCs w:val="22"/>
        </w:rPr>
        <w:t xml:space="preserve">Bowden, “Initiation of solid explosives by impact and friction: the influence of grit,” </w:t>
      </w:r>
      <w:r w:rsidRPr="000B7D3A">
        <w:rPr>
          <w:rFonts w:ascii="Arial" w:hAnsi="Arial" w:cs="Arial"/>
          <w:i/>
          <w:iCs/>
          <w:sz w:val="22"/>
          <w:szCs w:val="22"/>
        </w:rPr>
        <w:t>Proceedings of the Royal Society of London. Series A. Mathematical and Physical Sciences</w:t>
      </w:r>
      <w:r w:rsidRPr="000B7D3A">
        <w:rPr>
          <w:rFonts w:ascii="Arial" w:hAnsi="Arial" w:cs="Arial"/>
          <w:sz w:val="22"/>
          <w:szCs w:val="22"/>
        </w:rPr>
        <w:t xml:space="preserve">, vol. 198, no. 1054, pp. 337–349, Aug. 1949, doi: </w:t>
      </w:r>
      <w:hyperlink r:id="rId10" w:history="1">
        <w:r w:rsidR="00C0247F" w:rsidRPr="000B7D3A">
          <w:rPr>
            <w:rStyle w:val="Hyperlink"/>
            <w:rFonts w:ascii="Arial" w:hAnsi="Arial" w:cs="Arial"/>
            <w:sz w:val="22"/>
            <w:szCs w:val="22"/>
          </w:rPr>
          <w:t>https://doi.org/10.1098/rspa.1949.0105</w:t>
        </w:r>
      </w:hyperlink>
      <w:r w:rsidRPr="000B7D3A">
        <w:rPr>
          <w:rFonts w:ascii="Arial" w:hAnsi="Arial" w:cs="Arial"/>
          <w:sz w:val="22"/>
          <w:szCs w:val="22"/>
        </w:rPr>
        <w:t>.</w:t>
      </w:r>
    </w:p>
    <w:p w14:paraId="236A28EA" w14:textId="647D9381" w:rsidR="00C0247F" w:rsidRPr="00C0247F" w:rsidRDefault="00C0247F" w:rsidP="00C0247F">
      <w:pPr>
        <w:spacing w:line="360" w:lineRule="auto"/>
        <w:rPr>
          <w:rFonts w:ascii="Arial" w:hAnsi="Arial" w:cs="Arial"/>
          <w:sz w:val="22"/>
          <w:szCs w:val="22"/>
        </w:rPr>
      </w:pPr>
      <w:r w:rsidRPr="00C0247F">
        <w:rPr>
          <w:rFonts w:ascii="Arial" w:hAnsi="Arial" w:cs="Arial"/>
          <w:sz w:val="22"/>
          <w:szCs w:val="22"/>
        </w:rPr>
        <w:t>[21]</w:t>
      </w:r>
      <w:r w:rsidRPr="00C0247F">
        <w:rPr>
          <w:rFonts w:ascii="Arial" w:hAnsi="Arial" w:cs="Arial"/>
          <w:sz w:val="22"/>
          <w:szCs w:val="22"/>
        </w:rPr>
        <w:tab/>
        <w:t>Peter C. Jung, “INITIATION AND DETONATION IN LEAD AZIDE AND SILVER AZIDE AT SUB-MILLIMETER GEOMETRIES,” Mechanical Engineering MSc, Texas Tech University.</w:t>
      </w:r>
    </w:p>
    <w:p w14:paraId="177CEC02" w14:textId="77777777" w:rsidR="00C0247F" w:rsidRPr="000B7D3A" w:rsidRDefault="00C0247F" w:rsidP="000B7D3A">
      <w:pPr>
        <w:spacing w:line="360" w:lineRule="auto"/>
        <w:rPr>
          <w:rFonts w:ascii="Arial" w:hAnsi="Arial" w:cs="Arial"/>
          <w:sz w:val="22"/>
          <w:szCs w:val="22"/>
        </w:rPr>
      </w:pPr>
    </w:p>
    <w:p w14:paraId="3217C78A" w14:textId="1D5366F3" w:rsidR="003245FE" w:rsidRPr="00C0247F" w:rsidRDefault="003245FE" w:rsidP="000B7D3A">
      <w:pPr>
        <w:spacing w:line="360" w:lineRule="auto"/>
        <w:rPr>
          <w:rFonts w:ascii="Arial" w:hAnsi="Arial" w:cs="Arial"/>
          <w:sz w:val="22"/>
          <w:szCs w:val="22"/>
        </w:rPr>
      </w:pPr>
    </w:p>
    <w:sectPr w:rsidR="003245FE" w:rsidRPr="00C024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25E"/>
    <w:rsid w:val="00027A0D"/>
    <w:rsid w:val="0009599D"/>
    <w:rsid w:val="000B51D0"/>
    <w:rsid w:val="000B7D3A"/>
    <w:rsid w:val="001013F7"/>
    <w:rsid w:val="0010721F"/>
    <w:rsid w:val="0017119C"/>
    <w:rsid w:val="00185554"/>
    <w:rsid w:val="001B022C"/>
    <w:rsid w:val="001B6AAE"/>
    <w:rsid w:val="001D7CDF"/>
    <w:rsid w:val="002476D2"/>
    <w:rsid w:val="002637DA"/>
    <w:rsid w:val="002A50F1"/>
    <w:rsid w:val="002B47B1"/>
    <w:rsid w:val="003245FE"/>
    <w:rsid w:val="00392500"/>
    <w:rsid w:val="004A22D3"/>
    <w:rsid w:val="004D002A"/>
    <w:rsid w:val="004E0305"/>
    <w:rsid w:val="004E62CA"/>
    <w:rsid w:val="00565DB0"/>
    <w:rsid w:val="005E3481"/>
    <w:rsid w:val="00615F8B"/>
    <w:rsid w:val="00657011"/>
    <w:rsid w:val="006815A2"/>
    <w:rsid w:val="006E235A"/>
    <w:rsid w:val="00721709"/>
    <w:rsid w:val="0072212E"/>
    <w:rsid w:val="00745DAF"/>
    <w:rsid w:val="00747877"/>
    <w:rsid w:val="007B3949"/>
    <w:rsid w:val="007B397A"/>
    <w:rsid w:val="007E66BE"/>
    <w:rsid w:val="007F225E"/>
    <w:rsid w:val="00814BCA"/>
    <w:rsid w:val="008242A0"/>
    <w:rsid w:val="00845EA3"/>
    <w:rsid w:val="00865973"/>
    <w:rsid w:val="008A348A"/>
    <w:rsid w:val="008C2D6C"/>
    <w:rsid w:val="00974A07"/>
    <w:rsid w:val="009B1F0D"/>
    <w:rsid w:val="009C40A6"/>
    <w:rsid w:val="009E2334"/>
    <w:rsid w:val="00A23700"/>
    <w:rsid w:val="00A758DB"/>
    <w:rsid w:val="00AC5480"/>
    <w:rsid w:val="00AF3CF6"/>
    <w:rsid w:val="00B5074D"/>
    <w:rsid w:val="00BF1E55"/>
    <w:rsid w:val="00C0247F"/>
    <w:rsid w:val="00C13FA8"/>
    <w:rsid w:val="00C21983"/>
    <w:rsid w:val="00C355C6"/>
    <w:rsid w:val="00CD0F28"/>
    <w:rsid w:val="00CF3981"/>
    <w:rsid w:val="00D10791"/>
    <w:rsid w:val="00D14240"/>
    <w:rsid w:val="00D7065F"/>
    <w:rsid w:val="00D82DAD"/>
    <w:rsid w:val="00DB7767"/>
    <w:rsid w:val="00DF7F6E"/>
    <w:rsid w:val="00E00EB1"/>
    <w:rsid w:val="00E4118C"/>
    <w:rsid w:val="00EB1FAC"/>
    <w:rsid w:val="00ED46A2"/>
    <w:rsid w:val="00EF17EB"/>
    <w:rsid w:val="00F02D23"/>
    <w:rsid w:val="00F051D8"/>
    <w:rsid w:val="00F30BD6"/>
    <w:rsid w:val="00F6624F"/>
    <w:rsid w:val="00F80923"/>
    <w:rsid w:val="00F863C4"/>
    <w:rsid w:val="00FA4D6D"/>
    <w:rsid w:val="00FB0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00B8A"/>
  <w15:chartTrackingRefBased/>
  <w15:docId w15:val="{01D7D69C-EAEB-4BC9-AE8E-A92002767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2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22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22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22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22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22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22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22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22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2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22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22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22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22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22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22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22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225E"/>
    <w:rPr>
      <w:rFonts w:eastAsiaTheme="majorEastAsia" w:cstheme="majorBidi"/>
      <w:color w:val="272727" w:themeColor="text1" w:themeTint="D8"/>
    </w:rPr>
  </w:style>
  <w:style w:type="paragraph" w:styleId="Title">
    <w:name w:val="Title"/>
    <w:basedOn w:val="Normal"/>
    <w:next w:val="Normal"/>
    <w:link w:val="TitleChar"/>
    <w:uiPriority w:val="10"/>
    <w:qFormat/>
    <w:rsid w:val="007F22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22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22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22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225E"/>
    <w:pPr>
      <w:spacing w:before="160"/>
      <w:jc w:val="center"/>
    </w:pPr>
    <w:rPr>
      <w:i/>
      <w:iCs/>
      <w:color w:val="404040" w:themeColor="text1" w:themeTint="BF"/>
    </w:rPr>
  </w:style>
  <w:style w:type="character" w:customStyle="1" w:styleId="QuoteChar">
    <w:name w:val="Quote Char"/>
    <w:basedOn w:val="DefaultParagraphFont"/>
    <w:link w:val="Quote"/>
    <w:uiPriority w:val="29"/>
    <w:rsid w:val="007F225E"/>
    <w:rPr>
      <w:i/>
      <w:iCs/>
      <w:color w:val="404040" w:themeColor="text1" w:themeTint="BF"/>
    </w:rPr>
  </w:style>
  <w:style w:type="paragraph" w:styleId="ListParagraph">
    <w:name w:val="List Paragraph"/>
    <w:basedOn w:val="Normal"/>
    <w:uiPriority w:val="34"/>
    <w:qFormat/>
    <w:rsid w:val="007F225E"/>
    <w:pPr>
      <w:ind w:left="720"/>
      <w:contextualSpacing/>
    </w:pPr>
  </w:style>
  <w:style w:type="character" w:styleId="IntenseEmphasis">
    <w:name w:val="Intense Emphasis"/>
    <w:basedOn w:val="DefaultParagraphFont"/>
    <w:uiPriority w:val="21"/>
    <w:qFormat/>
    <w:rsid w:val="007F225E"/>
    <w:rPr>
      <w:i/>
      <w:iCs/>
      <w:color w:val="0F4761" w:themeColor="accent1" w:themeShade="BF"/>
    </w:rPr>
  </w:style>
  <w:style w:type="paragraph" w:styleId="IntenseQuote">
    <w:name w:val="Intense Quote"/>
    <w:basedOn w:val="Normal"/>
    <w:next w:val="Normal"/>
    <w:link w:val="IntenseQuoteChar"/>
    <w:uiPriority w:val="30"/>
    <w:qFormat/>
    <w:rsid w:val="007F22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225E"/>
    <w:rPr>
      <w:i/>
      <w:iCs/>
      <w:color w:val="0F4761" w:themeColor="accent1" w:themeShade="BF"/>
    </w:rPr>
  </w:style>
  <w:style w:type="character" w:styleId="IntenseReference">
    <w:name w:val="Intense Reference"/>
    <w:basedOn w:val="DefaultParagraphFont"/>
    <w:uiPriority w:val="32"/>
    <w:qFormat/>
    <w:rsid w:val="007F225E"/>
    <w:rPr>
      <w:b/>
      <w:bCs/>
      <w:smallCaps/>
      <w:color w:val="0F4761" w:themeColor="accent1" w:themeShade="BF"/>
      <w:spacing w:val="5"/>
    </w:rPr>
  </w:style>
  <w:style w:type="table" w:styleId="TableGrid">
    <w:name w:val="Table Grid"/>
    <w:basedOn w:val="TableNormal"/>
    <w:uiPriority w:val="39"/>
    <w:rsid w:val="007221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21983"/>
    <w:rPr>
      <w:color w:val="467886" w:themeColor="hyperlink"/>
      <w:u w:val="single"/>
    </w:rPr>
  </w:style>
  <w:style w:type="character" w:styleId="UnresolvedMention">
    <w:name w:val="Unresolved Mention"/>
    <w:basedOn w:val="DefaultParagraphFont"/>
    <w:uiPriority w:val="99"/>
    <w:semiHidden/>
    <w:unhideWhenUsed/>
    <w:rsid w:val="00C21983"/>
    <w:rPr>
      <w:color w:val="605E5C"/>
      <w:shd w:val="clear" w:color="auto" w:fill="E1DFDD"/>
    </w:rPr>
  </w:style>
  <w:style w:type="character" w:styleId="FollowedHyperlink">
    <w:name w:val="FollowedHyperlink"/>
    <w:basedOn w:val="DefaultParagraphFont"/>
    <w:uiPriority w:val="99"/>
    <w:semiHidden/>
    <w:unhideWhenUsed/>
    <w:rsid w:val="002476D2"/>
    <w:rPr>
      <w:color w:val="96607D" w:themeColor="followedHyperlink"/>
      <w:u w:val="single"/>
    </w:rPr>
  </w:style>
  <w:style w:type="paragraph" w:styleId="Caption">
    <w:name w:val="caption"/>
    <w:basedOn w:val="Normal"/>
    <w:next w:val="Normal"/>
    <w:uiPriority w:val="35"/>
    <w:unhideWhenUsed/>
    <w:qFormat/>
    <w:rsid w:val="000B7D3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doi.org/10.1098/rspa.1949.0105" TargetMode="External"/><Relationship Id="rId4" Type="http://schemas.openxmlformats.org/officeDocument/2006/relationships/webSettings" Target="webSettings.xml"/><Relationship Id="rId9" Type="http://schemas.openxmlformats.org/officeDocument/2006/relationships/hyperlink" Target="https://apps.dtic.mil/sti/tr/pdf/ADA62518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BCE83C-CBB1-4795-BA98-EDE3DA72E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1269</TotalTime>
  <Pages>9</Pages>
  <Words>2297</Words>
  <Characters>13097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Doherty (2425616)</dc:creator>
  <cp:keywords/>
  <dc:description/>
  <cp:lastModifiedBy>callum doherty</cp:lastModifiedBy>
  <cp:revision>19</cp:revision>
  <dcterms:created xsi:type="dcterms:W3CDTF">2025-12-17T13:53:00Z</dcterms:created>
  <dcterms:modified xsi:type="dcterms:W3CDTF">2025-12-18T13:41:00Z</dcterms:modified>
</cp:coreProperties>
</file>