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9B3DD6">
        <w:tc>
          <w:tcPr>
            <w:tcW w:w="10768" w:type="dxa"/>
          </w:tcPr>
          <w:p w14:paraId="02F8EE88" w14:textId="6721C53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B3DD6">
              <w:rPr>
                <w:rFonts w:ascii="Times New Roman" w:hAnsi="Times New Roman" w:cs="Times New Roman"/>
                <w:b/>
                <w:color w:val="auto"/>
                <w:sz w:val="48"/>
              </w:rPr>
              <w:t>Alfadil Kharif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F06750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3DD6">
              <w:rPr>
                <w:rFonts w:ascii="Times New Roman" w:hAnsi="Times New Roman" w:cs="Times New Roman"/>
                <w:b/>
                <w:color w:val="auto"/>
                <w:sz w:val="48"/>
              </w:rPr>
              <w:t>elfadil83@yahoo.com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B088C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B3DD6">
              <w:t xml:space="preserve"> </w:t>
            </w:r>
            <w:r w:rsidR="009B3DD6" w:rsidRPr="009B3DD6">
              <w:rPr>
                <w:rFonts w:ascii="Times New Roman" w:hAnsi="Times New Roman" w:cs="Times New Roman"/>
                <w:b/>
                <w:color w:val="auto"/>
                <w:sz w:val="48"/>
              </w:rPr>
              <w:t>1803186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7D1D0853" w14:textId="77777777" w:rsidR="009B3DD6" w:rsidRPr="009B3DD6" w:rsidRDefault="009B3DD6" w:rsidP="009B3DD6">
            <w:pPr>
              <w:overflowPunct/>
              <w:autoSpaceDE/>
              <w:autoSpaceDN/>
              <w:adjustRightInd/>
              <w:spacing w:before="100" w:beforeAutospacing="1" w:after="100" w:afterAutospacing="1"/>
              <w:textAlignment w:val="auto"/>
              <w:outlineLvl w:val="2"/>
              <w:rPr>
                <w:rFonts w:ascii="Times New Roman" w:hAnsi="Times New Roman" w:cs="Times New Roman"/>
                <w:b/>
                <w:bCs/>
                <w:color w:val="auto"/>
                <w:sz w:val="27"/>
                <w:szCs w:val="27"/>
                <w:u w:val="single"/>
              </w:rPr>
            </w:pPr>
            <w:r w:rsidRPr="009B3DD6">
              <w:rPr>
                <w:rFonts w:ascii="Times New Roman" w:hAnsi="Times New Roman" w:cs="Times New Roman"/>
                <w:b/>
                <w:bCs/>
                <w:color w:val="auto"/>
                <w:sz w:val="27"/>
                <w:szCs w:val="27"/>
                <w:u w:val="single"/>
              </w:rPr>
              <w:t>Introduction</w:t>
            </w:r>
          </w:p>
          <w:p w14:paraId="5DD560D2"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This essay provides a critical reflection on my involvement in a complex safeguarding case concerning a child, referred to as Child 6. As the allocated social worker, I conducted a Public Law Outline (PLO) assessment in response to escalating concerns regarding the parent's capacity to provide safe and appropriate care. The parent had a history of significant adversities, including mental health issues, substance misuse, offending behaviour, domestic abuse, and a chaotic lifestyle, which led to Child 6 being placed on the Child Protection Register under the category of neglect.</w:t>
            </w:r>
          </w:p>
          <w:p w14:paraId="5DF03E1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indicated positive progress, with the parent demonstrating meaningful engagement and improved parenting capacity. As part of a long-term alternative arrangement, the maternal grandparents were assessed and approved by the Family and Friends Fostering Team as kinship carers. They have committed to safeguarding Child 6 should the mother face future challenges.</w:t>
            </w:r>
          </w:p>
          <w:p w14:paraId="648BD8F7"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Following a comprehensive analysis, it was determined that the threshold for initiating care proceedings was not met, and continuation of the PLO process was deemed disproportionate. It was therefore recommended that the PLO process be concluded, with ongoing oversight through a Child Protection Plan to monitor the safety plan and provide continued support.</w:t>
            </w:r>
          </w:p>
          <w:p w14:paraId="640F744A"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This reflection critically examines the application of the statutory safeguarding framework in Wales, considering its interaction with broader UK, European, and international legal and policy contexts. It highlights the use of analytical thinking, multi-agency collaboration, and professional judgement in complex assessments, informed by key social work theories and assessment models.</w:t>
            </w:r>
          </w:p>
          <w:p w14:paraId="3FED1EB0"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b/>
                <w:bCs/>
                <w:color w:val="auto"/>
                <w:sz w:val="24"/>
                <w:szCs w:val="24"/>
              </w:rPr>
            </w:pPr>
            <w:r w:rsidRPr="009B3DD6">
              <w:rPr>
                <w:rFonts w:ascii="Calibri" w:hAnsi="Calibri" w:cs="Calibri"/>
                <w:color w:val="auto"/>
                <w:sz w:val="24"/>
                <w:szCs w:val="24"/>
              </w:rPr>
              <w:t>Drawing on Gibbs’ Reflective Cycle (1988), the reflection explores the children safeguarding legal framework, assessment methods, anti-oppressive and anti-discriminatory practice, focusing on how statutory duties were balanced with empathetic, culturally sensitive, and trauma-informed approaches. It also addresses the tensions and ethical dilemmas encountered during the assessment process. The structured reflection supports critical analysis and contributes to ongoing professional development.</w:t>
            </w:r>
          </w:p>
          <w:p w14:paraId="680A91FA" w14:textId="77777777" w:rsidR="009B3DD6" w:rsidRPr="009B3DD6" w:rsidRDefault="009B3DD6" w:rsidP="009B3DD6">
            <w:pPr>
              <w:overflowPunct/>
              <w:autoSpaceDE/>
              <w:autoSpaceDN/>
              <w:adjustRightInd/>
              <w:spacing w:before="100" w:beforeAutospacing="1" w:after="100" w:afterAutospacing="1"/>
              <w:textAlignment w:val="auto"/>
              <w:rPr>
                <w:rFonts w:ascii="Times New Roman" w:hAnsi="Times New Roman" w:cs="Times New Roman"/>
                <w:b/>
                <w:bCs/>
                <w:color w:val="auto"/>
                <w:sz w:val="27"/>
                <w:szCs w:val="27"/>
                <w:u w:val="single"/>
              </w:rPr>
            </w:pPr>
            <w:r w:rsidRPr="009B3DD6">
              <w:rPr>
                <w:rFonts w:ascii="Times New Roman" w:hAnsi="Times New Roman" w:cs="Times New Roman"/>
                <w:b/>
                <w:bCs/>
                <w:color w:val="auto"/>
                <w:sz w:val="27"/>
                <w:szCs w:val="27"/>
                <w:u w:val="single"/>
              </w:rPr>
              <w:t xml:space="preserve">Children safeguarding’s Legal framework and theoretical context </w:t>
            </w:r>
          </w:p>
          <w:p w14:paraId="788F0586"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was underpinned by the Social Services and Well-being (Wales) Act 2014,</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SSWBA), which provides the statutory foundation for safeguarding children in Wales. Section 130 outlines the duty to report children at risk those experiencing or likely to experience abuse, neglect, or other harm, and who have care and support needs (Welsh Government, 2014). The Act is guided by five core principles: voice and control, prevention, well-being, co-production, and multi-agency working, which informed my approach throughout the assessment, planning and interventions (Welsh Government, 2014).</w:t>
            </w:r>
          </w:p>
          <w:p w14:paraId="21D3E07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The assessment process was conducted in arrangement with Part 7 of </w:t>
            </w:r>
            <w:bookmarkStart w:id="0" w:name="_Hlk210594882"/>
            <w:r w:rsidRPr="009B3DD6">
              <w:rPr>
                <w:rFonts w:ascii="Calibri" w:hAnsi="Calibri" w:cs="Calibri"/>
                <w:color w:val="auto"/>
                <w:sz w:val="24"/>
                <w:szCs w:val="24"/>
              </w:rPr>
              <w:t>the SSWBA 2014</w:t>
            </w:r>
            <w:bookmarkEnd w:id="0"/>
            <w:r w:rsidRPr="009B3DD6">
              <w:rPr>
                <w:rFonts w:ascii="Calibri" w:hAnsi="Calibri" w:cs="Calibri"/>
                <w:color w:val="auto"/>
                <w:sz w:val="24"/>
                <w:szCs w:val="24"/>
              </w:rPr>
              <w:t>, the Code of Practice on Advocacy (Part 10), and the Wales Safeguarding Procedures 2019,</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 xml:space="preserve">(Social Care Wales, 2019). These frameworks operationalise statutory guidance such as Working Together to Safeguard People (Welsh Government, 2019), which outlines professional responsibilities in risk assessment, referral pathways, multi-agency coordination, and the prioritisation of the child’s voice. </w:t>
            </w:r>
          </w:p>
          <w:p w14:paraId="5857EA29"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Together, these instruments establish statutory duties for local authorities and partner agencies to identify, report, and respond to safeguarding concerns involving adults and children at risk</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(Social Care Wales, 2019). The assessment of child 6 was specifically governed by Part 3, Section 21 of the SSWBA 2014, and its associated Code of Practice, which identifies five core domains: the child and family's priorities, individual strengths, barriers and risks to well-being, and the availability of support networks</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 xml:space="preserve">(Social Care Wales, 2019). </w:t>
            </w:r>
          </w:p>
          <w:p w14:paraId="3FBEFD10"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These processes are guided by statutory frameworks, including Working Together to Safeguard People: Volume 5 (Welsh Government, 2014), which emphasise shared accountability and informed decision-making.</w:t>
            </w:r>
          </w:p>
          <w:p w14:paraId="1CFF244F"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Effective safeguarding requires coordinated multi-agency engagement through referrals, strategy meetings, section 74 enquiries (Wales Safeguarding Procedures, 2019), professional mapping for unborn children, Initial Child Protection Conferences (ICPC), and legal planning meetings </w:t>
            </w:r>
            <w:bookmarkStart w:id="1" w:name="_Hlk210512406"/>
            <w:r w:rsidRPr="009B3DD6">
              <w:rPr>
                <w:rFonts w:ascii="Calibri" w:hAnsi="Calibri" w:cs="Calibri"/>
                <w:color w:val="auto"/>
                <w:sz w:val="24"/>
                <w:szCs w:val="24"/>
              </w:rPr>
              <w:t>(Social Care Wales, 2019).</w:t>
            </w:r>
            <w:bookmarkEnd w:id="1"/>
          </w:p>
          <w:p w14:paraId="0320A7D8" w14:textId="52705EC4"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Section 47 enquiries must consider the child’s lived experience, voice, cultural identity, and any additional needs (Social Care Wales, 2019).  Where there is imminent risk of harm, police may </w:t>
            </w:r>
            <w:r w:rsidR="006600F9" w:rsidRPr="009B3DD6">
              <w:rPr>
                <w:rFonts w:ascii="Calibri" w:hAnsi="Calibri" w:cs="Calibri"/>
                <w:color w:val="auto"/>
                <w:sz w:val="24"/>
                <w:szCs w:val="24"/>
              </w:rPr>
              <w:t>refer</w:t>
            </w:r>
            <w:r w:rsidRPr="009B3DD6">
              <w:rPr>
                <w:rFonts w:ascii="Calibri" w:hAnsi="Calibri" w:cs="Calibri"/>
                <w:color w:val="auto"/>
                <w:sz w:val="24"/>
                <w:szCs w:val="24"/>
              </w:rPr>
              <w:t xml:space="preserve"> Section 46 of the Children Act 1989 to remove a child to safety (Social Care Wales, 2019). Local authorities may seek Emergency Protection Orders or Care Orders to ensure ongoing protection (Social Care Wales, 2019).</w:t>
            </w:r>
          </w:p>
          <w:p w14:paraId="16D3C557"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Children Act 1989 remains relevant, particularly in initiating Section 47 enquiries where significant harm is suspected.</w:t>
            </w:r>
            <w:r w:rsidRPr="009B3DD6">
              <w:rPr>
                <w:rFonts w:ascii="Calibri" w:eastAsia="Aptos" w:hAnsi="Calibri" w:cs="Calibri"/>
                <w:color w:val="auto"/>
                <w:kern w:val="2"/>
                <w:sz w:val="24"/>
                <w:szCs w:val="24"/>
                <w:lang w:eastAsia="en-US"/>
                <w14:ligatures w14:val="standardContextual"/>
              </w:rPr>
              <w:t xml:space="preserve"> </w:t>
            </w:r>
            <w:r w:rsidRPr="009B3DD6">
              <w:rPr>
                <w:rFonts w:ascii="Calibri" w:hAnsi="Calibri" w:cs="Calibri"/>
                <w:color w:val="auto"/>
                <w:sz w:val="24"/>
                <w:szCs w:val="24"/>
              </w:rPr>
              <w:t xml:space="preserve">While the Children Act 1989 remains valid, many provisions have been replaced by the SSWBA 2014, which adopts a rights-based, preventative approach (Welsh Government, 2014). It places duties on local authorities to promote welfare and involve individuals in decisions about their care (Welsh Government, 2014). </w:t>
            </w:r>
          </w:p>
          <w:p w14:paraId="5546531A"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Children Act 2004 and the SSWBA 2014,  reinforces inter-agency cooperation and accountability, placing a statutory duty on agencies to safeguard and promote children's welfare (Social Care Wales, 2019). The assessment was conducted collaboratively across agencies (Social Care Wales, 2019).</w:t>
            </w:r>
          </w:p>
          <w:p w14:paraId="05EEFBA5" w14:textId="7A8CE951"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In the case of Child 6, child protection procedures were maintained through a strategy discussion and Section 47 enquiry, which addressed referral concerns, family perspectives, risk assessments, and multi-agency contributions (Welsh Government, 2019). These informed the professional mapping meeting for the unborn child, where indicators of significant harm led to referrals to an Initial Child Protection Conference and a Legal Gateway Meeting (LGM). LGMs are multi-agency </w:t>
            </w:r>
            <w:r w:rsidR="00AC5182" w:rsidRPr="009B3DD6">
              <w:rPr>
                <w:rFonts w:ascii="Calibri" w:hAnsi="Calibri" w:cs="Calibri"/>
                <w:color w:val="auto"/>
                <w:sz w:val="24"/>
                <w:szCs w:val="24"/>
              </w:rPr>
              <w:t>discussions</w:t>
            </w:r>
            <w:r w:rsidRPr="009B3DD6">
              <w:rPr>
                <w:rFonts w:ascii="Calibri" w:hAnsi="Calibri" w:cs="Calibri"/>
                <w:color w:val="auto"/>
                <w:sz w:val="24"/>
                <w:szCs w:val="24"/>
              </w:rPr>
              <w:t xml:space="preserve"> arranged when legal intervention may be necessary due to suspected significant harm (Social Care Wales, 2019). This approach aligns with the Social Services and Well-being (Wales) Act 2014, the Children Act 1989, and the Wales Safeguarding procedures  (Welsh Government, 2014).</w:t>
            </w:r>
          </w:p>
          <w:p w14:paraId="3C388B56"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Times New Roman" w:hAnsi="Times New Roman" w:cs="Times New Roman"/>
                <w:color w:val="auto"/>
                <w:sz w:val="24"/>
                <w:szCs w:val="24"/>
              </w:rPr>
            </w:pPr>
            <w:r w:rsidRPr="009B3DD6">
              <w:rPr>
                <w:rFonts w:ascii="Calibri" w:hAnsi="Calibri" w:cs="Calibri"/>
                <w:color w:val="auto"/>
                <w:sz w:val="24"/>
                <w:szCs w:val="24"/>
              </w:rPr>
              <w:t>The initial Child Protection conference led to the child 6 being placed on the Child Protection Register under the category of neglect, in line with the threshold of suspected or likely significant harm</w:t>
            </w:r>
            <w:r w:rsidRPr="009B3DD6">
              <w:rPr>
                <w:rFonts w:ascii="Times New Roman" w:hAnsi="Times New Roman" w:cs="Times New Roman"/>
                <w:color w:val="auto"/>
                <w:sz w:val="24"/>
                <w:szCs w:val="24"/>
                <w14:ligatures w14:val="standardContextual"/>
              </w:rPr>
              <w:t xml:space="preserve"> (</w:t>
            </w:r>
            <w:r w:rsidRPr="009B3DD6">
              <w:rPr>
                <w:rFonts w:ascii="Calibri" w:hAnsi="Calibri" w:cs="Calibri"/>
                <w:color w:val="auto"/>
                <w:sz w:val="24"/>
                <w:szCs w:val="24"/>
              </w:rPr>
              <w:t>Llewellyn,  Verity, and  Wallace, 2020).  Confirms that a protection plan is in place and must be followed</w:t>
            </w:r>
            <w:r w:rsidRPr="009B3DD6">
              <w:rPr>
                <w:rFonts w:ascii="Times New Roman" w:hAnsi="Times New Roman" w:cs="Times New Roman"/>
                <w:color w:val="auto"/>
                <w:sz w:val="24"/>
                <w:szCs w:val="24"/>
                <w14:ligatures w14:val="standardContextual"/>
              </w:rPr>
              <w:t xml:space="preserve"> (</w:t>
            </w:r>
            <w:r w:rsidRPr="009B3DD6">
              <w:rPr>
                <w:rFonts w:ascii="Calibri" w:hAnsi="Calibri" w:cs="Calibri"/>
                <w:color w:val="auto"/>
                <w:sz w:val="24"/>
                <w:szCs w:val="24"/>
              </w:rPr>
              <w:t xml:space="preserve">Llewellyn, et al. 2020). Child 6 has been supported under child protection plan and multi-agency support in place according to the Wales Safeguarding procedures including core group and child protection visits and review child protection conferences (Welsh Government, 2019). </w:t>
            </w:r>
          </w:p>
          <w:p w14:paraId="60462407"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LGM meeting concluded that the threshold for initiating Public Law Outline (PLO) proceedings was met. This threshold is based on concerns that the child is suffering, or is likely to suffer, significant harm due to inadequate parental care or being beyond parental control (Welsh Government, 2019). The PLO process is a pre-court mechanism designed to give parents a final opportunity to address concerns and avoid legal intervention (Welsh Government, 2019).</w:t>
            </w:r>
          </w:p>
          <w:p w14:paraId="7DE10CD0"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A PLO assessment was undertaken to determine whether care proceedings were necessary to safeguard Child 6, in line with Section 31 of the Children Act 1989 and Welsh Government guidance (2015)</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Welsh Government. (2015). A PLO letter was issued, and the initial meeting engaged the family to outline concerns, involve the wider support network, and explored available support and potential outcomes. Parents and their support network were fully informed of the concerns, the support available, and their rights to advocacy and legal advice (Welsh Government, 2019). Appropriate services were implemented, and a co-produced well-being plan was developed, reflecting the family's priorities, desired outcomes, and contingency arrangements (Welsh Government, 2019).</w:t>
            </w:r>
          </w:p>
          <w:p w14:paraId="3DB57376" w14:textId="77777777" w:rsidR="009B3DD6" w:rsidRPr="009B3DD6" w:rsidRDefault="009B3DD6" w:rsidP="009B3DD6">
            <w:pPr>
              <w:overflowPunct/>
              <w:autoSpaceDE/>
              <w:autoSpaceDN/>
              <w:adjustRightInd/>
              <w:spacing w:after="160"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was conducted in line with the Rights of Children and Young Persons (Wales) Measure 2011, which requires the Welsh Government to give due regard to the United Nations Convention on the Rights of the Child (UNCRC) in all its functions (Welsh Government, 2015). This includes ensuring that children and families are heard, their views respected, and that they are meaningfully involved in decision-making, with the child’s welfare remaining paramount (Welsh Government (2015). Articles 9 and 19 of the UNCRC (UN, 1989) establish the child’s right to protection from harm and to remain with their family when it is safe to do so (Welsh Government (2015).</w:t>
            </w:r>
          </w:p>
          <w:p w14:paraId="751B3EEB"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Concerns around domestic violence were addressed in line with the Violence Against Women, Domestic Abuse and Sexual Violence (Wales) Act 2015, focusing on recognising abuse indicators, making appropriate referrals to services such as domestic abuse hub and JIGSO and developed coordinated multi agency safety planning (Welsh Government, 2014). This collaborative approach enabled a holistic understanding of the family’s circumstances and informed risk analysis, including risks to the unborn child</w:t>
            </w:r>
            <w:r w:rsidRPr="009B3DD6">
              <w:rPr>
                <w:rFonts w:ascii="Calibri" w:eastAsia="Aptos" w:hAnsi="Calibri" w:cs="Calibri"/>
                <w:color w:val="auto"/>
                <w:kern w:val="2"/>
                <w:sz w:val="24"/>
                <w:szCs w:val="24"/>
                <w:lang w:eastAsia="en-US"/>
                <w14:ligatures w14:val="standardContextual"/>
              </w:rPr>
              <w:t xml:space="preserve"> </w:t>
            </w:r>
            <w:r w:rsidRPr="009B3DD6">
              <w:rPr>
                <w:rFonts w:ascii="Calibri" w:hAnsi="Calibri" w:cs="Calibri"/>
                <w:color w:val="auto"/>
                <w:sz w:val="24"/>
                <w:szCs w:val="24"/>
              </w:rPr>
              <w:t xml:space="preserve"> </w:t>
            </w:r>
            <w:bookmarkStart w:id="2" w:name="_Hlk210152911"/>
            <w:r w:rsidRPr="009B3DD6">
              <w:rPr>
                <w:rFonts w:ascii="Calibri" w:hAnsi="Calibri" w:cs="Calibri"/>
                <w:color w:val="auto"/>
                <w:sz w:val="24"/>
                <w:szCs w:val="24"/>
              </w:rPr>
              <w:t>(Welsh Government (2015).</w:t>
            </w:r>
            <w:bookmarkEnd w:id="2"/>
          </w:p>
          <w:p w14:paraId="3149C165"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In compliance with the Welsh Language (Wales) Measure 2011, I offered the family a choice of language, ensuring Welsh was treated equally to English (National Assembly for Wales, 2011). This reflects statutory duties to provide bilingual services proactively and supports linguistic rights. The More Than Just Words framework highlights the role of language in person-centred care, supporting culturally sensitive and rights-based practice (Harries &amp; Bryer, 2021). </w:t>
            </w:r>
          </w:p>
          <w:p w14:paraId="758D1BA0"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also considered the Human Rights Act 1998, particularly Article 8, which protects the right to private and family life (Welsh Government (2015). The mother’s rights were balanced against the paramount consideration of the child’s welfare, consistent with case law and best practice in child protection (Welsh Government (2015). Policies regarding confidentiality and information sharing were explained in line with the Freedom of Information Act 2000 and GDPR 2018 (Welsh Government (2015). Where necessary, information might be shared without consent to prevent harm, in accordance with statutory safeguarding duties (Welsh Government (2015).</w:t>
            </w:r>
          </w:p>
          <w:p w14:paraId="4169C475"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In relation to Child 6, information was gathered collaboratively with other professionals, focusing on signs and indicators of potential abuse or neglect. Concerns were documented with supporting evidence, distinguishing between hearsay and professional judgement, and recorded in accordance with team policies (Welsh Government, 2014). The Wales Safeguarding Procedures offer clear guidance on multi-agency working, the Child Protection Register, child protection planning, workforce training, and professional accountability (Welsh Government, 2014).</w:t>
            </w:r>
          </w:p>
          <w:p w14:paraId="11A295BF"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This assessment is guided by the principle that the child’s welfare is paramount, with a presumption that children should remain in parental care where it is safe and in their best interests (Welsh Government (2015). It is informed by Turnell and Edwards’ Signs of Safety Assessment Mapping (1999, pp. 104–105), and incorporates input from parents, family members, and professionals to identify key themes and balance risks and protective factors (Welsh Government (2015).</w:t>
            </w:r>
          </w:p>
          <w:p w14:paraId="255780A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analysis draws on multiple perspectives to enhance understanding of safety and risk. Additional frameworks considered include the Framework for the Assessment of Children in Need and their Families (Department of Health, 2000), Fowler’s Practitioner’s Tool for Child Protection and the Assessment of Parents (2003),  Calder’s Framework for Assessment and Intervention for Unborn Children (2003), and relevant scales and questionnaires (Department of Health, 2000).</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These models were applied within the legal context of the Social Services and Well-being (Wales) Act 2014, the Children Act 1989, and relevant safeguarding guidance (Welsh Government (2015).</w:t>
            </w:r>
          </w:p>
          <w:p w14:paraId="28F040D8"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Signs of Safety model, developed by Turnell and Edwards (1999), offers a collaborative, strengths-based approach to child protection, challenging traditional systems where professionals dominate decision-making (Keddell, 2014). It emphasises partnership with families and their support networks to co-identify concerns and develop solutions, recognising the importance of maintaining children’s connections to family, culture, and community (Keddell, 2014).</w:t>
            </w:r>
          </w:p>
          <w:p w14:paraId="23F469B3"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framework is structured around four key questions: identifying worries, recognising strengths, determining necessary actions, and evaluating safety through scaling (Baginsky, Manthorpe, and Moriarty, 2020). This process ensures meaningful family involvement in assessment and planning, regardless of the child’s living arrangements</w:t>
            </w:r>
            <w:r w:rsidRPr="009B3DD6">
              <w:rPr>
                <w:rFonts w:eastAsia="Aptos"/>
                <w:color w:val="auto"/>
                <w:kern w:val="2"/>
                <w:sz w:val="24"/>
                <w:szCs w:val="24"/>
                <w:lang w:eastAsia="en-US"/>
                <w14:ligatures w14:val="standardContextual"/>
              </w:rPr>
              <w:t xml:space="preserve"> </w:t>
            </w:r>
            <w:bookmarkStart w:id="3" w:name="_Hlk210508246"/>
            <w:r w:rsidRPr="009B3DD6">
              <w:rPr>
                <w:rFonts w:eastAsia="Aptos"/>
                <w:color w:val="auto"/>
                <w:kern w:val="2"/>
                <w:sz w:val="24"/>
                <w:szCs w:val="24"/>
                <w:lang w:eastAsia="en-US"/>
                <w14:ligatures w14:val="standardContextual"/>
              </w:rPr>
              <w:t>(</w:t>
            </w:r>
            <w:r w:rsidRPr="009B3DD6">
              <w:rPr>
                <w:rFonts w:ascii="Calibri" w:hAnsi="Calibri" w:cs="Calibri"/>
                <w:color w:val="auto"/>
                <w:sz w:val="24"/>
                <w:szCs w:val="24"/>
              </w:rPr>
              <w:t>Keddell, 2014).</w:t>
            </w:r>
            <w:bookmarkEnd w:id="3"/>
          </w:p>
          <w:p w14:paraId="7287B996"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In the case of Child 6, although unborn at the time of assessment, their future wellbeing was considered in accordance with the Well-being of Future Generations (Wales) Act 2015 (Social Care Wales, 2019). Engagement with the parents and their support network focused on addressing concerns and enabling them to express priorities for their child. Signs of Safety tools supported a collaborative, evidence-informed assessment of risks and strengths, guiding decision-making by both professionals and the family (Roy, 2020). </w:t>
            </w:r>
          </w:p>
          <w:p w14:paraId="5BE7AD38"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A systems theory approach (Payne, 2014) was used to assess the family’s relational and environmental dynamics. Risks included substance misuse, housing instability, and limited support, while protective factors involved extended family and nurturing parent-child bonds. Systems theory views families as unified units shaped by internal and external influences (Anderson, Carter &amp; Lowe, 1999; Meyer, 1983). It promotes holistic assessments and guides practice as a metatheory (Meyer, 1983), helping social workers understand complexity and tailor interventions effectively.</w:t>
            </w:r>
          </w:p>
          <w:p w14:paraId="61ED35C0"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Attachment theory informed the assessment of parenting capacity, family relationships, and child safety by evaluating parental sensitivity, emotional availability, and past attachment experiences (Harlow, 2021). It stresses how early caregiver-child connections shape emotional security and resilience. Ainsworth et al. (1978) identified secure, insecure-avoidant, and insecure-resistant attachment styles, offering insight into emotional regulation and relational patterns. Harlow (2021) highlights attachment’s lifelong impact through internal working models guiding future relationships.</w:t>
            </w:r>
          </w:p>
          <w:p w14:paraId="643402FB"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eastAsia="Aptos" w:hAnsi="Calibri" w:cs="Calibri"/>
                <w:color w:val="auto"/>
                <w:kern w:val="2"/>
                <w:sz w:val="24"/>
                <w:szCs w:val="24"/>
                <w:lang w:eastAsia="en-US"/>
                <w14:ligatures w14:val="standardContextual"/>
              </w:rPr>
            </w:pPr>
            <w:r w:rsidRPr="009B3DD6">
              <w:rPr>
                <w:rFonts w:ascii="Calibri" w:eastAsia="Aptos" w:hAnsi="Calibri" w:cs="Calibri"/>
                <w:color w:val="auto"/>
                <w:kern w:val="2"/>
                <w:sz w:val="24"/>
                <w:szCs w:val="24"/>
                <w:lang w:eastAsia="en-US"/>
                <w14:ligatures w14:val="standardContextual"/>
              </w:rPr>
              <w:t>The case exposed power imbalances in statutory assessments and the ethical duty to promote anti-oppressive practice (</w:t>
            </w:r>
            <w:proofErr w:type="spellStart"/>
            <w:r w:rsidRPr="009B3DD6">
              <w:rPr>
                <w:rFonts w:ascii="Calibri" w:eastAsia="Aptos" w:hAnsi="Calibri" w:cs="Calibri"/>
                <w:color w:val="auto"/>
                <w:kern w:val="2"/>
                <w:sz w:val="24"/>
                <w:szCs w:val="24"/>
                <w:lang w:eastAsia="en-US"/>
                <w14:ligatures w14:val="standardContextual"/>
              </w:rPr>
              <w:t>Tedam</w:t>
            </w:r>
            <w:proofErr w:type="spellEnd"/>
            <w:r w:rsidRPr="009B3DD6">
              <w:rPr>
                <w:rFonts w:ascii="Calibri" w:eastAsia="Aptos" w:hAnsi="Calibri" w:cs="Calibri"/>
                <w:color w:val="auto"/>
                <w:kern w:val="2"/>
                <w:sz w:val="24"/>
                <w:szCs w:val="24"/>
                <w:lang w:eastAsia="en-US"/>
                <w14:ligatures w14:val="standardContextual"/>
              </w:rPr>
              <w:t>, 2020). Initiating PLO required balancing safeguarding with systemic harm. The mother’s experience shaped by gender-based violence, inequality, and mental health stigma demanded a trauma-informed, culturally sensitive approach (Welsh Government, 2022). Using the 4D2P model, I critically reflected on my positionality and assumptions to ensure ethically grounded, responsive practice (MacFarlane, 2023).</w:t>
            </w:r>
          </w:p>
          <w:p w14:paraId="3A63372B"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eastAsia="Aptos" w:hAnsi="Calibri" w:cs="Calibri"/>
                <w:color w:val="auto"/>
                <w:kern w:val="2"/>
                <w:sz w:val="24"/>
                <w:szCs w:val="24"/>
                <w:lang w:eastAsia="en-US"/>
                <w14:ligatures w14:val="standardContextual"/>
              </w:rPr>
            </w:pPr>
            <w:r w:rsidRPr="009B3DD6">
              <w:rPr>
                <w:rFonts w:ascii="Calibri" w:eastAsia="Aptos" w:hAnsi="Calibri" w:cs="Calibri"/>
                <w:color w:val="auto"/>
                <w:kern w:val="2"/>
                <w:sz w:val="24"/>
                <w:szCs w:val="24"/>
                <w:lang w:eastAsia="en-US"/>
                <w14:ligatures w14:val="standardContextual"/>
              </w:rPr>
              <w:t>The 4D2P model (</w:t>
            </w:r>
            <w:proofErr w:type="spellStart"/>
            <w:r w:rsidRPr="009B3DD6">
              <w:rPr>
                <w:rFonts w:ascii="Calibri" w:eastAsia="Aptos" w:hAnsi="Calibri" w:cs="Calibri"/>
                <w:color w:val="auto"/>
                <w:kern w:val="2"/>
                <w:sz w:val="24"/>
                <w:szCs w:val="24"/>
                <w:lang w:eastAsia="en-US"/>
                <w14:ligatures w14:val="standardContextual"/>
              </w:rPr>
              <w:t>Tedam</w:t>
            </w:r>
            <w:proofErr w:type="spellEnd"/>
            <w:r w:rsidRPr="009B3DD6">
              <w:rPr>
                <w:rFonts w:ascii="Calibri" w:eastAsia="Aptos" w:hAnsi="Calibri" w:cs="Calibri"/>
                <w:color w:val="auto"/>
                <w:kern w:val="2"/>
                <w:sz w:val="24"/>
                <w:szCs w:val="24"/>
                <w:lang w:eastAsia="en-US"/>
                <w14:ligatures w14:val="standardContextual"/>
              </w:rPr>
              <w:t>, 2021) guides anti-oppressive social work through Discuss, Discover, Decide, and Disrupt. It fosters justice by addressing systemic inequality. Power, shaped by cultural and structural influences (Dominelli, 2002), effects access and agency understanding it is vital for ethical, unbiassed practice (</w:t>
            </w:r>
            <w:proofErr w:type="spellStart"/>
            <w:r w:rsidRPr="009B3DD6">
              <w:rPr>
                <w:rFonts w:ascii="Calibri" w:eastAsia="Aptos" w:hAnsi="Calibri" w:cs="Calibri"/>
                <w:color w:val="auto"/>
                <w:kern w:val="2"/>
                <w:sz w:val="24"/>
                <w:szCs w:val="24"/>
                <w:lang w:eastAsia="en-US"/>
                <w14:ligatures w14:val="standardContextual"/>
              </w:rPr>
              <w:t>Tedam</w:t>
            </w:r>
            <w:proofErr w:type="spellEnd"/>
            <w:r w:rsidRPr="009B3DD6">
              <w:rPr>
                <w:rFonts w:ascii="Calibri" w:eastAsia="Aptos" w:hAnsi="Calibri" w:cs="Calibri"/>
                <w:color w:val="auto"/>
                <w:kern w:val="2"/>
                <w:sz w:val="24"/>
                <w:szCs w:val="24"/>
                <w:lang w:eastAsia="en-US"/>
                <w14:ligatures w14:val="standardContextual"/>
              </w:rPr>
              <w:t>, 2020; 2024).</w:t>
            </w:r>
          </w:p>
          <w:p w14:paraId="5A70B6D9" w14:textId="77777777" w:rsidR="009B3DD6" w:rsidRPr="009B3DD6" w:rsidRDefault="009B3DD6" w:rsidP="009B3DD6">
            <w:pPr>
              <w:overflowPunct/>
              <w:autoSpaceDE/>
              <w:autoSpaceDN/>
              <w:adjustRightInd/>
              <w:spacing w:before="100" w:beforeAutospacing="1" w:after="100" w:afterAutospacing="1"/>
              <w:textAlignment w:val="auto"/>
              <w:rPr>
                <w:rFonts w:ascii="Calibri" w:hAnsi="Calibri" w:cs="Calibri"/>
                <w:b/>
                <w:bCs/>
                <w:color w:val="auto"/>
                <w:sz w:val="32"/>
                <w:szCs w:val="32"/>
                <w:u w:val="single"/>
              </w:rPr>
            </w:pPr>
            <w:r w:rsidRPr="009B3DD6">
              <w:rPr>
                <w:rFonts w:ascii="Calibri" w:hAnsi="Calibri" w:cs="Calibri"/>
                <w:b/>
                <w:bCs/>
                <w:color w:val="auto"/>
                <w:sz w:val="32"/>
                <w:szCs w:val="32"/>
                <w:u w:val="single"/>
              </w:rPr>
              <w:t>Feelings</w:t>
            </w:r>
          </w:p>
          <w:p w14:paraId="3123928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Before the assessment, I felt anxious and professionally responsible due to the case’s complexity and the unborn child’s vulnerability. As a newly qualified social worker, I was concerned about procedural accuracy, cultural sensitivity, and multi-agency challenges, especially around thresholds and information sharing.</w:t>
            </w:r>
          </w:p>
          <w:p w14:paraId="3CB9FE65" w14:textId="44908576"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The mother’s history of substance misuse and inconsistent engagement heightened my anxiety. However, her openness during the assessment promoted cautious optimism. I grew more confident applying statutory guidance and collaborating with professionals, </w:t>
            </w:r>
            <w:r w:rsidR="00124EAA" w:rsidRPr="009B3DD6">
              <w:rPr>
                <w:rFonts w:ascii="Calibri" w:hAnsi="Calibri" w:cs="Calibri"/>
                <w:color w:val="auto"/>
                <w:sz w:val="24"/>
                <w:szCs w:val="24"/>
              </w:rPr>
              <w:t>although</w:t>
            </w:r>
            <w:r w:rsidRPr="009B3DD6">
              <w:rPr>
                <w:rFonts w:ascii="Calibri" w:hAnsi="Calibri" w:cs="Calibri"/>
                <w:color w:val="auto"/>
                <w:sz w:val="24"/>
                <w:szCs w:val="24"/>
              </w:rPr>
              <w:t xml:space="preserve"> emotionally affected by her trauma and its consequences for parenting</w:t>
            </w:r>
            <w:r w:rsidR="001F3063">
              <w:rPr>
                <w:rFonts w:ascii="Calibri" w:hAnsi="Calibri" w:cs="Calibri"/>
                <w:color w:val="auto"/>
                <w:sz w:val="24"/>
                <w:szCs w:val="24"/>
              </w:rPr>
              <w:t xml:space="preserve"> </w:t>
            </w:r>
            <w:r w:rsidR="001F3063" w:rsidRPr="001F3063">
              <w:rPr>
                <w:rFonts w:ascii="Calibri" w:hAnsi="Calibri" w:cs="Calibri"/>
                <w:color w:val="auto"/>
                <w:sz w:val="24"/>
                <w:szCs w:val="24"/>
              </w:rPr>
              <w:t>(Ryding et al., 2018).</w:t>
            </w:r>
          </w:p>
          <w:p w14:paraId="466133FF"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A crucial moment was when she expressed fear of losing her child. I felt uncertain recognising her progress while needing to assess risk objectively. This raised questions about empathy shadowing judgement (Ferguson, 2018) against systemic harm from extreme warn (Ryding et al., 2018).</w:t>
            </w:r>
          </w:p>
          <w:p w14:paraId="1A14862C" w14:textId="6C9B2DB1"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Research on the Duluth model suggests some women experience intervention as coercive (Zarling &amp; Russell, 2022), reinforcing the need for trauma-informed practice (Stanley, 2010). I also felt conflicted when professionals doubted her parenting despite progress. My advocacy drives prompted reflection on emotional asset and fairness</w:t>
            </w:r>
            <w:r w:rsidR="008C79ED">
              <w:rPr>
                <w:rFonts w:ascii="Calibri" w:hAnsi="Calibri" w:cs="Calibri"/>
                <w:color w:val="auto"/>
                <w:sz w:val="24"/>
                <w:szCs w:val="24"/>
              </w:rPr>
              <w:t xml:space="preserve"> </w:t>
            </w:r>
            <w:r w:rsidR="008C79ED" w:rsidRPr="008C79ED">
              <w:rPr>
                <w:rFonts w:ascii="Calibri" w:hAnsi="Calibri" w:cs="Calibri"/>
                <w:color w:val="auto"/>
                <w:sz w:val="24"/>
                <w:szCs w:val="24"/>
              </w:rPr>
              <w:t>(Ryding et al., 2018)</w:t>
            </w:r>
            <w:r w:rsidRPr="009B3DD6">
              <w:rPr>
                <w:rFonts w:ascii="Calibri" w:hAnsi="Calibri" w:cs="Calibri"/>
                <w:color w:val="auto"/>
                <w:sz w:val="24"/>
                <w:szCs w:val="24"/>
              </w:rPr>
              <w:t>. Balancing empathy with safeguarding responsibilities deepened my understanding of ethical practice and the emotional complexity of statutory intervention</w:t>
            </w:r>
            <w:r w:rsidR="001E478C">
              <w:rPr>
                <w:rFonts w:ascii="Calibri" w:hAnsi="Calibri" w:cs="Calibri"/>
                <w:color w:val="auto"/>
                <w:sz w:val="24"/>
                <w:szCs w:val="24"/>
              </w:rPr>
              <w:t xml:space="preserve"> </w:t>
            </w:r>
            <w:r w:rsidR="001E478C" w:rsidRPr="001E478C">
              <w:rPr>
                <w:rFonts w:ascii="Calibri" w:hAnsi="Calibri" w:cs="Calibri"/>
                <w:color w:val="auto"/>
                <w:sz w:val="24"/>
                <w:szCs w:val="24"/>
              </w:rPr>
              <w:t>(Ryding et al., 2018).</w:t>
            </w:r>
          </w:p>
          <w:p w14:paraId="206BF2DE" w14:textId="77777777" w:rsidR="009B3DD6" w:rsidRPr="009B3DD6" w:rsidRDefault="009B3DD6" w:rsidP="009B3DD6">
            <w:pPr>
              <w:overflowPunct/>
              <w:autoSpaceDE/>
              <w:autoSpaceDN/>
              <w:adjustRightInd/>
              <w:spacing w:before="100" w:beforeAutospacing="1" w:after="100" w:afterAutospacing="1" w:line="360" w:lineRule="auto"/>
              <w:textAlignment w:val="auto"/>
              <w:outlineLvl w:val="2"/>
              <w:rPr>
                <w:rFonts w:ascii="Calibri" w:hAnsi="Calibri" w:cs="Calibri"/>
                <w:color w:val="auto"/>
                <w:sz w:val="24"/>
                <w:szCs w:val="24"/>
              </w:rPr>
            </w:pPr>
          </w:p>
          <w:p w14:paraId="685100EB" w14:textId="15751D0E" w:rsidR="009B3DD6" w:rsidRPr="009B3DD6" w:rsidRDefault="009B3DD6" w:rsidP="009B3DD6">
            <w:pPr>
              <w:overflowPunct/>
              <w:autoSpaceDE/>
              <w:autoSpaceDN/>
              <w:adjustRightInd/>
              <w:spacing w:before="100" w:beforeAutospacing="1" w:after="100" w:afterAutospacing="1" w:line="360" w:lineRule="auto"/>
              <w:jc w:val="both"/>
              <w:textAlignment w:val="auto"/>
              <w:rPr>
                <w:rFonts w:eastAsia="Aptos"/>
                <w:color w:val="auto"/>
                <w:kern w:val="2"/>
                <w:sz w:val="24"/>
                <w:szCs w:val="24"/>
                <w:lang w:eastAsia="en-US"/>
                <w14:ligatures w14:val="standardContextual"/>
              </w:rPr>
            </w:pPr>
            <w:r w:rsidRPr="009B3DD6">
              <w:rPr>
                <w:rFonts w:eastAsia="Aptos"/>
                <w:b/>
                <w:bCs/>
                <w:color w:val="auto"/>
                <w:kern w:val="2"/>
                <w:sz w:val="24"/>
                <w:szCs w:val="24"/>
                <w:u w:val="single"/>
                <w:lang w:eastAsia="en-US"/>
                <w14:ligatures w14:val="standardContextual"/>
              </w:rPr>
              <w:t>Evaluation</w:t>
            </w:r>
            <w:r w:rsidRPr="009B3DD6">
              <w:rPr>
                <w:rFonts w:eastAsia="Aptos"/>
                <w:color w:val="auto"/>
                <w:kern w:val="2"/>
                <w:sz w:val="24"/>
                <w:szCs w:val="24"/>
                <w:lang w:eastAsia="en-US"/>
                <w14:ligatures w14:val="standardContextual"/>
              </w:rPr>
              <w:br/>
            </w:r>
            <w:r w:rsidRPr="009B3DD6">
              <w:rPr>
                <w:rFonts w:ascii="Calibri" w:eastAsia="Aptos" w:hAnsi="Calibri" w:cs="Calibri"/>
                <w:color w:val="auto"/>
                <w:kern w:val="2"/>
                <w:sz w:val="24"/>
                <w:szCs w:val="24"/>
                <w:lang w:eastAsia="en-US"/>
                <w14:ligatures w14:val="standardContextual"/>
              </w:rPr>
              <w:t xml:space="preserve">The assessment was professionally rewarding yet emotionally challenging. I effectively utilized statutory guidance and facilitated multi-agency collaboration (Welsh Government, 2019). Safeguarding procedures including core groups, child protection visits, conferences, PLO supervisions, and legal planning kept the child’s welfare central. Support from colleagues, practice lead, and legal advisors </w:t>
            </w:r>
            <w:r w:rsidR="004B008D" w:rsidRPr="009B3DD6">
              <w:rPr>
                <w:rFonts w:ascii="Calibri" w:eastAsia="Aptos" w:hAnsi="Calibri" w:cs="Calibri"/>
                <w:color w:val="auto"/>
                <w:kern w:val="2"/>
                <w:sz w:val="24"/>
                <w:szCs w:val="24"/>
                <w:lang w:eastAsia="en-US"/>
                <w14:ligatures w14:val="standardContextual"/>
              </w:rPr>
              <w:t>increased</w:t>
            </w:r>
            <w:r w:rsidRPr="009B3DD6">
              <w:rPr>
                <w:rFonts w:ascii="Calibri" w:eastAsia="Aptos" w:hAnsi="Calibri" w:cs="Calibri"/>
                <w:color w:val="auto"/>
                <w:kern w:val="2"/>
                <w:sz w:val="24"/>
                <w:szCs w:val="24"/>
                <w:lang w:eastAsia="en-US"/>
                <w14:ligatures w14:val="standardContextual"/>
              </w:rPr>
              <w:t xml:space="preserve"> my confidence in navigating the PLO process.</w:t>
            </w:r>
          </w:p>
          <w:p w14:paraId="069D2226"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eastAsia="Aptos" w:hAnsi="Calibri" w:cs="Calibri"/>
                <w:color w:val="auto"/>
                <w:kern w:val="2"/>
                <w:sz w:val="24"/>
                <w:szCs w:val="24"/>
                <w:lang w:eastAsia="en-US"/>
                <w14:ligatures w14:val="standardContextual"/>
              </w:rPr>
            </w:pPr>
            <w:r w:rsidRPr="009B3DD6">
              <w:rPr>
                <w:rFonts w:ascii="Calibri" w:eastAsia="Aptos" w:hAnsi="Calibri" w:cs="Calibri"/>
                <w:color w:val="auto"/>
                <w:kern w:val="2"/>
                <w:sz w:val="24"/>
                <w:szCs w:val="24"/>
                <w:lang w:eastAsia="en-US"/>
                <w14:ligatures w14:val="standardContextual"/>
              </w:rPr>
              <w:t>Challenges included managing the emotional impact of the mother’s trauma while maintaining protective overseeing (Roy, 2020). As a newly qualified social worker, I sometimes felt uncertain about the stability of my decisions and their impact. Systemic issues delay in accessing domestic abuse services and inconsistent multi-agency thresholds affected intervention timeliness and effectiveness (Keddell, 2014).</w:t>
            </w:r>
          </w:p>
          <w:p w14:paraId="5533B90F"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effectively gathered comprehensive information from the mother, extended family, midwife, and health visitors through core group meetings and child protection visits. The use of Signs of Safety tools such as mapping, danger statements, safety goals, and scaling supported collaborative decision-making and ensured the child’s voice was central (Devine &amp; Parker, 2022). Protective factors were strengthened through referrals to services like JIGSO and substance misuse support. However, inter-agency communication posed challenges, with professionals cautious to share sensitive information without consent. This reflects systemic issues highlighted in Welsh Child Practice Reviews, including misaligned priorities and coordination difficulties (Social Care Wales, 2017)</w:t>
            </w:r>
          </w:p>
          <w:p w14:paraId="3C4F6990" w14:textId="154B32A8"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eastAsia="Aptos" w:hAnsi="Calibri" w:cs="Calibri"/>
                <w:color w:val="auto"/>
                <w:kern w:val="2"/>
                <w:sz w:val="24"/>
                <w:szCs w:val="24"/>
                <w:lang w:eastAsia="en-US"/>
                <w14:ligatures w14:val="standardContextual"/>
              </w:rPr>
              <w:t>The integration of multiple assessment frameworks enabled a robust, evidence-informed approach</w:t>
            </w:r>
            <w:r w:rsidR="00210E23">
              <w:rPr>
                <w:rFonts w:ascii="Calibri" w:eastAsia="Aptos" w:hAnsi="Calibri" w:cs="Calibri"/>
                <w:color w:val="auto"/>
                <w:kern w:val="2"/>
                <w:sz w:val="24"/>
                <w:szCs w:val="24"/>
                <w:lang w:eastAsia="en-US"/>
                <w14:ligatures w14:val="standardContextual"/>
              </w:rPr>
              <w:t xml:space="preserve"> </w:t>
            </w:r>
            <w:r w:rsidR="00210E23" w:rsidRPr="00210E23">
              <w:rPr>
                <w:rFonts w:ascii="Calibri" w:eastAsia="Aptos" w:hAnsi="Calibri" w:cs="Calibri"/>
                <w:color w:val="auto"/>
                <w:kern w:val="2"/>
                <w:sz w:val="24"/>
                <w:szCs w:val="24"/>
                <w:lang w:eastAsia="en-US"/>
                <w14:ligatures w14:val="standardContextual"/>
              </w:rPr>
              <w:t>(Trevithick, 2012)</w:t>
            </w:r>
            <w:r w:rsidRPr="009B3DD6">
              <w:rPr>
                <w:rFonts w:ascii="Calibri" w:eastAsia="Aptos" w:hAnsi="Calibri" w:cs="Calibri"/>
                <w:color w:val="auto"/>
                <w:kern w:val="2"/>
                <w:sz w:val="24"/>
                <w:szCs w:val="24"/>
                <w:lang w:eastAsia="en-US"/>
                <w14:ligatures w14:val="standardContextual"/>
              </w:rPr>
              <w:t xml:space="preserve">. Calder’s model (2003), including tools focused on attachment, childhood experiences, substance misuse, parenting capacity, emotional availability, and risk, protective factors, was particularly effective in identifying pre-birth risks and facilitating early multi-agency intervention. Fowler’s tools, underpinned by systems theory, supported a holistic understanding of the family's circumstances, highlighting both vulnerabilities and strengths through professional curiosity, trauma-informed practice, multidisciplinary collaboration, and reflective supervision </w:t>
            </w:r>
            <w:r w:rsidRPr="009B3DD6">
              <w:rPr>
                <w:rFonts w:ascii="Calibri" w:hAnsi="Calibri" w:cs="Calibri"/>
                <w:color w:val="auto"/>
                <w:sz w:val="24"/>
                <w:szCs w:val="24"/>
              </w:rPr>
              <w:t>(Trevithick, 2012).</w:t>
            </w:r>
          </w:p>
          <w:p w14:paraId="4D918F7B" w14:textId="2C696EDB"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However, Payne (2014) recognises limitations in the tools used. Fowler’s Tool, while valuable, relies heavily on practitioner interpretation, which introduces the potential for unconscious bias (Payne, 2014). Assuming all substance-using parents are neglectful </w:t>
            </w:r>
            <w:r w:rsidR="00970306" w:rsidRPr="009B3DD6">
              <w:rPr>
                <w:rFonts w:ascii="Calibri" w:hAnsi="Calibri" w:cs="Calibri"/>
                <w:color w:val="auto"/>
                <w:sz w:val="24"/>
                <w:szCs w:val="24"/>
              </w:rPr>
              <w:t>ignores</w:t>
            </w:r>
            <w:r w:rsidRPr="009B3DD6">
              <w:rPr>
                <w:rFonts w:ascii="Calibri" w:hAnsi="Calibri" w:cs="Calibri"/>
                <w:color w:val="auto"/>
                <w:sz w:val="24"/>
                <w:szCs w:val="24"/>
              </w:rPr>
              <w:t xml:space="preserve"> individual strengths and context (Payne, 2014). A parent who occasionally uses cannabis may still provide stable, nurturing care (Payne, 2014).. Over-pathologizing without considering resilience stresses the need for supervision and reflexivity in ethical, anti-oppressive practice (Trevithick, 2012).</w:t>
            </w:r>
          </w:p>
          <w:p w14:paraId="643A372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The socio-economic context, particularly parental substance misuse, significantly complicated the assessment. In 2022, 4,960 children in Wales required care due to parental substance misuse (NHS Wales, 2022). While adult hospital admissions for illicit drug poisoning declined by 10.6% from 2021–22 to 2022–23, neonatal admissions linked to maternal substance use remained concerning, with 63 cases recorded (NHS Wales, 2022). Research highlights the adverse impact of parental substance misuse on children’s mental health, including anxiety, depression, and attachment difficulties (Fraser, 2009; Harwin, 2010). Therefore, interventions must prioritise the child’s needs and promote resilience (Torvik, 2011). </w:t>
            </w:r>
          </w:p>
          <w:p w14:paraId="28639CDB" w14:textId="549911C1"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The assessment involved navigating unconscious bias around substance misuse and parenting capacity, while balancing the mother’s rights with statutory safeguarding duties. Ethical tensions </w:t>
            </w:r>
            <w:r w:rsidR="00986BB7" w:rsidRPr="009B3DD6">
              <w:rPr>
                <w:rFonts w:ascii="Calibri" w:hAnsi="Calibri" w:cs="Calibri"/>
                <w:color w:val="auto"/>
                <w:sz w:val="24"/>
                <w:szCs w:val="24"/>
              </w:rPr>
              <w:t>happened</w:t>
            </w:r>
            <w:r w:rsidRPr="009B3DD6">
              <w:rPr>
                <w:rFonts w:ascii="Calibri" w:hAnsi="Calibri" w:cs="Calibri"/>
                <w:color w:val="auto"/>
                <w:sz w:val="24"/>
                <w:szCs w:val="24"/>
              </w:rPr>
              <w:t xml:space="preserve"> from concerns raised by professionals and the support network regarding past exposure to unsafe individuals. These complexities required careful reflection, supervision, and legal guidance to ensure a child-centred and ethically sound approach</w:t>
            </w:r>
            <w:r w:rsidR="00F3014F">
              <w:rPr>
                <w:rFonts w:ascii="Calibri" w:hAnsi="Calibri" w:cs="Calibri"/>
                <w:color w:val="auto"/>
                <w:sz w:val="24"/>
                <w:szCs w:val="24"/>
              </w:rPr>
              <w:t>.</w:t>
            </w:r>
          </w:p>
          <w:p w14:paraId="1085396E"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Positive aspects of the intervention included the use of trauma-informed approaches (Trevithick, 2012; MacFarlane, 2023), culturally competent assessment tools, and co-production principles. The assessment was conducted in familiar environments, used accessible language, and prioritised emotional safety</w:t>
            </w:r>
            <w:r w:rsidRPr="009B3DD6">
              <w:rPr>
                <w:rFonts w:eastAsia="Aptos"/>
                <w:color w:val="auto"/>
                <w:kern w:val="2"/>
                <w:sz w:val="24"/>
                <w:szCs w:val="24"/>
                <w:lang w:eastAsia="en-US"/>
                <w14:ligatures w14:val="standardContextual"/>
              </w:rPr>
              <w:t xml:space="preserve"> (MacFarlane, 2023). </w:t>
            </w:r>
            <w:r w:rsidRPr="009B3DD6">
              <w:rPr>
                <w:rFonts w:ascii="Calibri" w:hAnsi="Calibri" w:cs="Calibri"/>
                <w:color w:val="auto"/>
                <w:sz w:val="24"/>
                <w:szCs w:val="24"/>
              </w:rPr>
              <w:t>The Family and Friends Fostering Team (FAFFT) assessment completed by maternal grandparents enabled a stable kinship care arrangement, preserving family connections while safeguarding the child.</w:t>
            </w:r>
          </w:p>
          <w:p w14:paraId="12DC2F24" w14:textId="24094196" w:rsidR="00D3203C" w:rsidRDefault="00D3203C" w:rsidP="00FF7EBB">
            <w:pPr>
              <w:jc w:val="both"/>
              <w:rPr>
                <w:iCs/>
                <w:sz w:val="24"/>
                <w:szCs w:val="24"/>
              </w:rPr>
            </w:pPr>
          </w:p>
          <w:p w14:paraId="6DA79041" w14:textId="77777777" w:rsidR="009B3DD6" w:rsidRPr="009B3DD6" w:rsidRDefault="009B3DD6" w:rsidP="009B3DD6">
            <w:pPr>
              <w:overflowPunct/>
              <w:autoSpaceDE/>
              <w:autoSpaceDN/>
              <w:adjustRightInd/>
              <w:spacing w:before="100" w:beforeAutospacing="1" w:after="100" w:afterAutospacing="1" w:line="360" w:lineRule="auto"/>
              <w:textAlignment w:val="auto"/>
              <w:outlineLvl w:val="2"/>
              <w:rPr>
                <w:rFonts w:ascii="Times New Roman" w:hAnsi="Times New Roman" w:cs="Times New Roman"/>
                <w:b/>
                <w:bCs/>
                <w:color w:val="auto"/>
                <w:sz w:val="27"/>
                <w:szCs w:val="27"/>
                <w:u w:val="single"/>
              </w:rPr>
            </w:pPr>
            <w:r w:rsidRPr="009B3DD6">
              <w:rPr>
                <w:rFonts w:ascii="Times New Roman" w:hAnsi="Times New Roman" w:cs="Times New Roman"/>
                <w:b/>
                <w:bCs/>
                <w:color w:val="auto"/>
                <w:sz w:val="27"/>
                <w:szCs w:val="27"/>
                <w:u w:val="single"/>
              </w:rPr>
              <w:t>Analysis</w:t>
            </w:r>
          </w:p>
          <w:p w14:paraId="5056093F"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The safeguarding legal framework in Wales reflects a shift from deficit-based models to a strengths-based, person-centred approach (Llewellyn et al., 2023). This aligns with the SSWBA 2014, emphasis on promoting well-being through active participation and respecting the individual's views, dignity, and cultural identity </w:t>
            </w:r>
            <w:bookmarkStart w:id="4" w:name="_Hlk210571392"/>
            <w:r w:rsidRPr="009B3DD6">
              <w:rPr>
                <w:rFonts w:ascii="Calibri" w:hAnsi="Calibri" w:cs="Calibri"/>
                <w:color w:val="auto"/>
                <w:sz w:val="24"/>
                <w:szCs w:val="24"/>
              </w:rPr>
              <w:t xml:space="preserve">(Social Care Wales, 2024). </w:t>
            </w:r>
            <w:bookmarkEnd w:id="4"/>
            <w:r w:rsidRPr="009B3DD6">
              <w:rPr>
                <w:rFonts w:ascii="Calibri" w:hAnsi="Calibri" w:cs="Calibri"/>
                <w:color w:val="auto"/>
                <w:sz w:val="24"/>
                <w:szCs w:val="24"/>
              </w:rPr>
              <w:t xml:space="preserve">However, while the guidance encourages holistic assessment, its practical implementation can be constrained by systemic pressures such as time-limited interventions, resource limitations, and caseload demands </w:t>
            </w:r>
            <w:bookmarkStart w:id="5" w:name="_Hlk210571574"/>
            <w:r w:rsidRPr="009B3DD6">
              <w:rPr>
                <w:rFonts w:ascii="Calibri" w:hAnsi="Calibri" w:cs="Calibri"/>
                <w:color w:val="auto"/>
                <w:sz w:val="24"/>
                <w:szCs w:val="24"/>
              </w:rPr>
              <w:t>(Llewellyn et al., 2023).</w:t>
            </w:r>
            <w:bookmarkEnd w:id="5"/>
          </w:p>
          <w:p w14:paraId="0FAD84A4" w14:textId="5706EEB8"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SSWBA 2014, also supports family-based care where consistent with the child’s well-being, and requires consideration of parental views (Llewellyn et al., 2023). This raises tensions in cases where parental wishes conflict with safeguarding concerns, requiring professional judgement and ethical reasoning</w:t>
            </w:r>
            <w:r w:rsidR="00F405CD">
              <w:rPr>
                <w:rFonts w:ascii="Calibri" w:hAnsi="Calibri" w:cs="Calibri"/>
                <w:color w:val="auto"/>
                <w:sz w:val="24"/>
                <w:szCs w:val="24"/>
              </w:rPr>
              <w:t xml:space="preserve"> </w:t>
            </w:r>
            <w:r w:rsidR="00F405CD" w:rsidRPr="00F405CD">
              <w:rPr>
                <w:rFonts w:ascii="Calibri" w:hAnsi="Calibri" w:cs="Calibri"/>
                <w:color w:val="auto"/>
                <w:sz w:val="24"/>
                <w:szCs w:val="24"/>
              </w:rPr>
              <w:t>(Llewellyn et al., 2023).</w:t>
            </w:r>
            <w:r w:rsidRPr="009B3DD6">
              <w:rPr>
                <w:rFonts w:ascii="Calibri" w:hAnsi="Calibri" w:cs="Calibri"/>
                <w:color w:val="auto"/>
                <w:sz w:val="24"/>
                <w:szCs w:val="24"/>
              </w:rPr>
              <w:t xml:space="preserve"> Practitioners must balance respect for family autonomy with statutory duties to protect the child, often within complex socio-cultural contexts (Social Care Wales, 2017). While the SSWBA 2014, provides a robust framework, its effectiveness depends on practitioners’ ability to critically engage with its principles, apply them reflexively, and navigate competing priorities in practice (Llewellyn et al., 2023). </w:t>
            </w:r>
          </w:p>
          <w:p w14:paraId="0EC63763" w14:textId="77777777" w:rsidR="009B3DD6" w:rsidRPr="009B3DD6" w:rsidRDefault="009B3DD6" w:rsidP="009B3DD6">
            <w:pPr>
              <w:overflowPunct/>
              <w:autoSpaceDE/>
              <w:autoSpaceDN/>
              <w:adjustRightInd/>
              <w:spacing w:after="160"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Professional judgment was clearly distinguished from hearsay, ensuring decisions remained lawful and ethical (Taylor &amp; Whittaker, 2019). Though the unborn child has limited legal status, safeguarding principles prioritise their welfare (Windsor, 2017). Pre-birth assessments pose ethical challenges, balancing maternal autonomy with the child’s future safety (Wilkinson et al., 2023). Early intervention may prevent harm but risks emotionally traumatic outcomes, including removal at birth (Masson &amp; Dickens, 2015).</w:t>
            </w:r>
          </w:p>
          <w:p w14:paraId="65478018"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This case highlighted the value of trauma-informed practice and reflective supervision. The parent’s adversity shaped their engagement and response to statutory intervention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2024). Guided by Trevithick’s (2012) relationship-based practice, I built trust while supporting safeguarding duties. Co-production with the parent and extended family promoted transparency and empowerment, even within the controls of the PLO process (Wilkins &amp; Whittaker, 2017).</w:t>
            </w:r>
          </w:p>
          <w:p w14:paraId="0309FC3A"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case highlighted Bronfenbrenner’s ecological systems theory in contextualising individual, family, and societal dynamics. It highlighted the need for critical thinking and ethical practice when balancing Article 8 rights to family life with the child’s welfare under Section 31 of the Children Act 1989, reinforcing the complexity of safeguarding decisions (Friedman &amp; Allen, 2011; Curtice &amp; Hawkins, 2010).</w:t>
            </w:r>
          </w:p>
          <w:p w14:paraId="311DF8F0" w14:textId="45C1E23A"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assessment demonstrated a balanced approach to risk and resilience (Calder, 2003). Historical concerns were weighed against current improvements in maternal wellbeing and engagement with support services. Multi-agency collaboration provided a holistic understanding of the family’s circumstances, although structural cultural barriers limited its effectiveness (Masterson et al., 2022). The assessment process highlighted structural barriers such as limited access to mental health and addiction services, housing instability, and stigma related to criminal justice involvement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2024). It also considered the parent's support networks, cultural background, experiences of discrimination (addiction and offending behaviours), and the influence of adverse childhood experiences (ACEs) on current behaviours</w:t>
            </w:r>
            <w:r w:rsidR="006568E7">
              <w:rPr>
                <w:rFonts w:ascii="Calibri" w:hAnsi="Calibri" w:cs="Calibri"/>
                <w:color w:val="auto"/>
                <w:sz w:val="24"/>
                <w:szCs w:val="24"/>
              </w:rPr>
              <w:t xml:space="preserve"> </w:t>
            </w:r>
            <w:r w:rsidR="006568E7" w:rsidRPr="006568E7">
              <w:rPr>
                <w:rFonts w:ascii="Calibri" w:hAnsi="Calibri" w:cs="Calibri"/>
                <w:color w:val="auto"/>
                <w:sz w:val="24"/>
                <w:szCs w:val="24"/>
              </w:rPr>
              <w:t>(Friedman &amp; Allen, 2011)</w:t>
            </w:r>
            <w:r w:rsidRPr="009B3DD6">
              <w:rPr>
                <w:rFonts w:ascii="Calibri" w:hAnsi="Calibri" w:cs="Calibri"/>
                <w:color w:val="auto"/>
                <w:sz w:val="24"/>
                <w:szCs w:val="24"/>
              </w:rPr>
              <w:t>.</w:t>
            </w:r>
          </w:p>
          <w:p w14:paraId="65E3EE0C"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Cultural awareness was a key consideration throughout the assessment. The family's ethnic background and cultural norms influenced their engagement with services and shaped parenting practices (Bobadilla, 2024), which differed from my own cultural and ethical framework. I approached the assessment with cultural humility, aiming to understand the mother’s lived experience without making assumptions</w:t>
            </w:r>
            <w:r w:rsidRPr="009B3DD6">
              <w:rPr>
                <w:rFonts w:eastAsia="Aptos"/>
                <w:color w:val="auto"/>
                <w:kern w:val="2"/>
                <w:sz w:val="24"/>
                <w:szCs w:val="24"/>
                <w:lang w:eastAsia="en-US"/>
                <w14:ligatures w14:val="standardContextual"/>
              </w:rPr>
              <w:t xml:space="preserve"> (</w:t>
            </w:r>
            <w:r w:rsidRPr="009B3DD6">
              <w:rPr>
                <w:rFonts w:ascii="Calibri" w:hAnsi="Calibri" w:cs="Calibri"/>
                <w:color w:val="auto"/>
                <w:sz w:val="24"/>
                <w:szCs w:val="24"/>
              </w:rPr>
              <w:t>Bobadilla, 2024). Intersectionality particularly the interaction of ethnicity, gender, and socio-economic status was central to understanding the family’s vulnerabilities and strengths (</w:t>
            </w:r>
            <w:proofErr w:type="spellStart"/>
            <w:r w:rsidRPr="009B3DD6">
              <w:rPr>
                <w:rFonts w:ascii="Calibri" w:hAnsi="Calibri" w:cs="Calibri"/>
                <w:color w:val="auto"/>
                <w:sz w:val="24"/>
                <w:szCs w:val="24"/>
              </w:rPr>
              <w:t>Engdau</w:t>
            </w:r>
            <w:proofErr w:type="spellEnd"/>
            <w:r w:rsidRPr="009B3DD6">
              <w:rPr>
                <w:rFonts w:ascii="Calibri" w:hAnsi="Calibri" w:cs="Calibri"/>
                <w:color w:val="auto"/>
                <w:sz w:val="24"/>
                <w:szCs w:val="24"/>
              </w:rPr>
              <w:t xml:space="preserve">-Vanda, and </w:t>
            </w:r>
            <w:proofErr w:type="spellStart"/>
            <w:r w:rsidRPr="009B3DD6">
              <w:rPr>
                <w:rFonts w:ascii="Calibri" w:hAnsi="Calibri" w:cs="Calibri"/>
                <w:color w:val="auto"/>
                <w:sz w:val="24"/>
                <w:szCs w:val="24"/>
              </w:rPr>
              <w:t>Simhi</w:t>
            </w:r>
            <w:proofErr w:type="spellEnd"/>
            <w:r w:rsidRPr="009B3DD6">
              <w:rPr>
                <w:rFonts w:ascii="Calibri" w:hAnsi="Calibri" w:cs="Calibri"/>
                <w:color w:val="auto"/>
                <w:sz w:val="24"/>
                <w:szCs w:val="24"/>
              </w:rPr>
              <w:t>, 2025). This informed my decision to seek culturally appropriate guidance and reflective supervision to avoid bias and ensure a balanced perspective.</w:t>
            </w:r>
          </w:p>
          <w:p w14:paraId="7430318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4D2P Model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2021) offered a structured approach to addressing systemic injustice through its four stages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2024). Assessment interviews were conducted in familiar settings using accessible language, with a focus on emotional safety to encourage open, non-judgmental dialogue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2024). Motivational interviewing was used to explore the parent's experiences with substance use and offending, examining links to trauma, poverty, and systemic disadvantage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2020). The conversation centred on the impact of these experiences on their child and their aspirations as a parent.</w:t>
            </w:r>
          </w:p>
          <w:p w14:paraId="77E9DD57"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Final analysis focused on collaborative, ethical decision-making (</w:t>
            </w:r>
            <w:proofErr w:type="spellStart"/>
            <w:r w:rsidRPr="009B3DD6">
              <w:rPr>
                <w:rFonts w:ascii="Calibri" w:hAnsi="Calibri" w:cs="Calibri"/>
                <w:color w:val="auto"/>
                <w:sz w:val="24"/>
                <w:szCs w:val="24"/>
              </w:rPr>
              <w:t>Tedam</w:t>
            </w:r>
            <w:proofErr w:type="spellEnd"/>
            <w:r w:rsidRPr="009B3DD6">
              <w:rPr>
                <w:rFonts w:ascii="Calibri" w:hAnsi="Calibri" w:cs="Calibri"/>
                <w:color w:val="auto"/>
                <w:sz w:val="24"/>
                <w:szCs w:val="24"/>
              </w:rPr>
              <w:t>, 2024). Support and wellbeing plans were co-produced with the parent and their network, targeting achievable goals such as engagement with substance misuse services, parenting support, and housing stability. Decisions balanced risk and protective factors, recognising the parent's motivation and capacity for change while prioritising the child’s safety (Dominelli, 2002).</w:t>
            </w:r>
          </w:p>
          <w:p w14:paraId="61DD3AD4"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 xml:space="preserve">Furthermore, the Systems Theory approach facilitated a focus on the family's lived experience and cultural context (Montgomery, MacDonald &amp; Houston, 2023). Tools such as genograms and ecomaps identified intergenerational trauma and informal support networks, informing a collaborative safety plan (Friedman &amp; Allen, 2011). </w:t>
            </w:r>
          </w:p>
          <w:p w14:paraId="7F26CA54" w14:textId="77777777" w:rsidR="009B3DD6" w:rsidRPr="009B3DD6" w:rsidRDefault="009B3DD6" w:rsidP="009B3DD6">
            <w:pPr>
              <w:overflowPunct/>
              <w:autoSpaceDE/>
              <w:autoSpaceDN/>
              <w:adjustRightInd/>
              <w:spacing w:after="160"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The maternal grandparents have been approved as kinship carers by the Family and Friends Fostering Team under Regulation 26 of the Care Planning, Placement and Case Review (Wales) Regulations 2015 (</w:t>
            </w:r>
            <w:proofErr w:type="spellStart"/>
            <w:r w:rsidRPr="009B3DD6">
              <w:rPr>
                <w:rFonts w:ascii="Calibri" w:hAnsi="Calibri" w:cs="Calibri"/>
                <w:color w:val="auto"/>
                <w:sz w:val="24"/>
                <w:szCs w:val="24"/>
              </w:rPr>
              <w:t>Olokotor</w:t>
            </w:r>
            <w:proofErr w:type="spellEnd"/>
            <w:r w:rsidRPr="009B3DD6">
              <w:rPr>
                <w:rFonts w:ascii="Calibri" w:hAnsi="Calibri" w:cs="Calibri"/>
                <w:color w:val="auto"/>
                <w:sz w:val="24"/>
                <w:szCs w:val="24"/>
              </w:rPr>
              <w:t>, Prince-</w:t>
            </w:r>
            <w:proofErr w:type="spellStart"/>
            <w:r w:rsidRPr="009B3DD6">
              <w:rPr>
                <w:rFonts w:ascii="Calibri" w:hAnsi="Calibri" w:cs="Calibri"/>
                <w:color w:val="auto"/>
                <w:sz w:val="24"/>
                <w:szCs w:val="24"/>
              </w:rPr>
              <w:t>Olokotor</w:t>
            </w:r>
            <w:proofErr w:type="spellEnd"/>
            <w:r w:rsidRPr="009B3DD6">
              <w:rPr>
                <w:rFonts w:ascii="Calibri" w:hAnsi="Calibri" w:cs="Calibri"/>
                <w:color w:val="auto"/>
                <w:sz w:val="24"/>
                <w:szCs w:val="24"/>
              </w:rPr>
              <w:t>, &amp; Tembo, 2024). However, Child 6 remains in the mother’s care, as her parenting capacity assessment conducted in line with best practice guidance did not identify concerns warranting separation</w:t>
            </w:r>
            <w:r w:rsidRPr="009B3DD6">
              <w:rPr>
                <w:rFonts w:ascii="Calibri" w:hAnsi="Calibri" w:cs="Calibri"/>
                <w:color w:val="FF0000"/>
                <w:sz w:val="24"/>
                <w:szCs w:val="24"/>
              </w:rPr>
              <w:t>.</w:t>
            </w:r>
            <w:r w:rsidRPr="009B3DD6">
              <w:rPr>
                <w:rFonts w:ascii="Calibri" w:hAnsi="Calibri" w:cs="Calibri"/>
                <w:color w:val="auto"/>
                <w:sz w:val="24"/>
                <w:szCs w:val="24"/>
              </w:rPr>
              <w:t xml:space="preserve"> While progress is evident and no immediate safeguarding concerns are present, the underlying risks are longstanding. Continued intervention is required in areas such as parenting support, healthy relationships, and behavioural change. </w:t>
            </w:r>
          </w:p>
          <w:p w14:paraId="12956102" w14:textId="37CB54E8" w:rsidR="009B3DD6" w:rsidRDefault="009B3DD6" w:rsidP="009B3DD6">
            <w:pPr>
              <w:spacing w:line="360" w:lineRule="auto"/>
              <w:jc w:val="both"/>
              <w:rPr>
                <w:rFonts w:ascii="Calibri" w:hAnsi="Calibri" w:cs="Calibri"/>
                <w:color w:val="auto"/>
                <w:sz w:val="24"/>
                <w:szCs w:val="24"/>
              </w:rPr>
            </w:pPr>
            <w:r w:rsidRPr="009B3DD6">
              <w:rPr>
                <w:rFonts w:ascii="Calibri" w:hAnsi="Calibri" w:cs="Calibri"/>
                <w:color w:val="auto"/>
                <w:sz w:val="24"/>
                <w:szCs w:val="24"/>
              </w:rPr>
              <w:t xml:space="preserve">Although the mother’s assessment was positive, Child 6 remains under a Child Protection Plan (Social Care Wales, 2019). She is engaging well in her parenting role with family support. However, her ability to maintain progress independently is untested, and concerns persist about her capacity to provide a safe, stable home outside her parents’ </w:t>
            </w:r>
            <w:r w:rsidR="00EC0278">
              <w:rPr>
                <w:rFonts w:ascii="Calibri" w:hAnsi="Calibri" w:cs="Calibri"/>
                <w:color w:val="auto"/>
                <w:sz w:val="24"/>
                <w:szCs w:val="24"/>
              </w:rPr>
              <w:t>support</w:t>
            </w:r>
            <w:r w:rsidRPr="009B3DD6">
              <w:rPr>
                <w:rFonts w:ascii="Calibri" w:hAnsi="Calibri" w:cs="Calibri"/>
                <w:color w:val="auto"/>
                <w:sz w:val="24"/>
                <w:szCs w:val="24"/>
              </w:rPr>
              <w:t>. The plan offers structured support, with progress and risk monitored through statutory child protection visits and core group reviews to assess the effectiveness of safety arrangements (Social Care Wales, 2019)</w:t>
            </w:r>
            <w:r>
              <w:rPr>
                <w:rFonts w:ascii="Calibri" w:hAnsi="Calibri" w:cs="Calibri"/>
                <w:color w:val="auto"/>
                <w:sz w:val="24"/>
                <w:szCs w:val="24"/>
              </w:rPr>
              <w:t>.</w:t>
            </w:r>
          </w:p>
          <w:p w14:paraId="76683E0E" w14:textId="77777777" w:rsidR="009B3DD6" w:rsidRPr="009B3DD6" w:rsidRDefault="009B3DD6" w:rsidP="009B3DD6">
            <w:pPr>
              <w:overflowPunct/>
              <w:autoSpaceDE/>
              <w:autoSpaceDN/>
              <w:adjustRightInd/>
              <w:spacing w:before="100" w:beforeAutospacing="1" w:after="100" w:afterAutospacing="1" w:line="360" w:lineRule="auto"/>
              <w:textAlignment w:val="auto"/>
              <w:outlineLvl w:val="2"/>
              <w:rPr>
                <w:rFonts w:ascii="Times New Roman" w:hAnsi="Times New Roman" w:cs="Times New Roman"/>
                <w:b/>
                <w:bCs/>
                <w:color w:val="auto"/>
                <w:sz w:val="27"/>
                <w:szCs w:val="27"/>
              </w:rPr>
            </w:pPr>
            <w:r w:rsidRPr="009B3DD6">
              <w:rPr>
                <w:rFonts w:ascii="Times New Roman" w:hAnsi="Times New Roman" w:cs="Times New Roman"/>
                <w:b/>
                <w:bCs/>
                <w:color w:val="auto"/>
                <w:sz w:val="27"/>
                <w:szCs w:val="27"/>
              </w:rPr>
              <w:t>Conclusion</w:t>
            </w:r>
          </w:p>
          <w:p w14:paraId="1821A1FD" w14:textId="469FA0ED" w:rsidR="009B3DD6" w:rsidRPr="009B3DD6" w:rsidRDefault="009B3DD6" w:rsidP="009B3DD6">
            <w:pPr>
              <w:overflowPunct/>
              <w:autoSpaceDE/>
              <w:autoSpaceDN/>
              <w:adjustRightInd/>
              <w:spacing w:before="100" w:beforeAutospacing="1" w:after="100" w:afterAutospacing="1" w:line="360" w:lineRule="auto"/>
              <w:jc w:val="both"/>
              <w:textAlignment w:val="auto"/>
              <w:outlineLvl w:val="2"/>
              <w:rPr>
                <w:rFonts w:ascii="Calibri" w:hAnsi="Calibri" w:cs="Calibri"/>
                <w:color w:val="auto"/>
                <w:sz w:val="24"/>
                <w:szCs w:val="24"/>
              </w:rPr>
            </w:pPr>
            <w:r w:rsidRPr="009B3DD6">
              <w:rPr>
                <w:rFonts w:ascii="Calibri" w:hAnsi="Calibri" w:cs="Calibri"/>
                <w:color w:val="auto"/>
                <w:sz w:val="24"/>
                <w:szCs w:val="24"/>
              </w:rPr>
              <w:t xml:space="preserve">This reflection has deepened my understanding of the complexities involved in safeguarding unborn children within the PLO framework. It highlighted the importance of statutory literacy, emotional resilience, and reflective practice in managing high-risk cases. I have come to recognise that effective safeguarding extends beyond procedural compliance; it demands empathy, cultural </w:t>
            </w:r>
            <w:r w:rsidR="00CE7225" w:rsidRPr="009B3DD6">
              <w:rPr>
                <w:rFonts w:ascii="Calibri" w:hAnsi="Calibri" w:cs="Calibri"/>
                <w:color w:val="auto"/>
                <w:sz w:val="24"/>
                <w:szCs w:val="24"/>
              </w:rPr>
              <w:t>skill</w:t>
            </w:r>
            <w:r w:rsidRPr="009B3DD6">
              <w:rPr>
                <w:rFonts w:ascii="Calibri" w:hAnsi="Calibri" w:cs="Calibri"/>
                <w:color w:val="auto"/>
                <w:sz w:val="24"/>
                <w:szCs w:val="24"/>
              </w:rPr>
              <w:t xml:space="preserve">, and a </w:t>
            </w:r>
            <w:r w:rsidR="00CE7225" w:rsidRPr="009B3DD6">
              <w:rPr>
                <w:rFonts w:ascii="Calibri" w:hAnsi="Calibri" w:cs="Calibri"/>
                <w:color w:val="auto"/>
                <w:sz w:val="24"/>
                <w:szCs w:val="24"/>
              </w:rPr>
              <w:t>firm</w:t>
            </w:r>
            <w:r w:rsidRPr="009B3DD6">
              <w:rPr>
                <w:rFonts w:ascii="Calibri" w:hAnsi="Calibri" w:cs="Calibri"/>
                <w:color w:val="auto"/>
                <w:sz w:val="24"/>
                <w:szCs w:val="24"/>
              </w:rPr>
              <w:t xml:space="preserve"> commitment to human rights and social justice.</w:t>
            </w:r>
          </w:p>
          <w:p w14:paraId="5D5026F9" w14:textId="5A7CE2AD" w:rsidR="009B3DD6" w:rsidRPr="009B3DD6" w:rsidRDefault="009B3DD6" w:rsidP="009B3DD6">
            <w:pPr>
              <w:overflowPunct/>
              <w:autoSpaceDE/>
              <w:autoSpaceDN/>
              <w:adjustRightInd/>
              <w:spacing w:before="100" w:beforeAutospacing="1" w:after="100" w:afterAutospacing="1" w:line="360" w:lineRule="auto"/>
              <w:jc w:val="both"/>
              <w:textAlignment w:val="auto"/>
              <w:outlineLvl w:val="2"/>
              <w:rPr>
                <w:rFonts w:ascii="Calibri" w:hAnsi="Calibri" w:cs="Calibri"/>
                <w:color w:val="auto"/>
                <w:sz w:val="24"/>
                <w:szCs w:val="24"/>
              </w:rPr>
            </w:pPr>
            <w:r w:rsidRPr="009B3DD6">
              <w:rPr>
                <w:rFonts w:ascii="Calibri" w:hAnsi="Calibri" w:cs="Calibri"/>
                <w:color w:val="auto"/>
                <w:sz w:val="24"/>
                <w:szCs w:val="24"/>
              </w:rPr>
              <w:t xml:space="preserve">The experience has strengthened my confidence in applying legislation and engaging collaboratively with professionals and families. It also prompted critical reflection on systemic challenges, including service gaps and inconsistent thresholds, which can </w:t>
            </w:r>
            <w:r w:rsidR="0073716C" w:rsidRPr="009B3DD6">
              <w:rPr>
                <w:rFonts w:ascii="Calibri" w:hAnsi="Calibri" w:cs="Calibri"/>
                <w:color w:val="auto"/>
                <w:sz w:val="24"/>
                <w:szCs w:val="24"/>
              </w:rPr>
              <w:t>delay</w:t>
            </w:r>
            <w:r w:rsidRPr="009B3DD6">
              <w:rPr>
                <w:rFonts w:ascii="Calibri" w:hAnsi="Calibri" w:cs="Calibri"/>
                <w:color w:val="auto"/>
                <w:sz w:val="24"/>
                <w:szCs w:val="24"/>
              </w:rPr>
              <w:t xml:space="preserve"> effective intervention.</w:t>
            </w:r>
          </w:p>
          <w:p w14:paraId="66F403E8" w14:textId="106ABC21" w:rsidR="009B3DD6" w:rsidRPr="009B3DD6" w:rsidRDefault="009B3DD6" w:rsidP="009B3DD6">
            <w:pPr>
              <w:overflowPunct/>
              <w:autoSpaceDE/>
              <w:autoSpaceDN/>
              <w:adjustRightInd/>
              <w:spacing w:before="100" w:beforeAutospacing="1" w:after="100" w:afterAutospacing="1" w:line="360" w:lineRule="auto"/>
              <w:jc w:val="both"/>
              <w:textAlignment w:val="auto"/>
              <w:outlineLvl w:val="2"/>
              <w:rPr>
                <w:rFonts w:ascii="Calibri" w:hAnsi="Calibri" w:cs="Calibri"/>
                <w:color w:val="auto"/>
                <w:sz w:val="24"/>
                <w:szCs w:val="24"/>
              </w:rPr>
            </w:pPr>
            <w:r w:rsidRPr="009B3DD6">
              <w:rPr>
                <w:rFonts w:ascii="Calibri" w:hAnsi="Calibri" w:cs="Calibri"/>
                <w:color w:val="auto"/>
                <w:sz w:val="24"/>
                <w:szCs w:val="24"/>
              </w:rPr>
              <w:t xml:space="preserve">I now better appreciate the value of using multiple, evidence-informed frameworks to guide assessments. These frameworks support early intervention, multi-agency collaboration, and culturally responsive practice. Effective assessment requires balancing risk and resilience, recognising structural inequalities, and maintaining ethical standards through supervision and reflective </w:t>
            </w:r>
            <w:r w:rsidR="00046F18" w:rsidRPr="009B3DD6">
              <w:rPr>
                <w:rFonts w:ascii="Calibri" w:hAnsi="Calibri" w:cs="Calibri"/>
                <w:color w:val="auto"/>
                <w:sz w:val="24"/>
                <w:szCs w:val="24"/>
              </w:rPr>
              <w:t>discussion</w:t>
            </w:r>
            <w:r w:rsidRPr="009B3DD6">
              <w:rPr>
                <w:rFonts w:ascii="Calibri" w:hAnsi="Calibri" w:cs="Calibri"/>
                <w:color w:val="auto"/>
                <w:sz w:val="24"/>
                <w:szCs w:val="24"/>
              </w:rPr>
              <w:t>.</w:t>
            </w:r>
          </w:p>
          <w:p w14:paraId="3A46D93D" w14:textId="37417EA9" w:rsidR="009B3DD6" w:rsidRPr="009B3DD6" w:rsidRDefault="009B3DD6" w:rsidP="009B3DD6">
            <w:pPr>
              <w:overflowPunct/>
              <w:autoSpaceDE/>
              <w:autoSpaceDN/>
              <w:adjustRightInd/>
              <w:spacing w:before="100" w:beforeAutospacing="1" w:after="100" w:afterAutospacing="1" w:line="360" w:lineRule="auto"/>
              <w:textAlignment w:val="auto"/>
              <w:outlineLvl w:val="2"/>
              <w:rPr>
                <w:rFonts w:ascii="Calibri" w:hAnsi="Calibri" w:cs="Calibri"/>
                <w:color w:val="auto"/>
                <w:sz w:val="24"/>
                <w:szCs w:val="24"/>
              </w:rPr>
            </w:pPr>
            <w:r w:rsidRPr="009B3DD6">
              <w:rPr>
                <w:rFonts w:ascii="Calibri" w:hAnsi="Calibri" w:cs="Calibri"/>
                <w:color w:val="auto"/>
                <w:sz w:val="24"/>
                <w:szCs w:val="24"/>
              </w:rPr>
              <w:t xml:space="preserve">Cultural </w:t>
            </w:r>
            <w:r w:rsidR="00046F18">
              <w:rPr>
                <w:rFonts w:ascii="Calibri" w:hAnsi="Calibri" w:cs="Calibri"/>
                <w:color w:val="auto"/>
                <w:sz w:val="24"/>
                <w:szCs w:val="24"/>
              </w:rPr>
              <w:t xml:space="preserve">awareness </w:t>
            </w:r>
            <w:r w:rsidRPr="009B3DD6">
              <w:rPr>
                <w:rFonts w:ascii="Calibri" w:hAnsi="Calibri" w:cs="Calibri"/>
                <w:color w:val="auto"/>
                <w:sz w:val="24"/>
                <w:szCs w:val="24"/>
              </w:rPr>
              <w:t xml:space="preserve">is not a fixed achievement but a continuous process of learning and adaptation. It is essential for building trust, promoting equity, and delivering person-centred care. This case </w:t>
            </w:r>
            <w:r w:rsidR="00046F18" w:rsidRPr="009B3DD6">
              <w:rPr>
                <w:rFonts w:ascii="Calibri" w:hAnsi="Calibri" w:cs="Calibri"/>
                <w:color w:val="auto"/>
                <w:sz w:val="24"/>
                <w:szCs w:val="24"/>
              </w:rPr>
              <w:t>confirmed</w:t>
            </w:r>
            <w:r w:rsidRPr="009B3DD6">
              <w:rPr>
                <w:rFonts w:ascii="Calibri" w:hAnsi="Calibri" w:cs="Calibri"/>
                <w:color w:val="auto"/>
                <w:sz w:val="24"/>
                <w:szCs w:val="24"/>
              </w:rPr>
              <w:t xml:space="preserve"> the importance of understanding the unborn child’s needs through a developmental and safeguarding lens. </w:t>
            </w:r>
            <w:r w:rsidR="00046F18" w:rsidRPr="009B3DD6">
              <w:rPr>
                <w:rFonts w:ascii="Calibri" w:hAnsi="Calibri" w:cs="Calibri"/>
                <w:color w:val="auto"/>
                <w:sz w:val="24"/>
                <w:szCs w:val="24"/>
              </w:rPr>
              <w:t>In the end</w:t>
            </w:r>
            <w:r w:rsidRPr="009B3DD6">
              <w:rPr>
                <w:rFonts w:ascii="Calibri" w:hAnsi="Calibri" w:cs="Calibri"/>
                <w:color w:val="auto"/>
                <w:sz w:val="24"/>
                <w:szCs w:val="24"/>
              </w:rPr>
              <w:t>, this reflection reinforced the value of critical thinking, ethical awareness, and trauma-informed, anti-oppressive practice in statutory social work.</w:t>
            </w:r>
          </w:p>
          <w:p w14:paraId="4B08B999" w14:textId="77777777" w:rsidR="009B3DD6" w:rsidRPr="009B3DD6" w:rsidRDefault="009B3DD6" w:rsidP="009B3DD6">
            <w:pPr>
              <w:overflowPunct/>
              <w:autoSpaceDE/>
              <w:autoSpaceDN/>
              <w:adjustRightInd/>
              <w:spacing w:before="100" w:beforeAutospacing="1" w:after="100" w:afterAutospacing="1" w:line="360" w:lineRule="auto"/>
              <w:textAlignment w:val="auto"/>
              <w:outlineLvl w:val="2"/>
              <w:rPr>
                <w:rFonts w:ascii="Times New Roman" w:hAnsi="Times New Roman" w:cs="Times New Roman"/>
                <w:b/>
                <w:bCs/>
                <w:color w:val="auto"/>
                <w:sz w:val="27"/>
                <w:szCs w:val="27"/>
              </w:rPr>
            </w:pPr>
            <w:r w:rsidRPr="009B3DD6">
              <w:rPr>
                <w:rFonts w:ascii="Times New Roman" w:hAnsi="Times New Roman" w:cs="Times New Roman"/>
                <w:b/>
                <w:bCs/>
                <w:color w:val="auto"/>
                <w:sz w:val="27"/>
                <w:szCs w:val="27"/>
              </w:rPr>
              <w:t>Action Plan</w:t>
            </w:r>
          </w:p>
          <w:p w14:paraId="28C50484"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As a newly qualified social worker, I aim to strengthen my legal literacy and advocacy within safeguarding practice. Over the next three months, I will deepen my understanding of key legislation, including the Social Services and Well-being (Wales) Act 2014, Children Act 1989, and Children (Abolition of Defence of Reasonable Punishment) (Wales) Act 2020. I will also engage with the Wales Safeguarding Procedures, Working Together to Safeguard People guidance, and attend relevant training on the UNCRC. Progress will be evidenced through CPD entries and reflective writing.</w:t>
            </w:r>
          </w:p>
          <w:p w14:paraId="294AFEF1" w14:textId="52DAF95D"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To improve the quality and inclusivity of assessments, I will undertake training in the Safeguarding Children Assessment and Analysis Framework and apply its seven-stage model to practice. I will explore the impact of protected characteristics and cultural beliefs, using trauma-informed and professionally curious approaches. Effectiveness will be measured through supervision feedback, case audits, and stakeholder input.</w:t>
            </w:r>
          </w:p>
          <w:p w14:paraId="3D2325DD" w14:textId="77777777" w:rsidR="009B3DD6" w:rsidRPr="009B3DD6" w:rsidRDefault="009B3DD6" w:rsidP="009B3DD6">
            <w:pPr>
              <w:overflowPunct/>
              <w:autoSpaceDE/>
              <w:autoSpaceDN/>
              <w:adjustRightInd/>
              <w:spacing w:before="100" w:beforeAutospacing="1" w:after="100" w:afterAutospacing="1" w:line="360" w:lineRule="auto"/>
              <w:jc w:val="both"/>
              <w:textAlignment w:val="auto"/>
              <w:rPr>
                <w:rFonts w:ascii="Calibri" w:hAnsi="Calibri" w:cs="Calibri"/>
                <w:color w:val="auto"/>
                <w:sz w:val="24"/>
                <w:szCs w:val="24"/>
              </w:rPr>
            </w:pPr>
            <w:r w:rsidRPr="009B3DD6">
              <w:rPr>
                <w:rFonts w:ascii="Calibri" w:hAnsi="Calibri" w:cs="Calibri"/>
                <w:color w:val="auto"/>
                <w:sz w:val="24"/>
                <w:szCs w:val="24"/>
              </w:rPr>
              <w:t>I will also strengthen reflective practice by preparing case-specific logs and using supervision to explore ethical dilemmas and emotional responses. Peer reflection will support emotional resilience and ethical decision-making, with progress documented in supervision records and development reviews.</w:t>
            </w:r>
          </w:p>
          <w:p w14:paraId="36BFE994" w14:textId="08705F9D" w:rsidR="009B3DD6" w:rsidRPr="009B3DD6" w:rsidRDefault="009B3DD6" w:rsidP="009B3DD6">
            <w:pPr>
              <w:spacing w:line="360" w:lineRule="auto"/>
              <w:jc w:val="both"/>
              <w:rPr>
                <w:iCs/>
                <w:sz w:val="24"/>
                <w:szCs w:val="24"/>
              </w:rPr>
            </w:pPr>
            <w:r w:rsidRPr="009B3DD6">
              <w:rPr>
                <w:rFonts w:ascii="Calibri" w:hAnsi="Calibri" w:cs="Calibri"/>
                <w:color w:val="auto"/>
                <w:sz w:val="24"/>
                <w:szCs w:val="24"/>
              </w:rPr>
              <w:t>Finally, I will advocate for trauma-informed and inclusive systems by developing skills in visual communication and co-production. I will document emotional and ethical tensions to support transparency and accountability in safeguarding decisions.</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0BE02" w14:textId="77777777" w:rsidR="00B21467" w:rsidRDefault="00B21467">
      <w:r>
        <w:separator/>
      </w:r>
    </w:p>
  </w:endnote>
  <w:endnote w:type="continuationSeparator" w:id="0">
    <w:p w14:paraId="0BDBF968" w14:textId="77777777" w:rsidR="00B21467" w:rsidRDefault="00B214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1E916" w14:textId="77777777" w:rsidR="00B21467" w:rsidRDefault="00B21467">
      <w:r>
        <w:separator/>
      </w:r>
    </w:p>
  </w:footnote>
  <w:footnote w:type="continuationSeparator" w:id="0">
    <w:p w14:paraId="5972CE50" w14:textId="77777777" w:rsidR="00B21467" w:rsidRDefault="00B214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6F1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EA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E478C"/>
    <w:rsid w:val="001F3063"/>
    <w:rsid w:val="001F4552"/>
    <w:rsid w:val="002019EB"/>
    <w:rsid w:val="00204B58"/>
    <w:rsid w:val="00205051"/>
    <w:rsid w:val="00210E23"/>
    <w:rsid w:val="00211F65"/>
    <w:rsid w:val="002135AC"/>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008D"/>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6EA9"/>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8E7"/>
    <w:rsid w:val="006579FD"/>
    <w:rsid w:val="006600F9"/>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16C"/>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C79ED"/>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0306"/>
    <w:rsid w:val="0098262C"/>
    <w:rsid w:val="0098427C"/>
    <w:rsid w:val="00986B43"/>
    <w:rsid w:val="00986BB7"/>
    <w:rsid w:val="00986C0B"/>
    <w:rsid w:val="00986D46"/>
    <w:rsid w:val="00991FDA"/>
    <w:rsid w:val="00992ACA"/>
    <w:rsid w:val="009A5F3B"/>
    <w:rsid w:val="009A5F79"/>
    <w:rsid w:val="009A6F87"/>
    <w:rsid w:val="009B0B61"/>
    <w:rsid w:val="009B28C0"/>
    <w:rsid w:val="009B3178"/>
    <w:rsid w:val="009B3DD6"/>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1E8"/>
    <w:rsid w:val="00A85039"/>
    <w:rsid w:val="00A906AA"/>
    <w:rsid w:val="00A94C5E"/>
    <w:rsid w:val="00AA252C"/>
    <w:rsid w:val="00AA666E"/>
    <w:rsid w:val="00AA7960"/>
    <w:rsid w:val="00AB5518"/>
    <w:rsid w:val="00AC3A0E"/>
    <w:rsid w:val="00AC4A04"/>
    <w:rsid w:val="00AC5182"/>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1467"/>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477E1"/>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225"/>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278"/>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14F"/>
    <w:rsid w:val="00F32B82"/>
    <w:rsid w:val="00F34C86"/>
    <w:rsid w:val="00F4043E"/>
    <w:rsid w:val="00F405CD"/>
    <w:rsid w:val="00F41795"/>
    <w:rsid w:val="00F41BBC"/>
    <w:rsid w:val="00F444F0"/>
    <w:rsid w:val="00F446FF"/>
    <w:rsid w:val="00F45521"/>
    <w:rsid w:val="00F4601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16</Pages>
  <Words>4476</Words>
  <Characters>28648</Characters>
  <Application>Microsoft Office Word</Application>
  <DocSecurity>0</DocSecurity>
  <Lines>421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Alfadil Kharif</cp:lastModifiedBy>
  <cp:revision>22</cp:revision>
  <cp:lastPrinted>2020-02-11T19:20:00Z</cp:lastPrinted>
  <dcterms:created xsi:type="dcterms:W3CDTF">2025-10-07T20:53:00Z</dcterms:created>
  <dcterms:modified xsi:type="dcterms:W3CDTF">2025-10-07T22:37:00Z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