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23866619"/>
        <w:docPartObj>
          <w:docPartGallery w:val="Cover Pages"/>
          <w:docPartUnique/>
        </w:docPartObj>
      </w:sdtPr>
      <w:sdtContent>
        <w:p w14:paraId="1937DF01" w14:textId="0C833406" w:rsidR="00F21079" w:rsidRDefault="00F21079">
          <w:r>
            <w:rPr>
              <w:noProof/>
            </w:rPr>
            <mc:AlternateContent>
              <mc:Choice Requires="wpg">
                <w:drawing>
                  <wp:anchor distT="0" distB="0" distL="114300" distR="114300" simplePos="0" relativeHeight="251662336" behindDoc="0" locked="0" layoutInCell="1" allowOverlap="1" wp14:anchorId="0F72F2F2" wp14:editId="47DEEF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4707E7"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E9BB26D" wp14:editId="4618EF9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C9350F" w14:textId="4E7E97E4" w:rsidR="00F21079" w:rsidRDefault="00F21079">
                                    <w:pPr>
                                      <w:pStyle w:val="NoSpacing"/>
                                      <w:jc w:val="right"/>
                                      <w:rPr>
                                        <w:color w:val="595959" w:themeColor="text1" w:themeTint="A6"/>
                                        <w:sz w:val="28"/>
                                        <w:szCs w:val="28"/>
                                      </w:rPr>
                                    </w:pPr>
                                    <w:r>
                                      <w:rPr>
                                        <w:color w:val="595959" w:themeColor="text1" w:themeTint="A6"/>
                                        <w:sz w:val="28"/>
                                        <w:szCs w:val="28"/>
                                      </w:rPr>
                                      <w:t>Bethan Moyle (1707952)</w:t>
                                    </w:r>
                                  </w:p>
                                </w:sdtContent>
                              </w:sdt>
                              <w:p w14:paraId="12052C36" w14:textId="5801C5A6" w:rsidR="00F210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1079">
                                      <w:rPr>
                                        <w:color w:val="595959" w:themeColor="text1" w:themeTint="A6"/>
                                        <w:sz w:val="18"/>
                                        <w:szCs w:val="18"/>
                                      </w:rPr>
                                      <w:t>1707952@student.uwtsd.ac.uk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E9BB26D"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0C9350F" w14:textId="4E7E97E4" w:rsidR="00F21079" w:rsidRDefault="00F21079">
                              <w:pPr>
                                <w:pStyle w:val="NoSpacing"/>
                                <w:jc w:val="right"/>
                                <w:rPr>
                                  <w:color w:val="595959" w:themeColor="text1" w:themeTint="A6"/>
                                  <w:sz w:val="28"/>
                                  <w:szCs w:val="28"/>
                                </w:rPr>
                              </w:pPr>
                              <w:r>
                                <w:rPr>
                                  <w:color w:val="595959" w:themeColor="text1" w:themeTint="A6"/>
                                  <w:sz w:val="28"/>
                                  <w:szCs w:val="28"/>
                                </w:rPr>
                                <w:t>Bethan Moyle (1707952)</w:t>
                              </w:r>
                            </w:p>
                          </w:sdtContent>
                        </w:sdt>
                        <w:p w14:paraId="12052C36" w14:textId="5801C5A6" w:rsidR="00F21079"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1079">
                                <w:rPr>
                                  <w:color w:val="595959" w:themeColor="text1" w:themeTint="A6"/>
                                  <w:sz w:val="18"/>
                                  <w:szCs w:val="18"/>
                                </w:rPr>
                                <w:t>1707952@student.uwtsd.ac.uk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615B6CE" wp14:editId="206F75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CCFBD6" w14:textId="6F74E086" w:rsidR="00F21079" w:rsidRDefault="00000000" w:rsidP="00F21079">
                                <w:pPr>
                                  <w:jc w:val="right"/>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4D5A">
                                      <w:rPr>
                                        <w:caps/>
                                        <w:color w:val="156082" w:themeColor="accent1"/>
                                        <w:sz w:val="56"/>
                                        <w:szCs w:val="56"/>
                                      </w:rPr>
                                      <w:t xml:space="preserve">Synthesize a solution to a </w:t>
                                    </w:r>
                                    <w:r w:rsidR="00D54D5A">
                                      <w:rPr>
                                        <w:caps/>
                                        <w:color w:val="156082" w:themeColor="accent1"/>
                                        <w:sz w:val="56"/>
                                        <w:szCs w:val="56"/>
                                      </w:rPr>
                                      <w:br/>
                                      <w:t>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E5FAF5" w14:textId="73714BC3" w:rsidR="00F21079" w:rsidRDefault="00F21079">
                                    <w:pPr>
                                      <w:jc w:val="right"/>
                                      <w:rPr>
                                        <w:smallCaps/>
                                        <w:color w:val="404040" w:themeColor="text1" w:themeTint="BF"/>
                                        <w:sz w:val="36"/>
                                        <w:szCs w:val="36"/>
                                      </w:rPr>
                                    </w:pPr>
                                    <w:r>
                                      <w:rPr>
                                        <w:color w:val="404040" w:themeColor="text1" w:themeTint="BF"/>
                                        <w:sz w:val="36"/>
                                        <w:szCs w:val="36"/>
                                      </w:rPr>
                                      <w:t>Networks and Cyber Security Essentials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615B6CE" id="Text Box 163"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1CCFBD6" w14:textId="6F74E086" w:rsidR="00F21079" w:rsidRDefault="00000000" w:rsidP="00F21079">
                          <w:pPr>
                            <w:jc w:val="right"/>
                            <w:rPr>
                              <w:color w:val="156082" w:themeColor="accent1"/>
                              <w:sz w:val="64"/>
                              <w:szCs w:val="64"/>
                            </w:rPr>
                          </w:pPr>
                          <w:sdt>
                            <w:sdtPr>
                              <w:rPr>
                                <w:caps/>
                                <w:color w:val="156082"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D54D5A">
                                <w:rPr>
                                  <w:caps/>
                                  <w:color w:val="156082" w:themeColor="accent1"/>
                                  <w:sz w:val="56"/>
                                  <w:szCs w:val="56"/>
                                </w:rPr>
                                <w:t xml:space="preserve">Synthesize a solution to a </w:t>
                              </w:r>
                              <w:r w:rsidR="00D54D5A">
                                <w:rPr>
                                  <w:caps/>
                                  <w:color w:val="156082" w:themeColor="accent1"/>
                                  <w:sz w:val="56"/>
                                  <w:szCs w:val="56"/>
                                </w:rPr>
                                <w:br/>
                                <w:t>potential real-life scenario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FE5FAF5" w14:textId="73714BC3" w:rsidR="00F21079" w:rsidRDefault="00F21079">
                              <w:pPr>
                                <w:jc w:val="right"/>
                                <w:rPr>
                                  <w:smallCaps/>
                                  <w:color w:val="404040" w:themeColor="text1" w:themeTint="BF"/>
                                  <w:sz w:val="36"/>
                                  <w:szCs w:val="36"/>
                                </w:rPr>
                              </w:pPr>
                              <w:r>
                                <w:rPr>
                                  <w:color w:val="404040" w:themeColor="text1" w:themeTint="BF"/>
                                  <w:sz w:val="36"/>
                                  <w:szCs w:val="36"/>
                                </w:rPr>
                                <w:t>Networks and Cyber Security Essentials</w:t>
                              </w:r>
                            </w:p>
                          </w:sdtContent>
                        </w:sdt>
                      </w:txbxContent>
                    </v:textbox>
                    <w10:wrap type="square" anchorx="page" anchory="page"/>
                  </v:shape>
                </w:pict>
              </mc:Fallback>
            </mc:AlternateContent>
          </w:r>
        </w:p>
        <w:p w14:paraId="10FFAFC5" w14:textId="73A0BE2D" w:rsidR="00F21079" w:rsidRDefault="00F21079">
          <w:r>
            <w:br w:type="page"/>
          </w:r>
        </w:p>
      </w:sdtContent>
    </w:sdt>
    <w:sdt>
      <w:sdtPr>
        <w:rPr>
          <w:rFonts w:asciiTheme="minorHAnsi" w:eastAsiaTheme="minorHAnsi" w:hAnsiTheme="minorHAnsi" w:cstheme="minorBidi"/>
          <w:color w:val="auto"/>
          <w:kern w:val="2"/>
          <w:sz w:val="24"/>
          <w:szCs w:val="24"/>
          <w:lang w:val="en-GB"/>
          <w14:ligatures w14:val="standardContextual"/>
        </w:rPr>
        <w:id w:val="1728417587"/>
        <w:docPartObj>
          <w:docPartGallery w:val="Table of Contents"/>
          <w:docPartUnique/>
        </w:docPartObj>
      </w:sdtPr>
      <w:sdtEndPr>
        <w:rPr>
          <w:b/>
          <w:bCs/>
          <w:noProof/>
        </w:rPr>
      </w:sdtEndPr>
      <w:sdtContent>
        <w:p w14:paraId="189DFE5A" w14:textId="3B868AAE" w:rsidR="00F21079" w:rsidRDefault="00F21079" w:rsidP="00F21079">
          <w:pPr>
            <w:pStyle w:val="TOCHeading"/>
            <w:numPr>
              <w:ilvl w:val="0"/>
              <w:numId w:val="0"/>
            </w:numPr>
            <w:ind w:left="432" w:hanging="432"/>
          </w:pPr>
          <w:r>
            <w:t>Table of Contents</w:t>
          </w:r>
        </w:p>
        <w:p w14:paraId="6187C7E1" w14:textId="4C69871F" w:rsidR="00247E16" w:rsidRDefault="00F21079">
          <w:pPr>
            <w:pStyle w:val="TOC1"/>
            <w:tabs>
              <w:tab w:val="left" w:pos="480"/>
              <w:tab w:val="right" w:leader="dot" w:pos="9016"/>
            </w:tabs>
            <w:rPr>
              <w:rFonts w:eastAsiaTheme="minorEastAsia"/>
              <w:noProof/>
              <w:lang w:eastAsia="en-GB"/>
            </w:rPr>
          </w:pPr>
          <w:r>
            <w:fldChar w:fldCharType="begin"/>
          </w:r>
          <w:r>
            <w:instrText xml:space="preserve"> TOC \o "1-3" \h \z \u </w:instrText>
          </w:r>
          <w:r>
            <w:fldChar w:fldCharType="separate"/>
          </w:r>
          <w:hyperlink w:anchor="_Toc230298432" w:history="1">
            <w:r w:rsidR="00247E16" w:rsidRPr="004D050B">
              <w:rPr>
                <w:rStyle w:val="Hyperlink"/>
                <w:rFonts w:ascii="Arial" w:hAnsi="Arial" w:cs="Arial"/>
                <w:noProof/>
              </w:rPr>
              <w:t>1</w:t>
            </w:r>
            <w:r w:rsidR="00247E16">
              <w:rPr>
                <w:rFonts w:eastAsiaTheme="minorEastAsia"/>
                <w:noProof/>
                <w:lang w:eastAsia="en-GB"/>
              </w:rPr>
              <w:tab/>
            </w:r>
            <w:r w:rsidR="00247E16" w:rsidRPr="004D050B">
              <w:rPr>
                <w:rStyle w:val="Hyperlink"/>
                <w:rFonts w:ascii="Arial" w:hAnsi="Arial" w:cs="Arial"/>
                <w:noProof/>
              </w:rPr>
              <w:t>Introduction</w:t>
            </w:r>
            <w:r w:rsidR="00247E16">
              <w:rPr>
                <w:noProof/>
                <w:webHidden/>
              </w:rPr>
              <w:tab/>
            </w:r>
            <w:r w:rsidR="00247E16">
              <w:rPr>
                <w:noProof/>
                <w:webHidden/>
              </w:rPr>
              <w:fldChar w:fldCharType="begin"/>
            </w:r>
            <w:r w:rsidR="00247E16">
              <w:rPr>
                <w:noProof/>
                <w:webHidden/>
              </w:rPr>
              <w:instrText xml:space="preserve"> PAGEREF _Toc230298432 \h </w:instrText>
            </w:r>
            <w:r w:rsidR="00247E16">
              <w:rPr>
                <w:noProof/>
                <w:webHidden/>
              </w:rPr>
            </w:r>
            <w:r w:rsidR="00247E16">
              <w:rPr>
                <w:noProof/>
                <w:webHidden/>
              </w:rPr>
              <w:fldChar w:fldCharType="separate"/>
            </w:r>
            <w:r w:rsidR="00247E16">
              <w:rPr>
                <w:noProof/>
                <w:webHidden/>
              </w:rPr>
              <w:t>2</w:t>
            </w:r>
            <w:r w:rsidR="00247E16">
              <w:rPr>
                <w:noProof/>
                <w:webHidden/>
              </w:rPr>
              <w:fldChar w:fldCharType="end"/>
            </w:r>
          </w:hyperlink>
        </w:p>
        <w:p w14:paraId="310BFBD3" w14:textId="2C1EDE59" w:rsidR="00247E16" w:rsidRDefault="00247E16">
          <w:pPr>
            <w:pStyle w:val="TOC1"/>
            <w:tabs>
              <w:tab w:val="left" w:pos="480"/>
              <w:tab w:val="right" w:leader="dot" w:pos="9016"/>
            </w:tabs>
            <w:rPr>
              <w:rFonts w:eastAsiaTheme="minorEastAsia"/>
              <w:noProof/>
              <w:lang w:eastAsia="en-GB"/>
            </w:rPr>
          </w:pPr>
          <w:hyperlink w:anchor="_Toc230298433" w:history="1">
            <w:r w:rsidRPr="004D050B">
              <w:rPr>
                <w:rStyle w:val="Hyperlink"/>
                <w:rFonts w:ascii="Arial" w:hAnsi="Arial" w:cs="Arial"/>
                <w:noProof/>
              </w:rPr>
              <w:t>2</w:t>
            </w:r>
            <w:r>
              <w:rPr>
                <w:rFonts w:eastAsiaTheme="minorEastAsia"/>
                <w:noProof/>
                <w:lang w:eastAsia="en-GB"/>
              </w:rPr>
              <w:tab/>
            </w:r>
            <w:r w:rsidRPr="004D050B">
              <w:rPr>
                <w:rStyle w:val="Hyperlink"/>
                <w:rFonts w:ascii="Arial" w:hAnsi="Arial" w:cs="Arial"/>
                <w:noProof/>
              </w:rPr>
              <w:t>Modern Threat Landscape</w:t>
            </w:r>
            <w:r>
              <w:rPr>
                <w:noProof/>
                <w:webHidden/>
              </w:rPr>
              <w:tab/>
            </w:r>
            <w:r>
              <w:rPr>
                <w:noProof/>
                <w:webHidden/>
              </w:rPr>
              <w:fldChar w:fldCharType="begin"/>
            </w:r>
            <w:r>
              <w:rPr>
                <w:noProof/>
                <w:webHidden/>
              </w:rPr>
              <w:instrText xml:space="preserve"> PAGEREF _Toc230298433 \h </w:instrText>
            </w:r>
            <w:r>
              <w:rPr>
                <w:noProof/>
                <w:webHidden/>
              </w:rPr>
            </w:r>
            <w:r>
              <w:rPr>
                <w:noProof/>
                <w:webHidden/>
              </w:rPr>
              <w:fldChar w:fldCharType="separate"/>
            </w:r>
            <w:r>
              <w:rPr>
                <w:noProof/>
                <w:webHidden/>
              </w:rPr>
              <w:t>3</w:t>
            </w:r>
            <w:r>
              <w:rPr>
                <w:noProof/>
                <w:webHidden/>
              </w:rPr>
              <w:fldChar w:fldCharType="end"/>
            </w:r>
          </w:hyperlink>
        </w:p>
        <w:p w14:paraId="33C89582" w14:textId="656C1814" w:rsidR="00247E16" w:rsidRDefault="00247E16">
          <w:pPr>
            <w:pStyle w:val="TOC2"/>
            <w:tabs>
              <w:tab w:val="left" w:pos="960"/>
              <w:tab w:val="right" w:leader="dot" w:pos="9016"/>
            </w:tabs>
            <w:rPr>
              <w:rFonts w:eastAsiaTheme="minorEastAsia"/>
              <w:noProof/>
              <w:lang w:eastAsia="en-GB"/>
            </w:rPr>
          </w:pPr>
          <w:hyperlink w:anchor="_Toc230298434" w:history="1">
            <w:r w:rsidRPr="004D050B">
              <w:rPr>
                <w:rStyle w:val="Hyperlink"/>
                <w:rFonts w:ascii="Arial" w:hAnsi="Arial" w:cs="Arial"/>
                <w:noProof/>
              </w:rPr>
              <w:t>2.1</w:t>
            </w:r>
            <w:r>
              <w:rPr>
                <w:rFonts w:eastAsiaTheme="minorEastAsia"/>
                <w:noProof/>
                <w:lang w:eastAsia="en-GB"/>
              </w:rPr>
              <w:tab/>
            </w:r>
            <w:r w:rsidRPr="004D050B">
              <w:rPr>
                <w:rStyle w:val="Hyperlink"/>
                <w:rFonts w:ascii="Arial" w:hAnsi="Arial" w:cs="Arial"/>
                <w:noProof/>
              </w:rPr>
              <w:t>Insider Threat</w:t>
            </w:r>
            <w:r>
              <w:rPr>
                <w:noProof/>
                <w:webHidden/>
              </w:rPr>
              <w:tab/>
            </w:r>
            <w:r>
              <w:rPr>
                <w:noProof/>
                <w:webHidden/>
              </w:rPr>
              <w:fldChar w:fldCharType="begin"/>
            </w:r>
            <w:r>
              <w:rPr>
                <w:noProof/>
                <w:webHidden/>
              </w:rPr>
              <w:instrText xml:space="preserve"> PAGEREF _Toc230298434 \h </w:instrText>
            </w:r>
            <w:r>
              <w:rPr>
                <w:noProof/>
                <w:webHidden/>
              </w:rPr>
            </w:r>
            <w:r>
              <w:rPr>
                <w:noProof/>
                <w:webHidden/>
              </w:rPr>
              <w:fldChar w:fldCharType="separate"/>
            </w:r>
            <w:r>
              <w:rPr>
                <w:noProof/>
                <w:webHidden/>
              </w:rPr>
              <w:t>3</w:t>
            </w:r>
            <w:r>
              <w:rPr>
                <w:noProof/>
                <w:webHidden/>
              </w:rPr>
              <w:fldChar w:fldCharType="end"/>
            </w:r>
          </w:hyperlink>
        </w:p>
        <w:p w14:paraId="311C7D7C" w14:textId="254000B6" w:rsidR="00247E16" w:rsidRDefault="00247E16">
          <w:pPr>
            <w:pStyle w:val="TOC2"/>
            <w:tabs>
              <w:tab w:val="left" w:pos="960"/>
              <w:tab w:val="right" w:leader="dot" w:pos="9016"/>
            </w:tabs>
            <w:rPr>
              <w:rFonts w:eastAsiaTheme="minorEastAsia"/>
              <w:noProof/>
              <w:lang w:eastAsia="en-GB"/>
            </w:rPr>
          </w:pPr>
          <w:hyperlink w:anchor="_Toc230298435" w:history="1">
            <w:r w:rsidRPr="004D050B">
              <w:rPr>
                <w:rStyle w:val="Hyperlink"/>
                <w:rFonts w:ascii="Arial" w:hAnsi="Arial" w:cs="Arial"/>
                <w:noProof/>
              </w:rPr>
              <w:t>2.2</w:t>
            </w:r>
            <w:r>
              <w:rPr>
                <w:rFonts w:eastAsiaTheme="minorEastAsia"/>
                <w:noProof/>
                <w:lang w:eastAsia="en-GB"/>
              </w:rPr>
              <w:tab/>
            </w:r>
            <w:r w:rsidRPr="004D050B">
              <w:rPr>
                <w:rStyle w:val="Hyperlink"/>
                <w:rFonts w:ascii="Arial" w:hAnsi="Arial" w:cs="Arial"/>
                <w:noProof/>
              </w:rPr>
              <w:t>RaaS</w:t>
            </w:r>
            <w:r>
              <w:rPr>
                <w:noProof/>
                <w:webHidden/>
              </w:rPr>
              <w:tab/>
            </w:r>
            <w:r>
              <w:rPr>
                <w:noProof/>
                <w:webHidden/>
              </w:rPr>
              <w:fldChar w:fldCharType="begin"/>
            </w:r>
            <w:r>
              <w:rPr>
                <w:noProof/>
                <w:webHidden/>
              </w:rPr>
              <w:instrText xml:space="preserve"> PAGEREF _Toc230298435 \h </w:instrText>
            </w:r>
            <w:r>
              <w:rPr>
                <w:noProof/>
                <w:webHidden/>
              </w:rPr>
            </w:r>
            <w:r>
              <w:rPr>
                <w:noProof/>
                <w:webHidden/>
              </w:rPr>
              <w:fldChar w:fldCharType="separate"/>
            </w:r>
            <w:r>
              <w:rPr>
                <w:noProof/>
                <w:webHidden/>
              </w:rPr>
              <w:t>3</w:t>
            </w:r>
            <w:r>
              <w:rPr>
                <w:noProof/>
                <w:webHidden/>
              </w:rPr>
              <w:fldChar w:fldCharType="end"/>
            </w:r>
          </w:hyperlink>
        </w:p>
        <w:p w14:paraId="2D06CF0C" w14:textId="688E3A7D" w:rsidR="00247E16" w:rsidRDefault="00247E16">
          <w:pPr>
            <w:pStyle w:val="TOC2"/>
            <w:tabs>
              <w:tab w:val="left" w:pos="960"/>
              <w:tab w:val="right" w:leader="dot" w:pos="9016"/>
            </w:tabs>
            <w:rPr>
              <w:rFonts w:eastAsiaTheme="minorEastAsia"/>
              <w:noProof/>
              <w:lang w:eastAsia="en-GB"/>
            </w:rPr>
          </w:pPr>
          <w:hyperlink w:anchor="_Toc230298436" w:history="1">
            <w:r w:rsidRPr="004D050B">
              <w:rPr>
                <w:rStyle w:val="Hyperlink"/>
                <w:rFonts w:ascii="Arial" w:hAnsi="Arial" w:cs="Arial"/>
                <w:noProof/>
              </w:rPr>
              <w:t>2.3</w:t>
            </w:r>
            <w:r>
              <w:rPr>
                <w:rFonts w:eastAsiaTheme="minorEastAsia"/>
                <w:noProof/>
                <w:lang w:eastAsia="en-GB"/>
              </w:rPr>
              <w:tab/>
            </w:r>
            <w:r w:rsidRPr="004D050B">
              <w:rPr>
                <w:rStyle w:val="Hyperlink"/>
                <w:rFonts w:ascii="Arial" w:hAnsi="Arial" w:cs="Arial"/>
                <w:noProof/>
              </w:rPr>
              <w:t>AI Vishing</w:t>
            </w:r>
            <w:r>
              <w:rPr>
                <w:noProof/>
                <w:webHidden/>
              </w:rPr>
              <w:tab/>
            </w:r>
            <w:r>
              <w:rPr>
                <w:noProof/>
                <w:webHidden/>
              </w:rPr>
              <w:fldChar w:fldCharType="begin"/>
            </w:r>
            <w:r>
              <w:rPr>
                <w:noProof/>
                <w:webHidden/>
              </w:rPr>
              <w:instrText xml:space="preserve"> PAGEREF _Toc230298436 \h </w:instrText>
            </w:r>
            <w:r>
              <w:rPr>
                <w:noProof/>
                <w:webHidden/>
              </w:rPr>
            </w:r>
            <w:r>
              <w:rPr>
                <w:noProof/>
                <w:webHidden/>
              </w:rPr>
              <w:fldChar w:fldCharType="separate"/>
            </w:r>
            <w:r>
              <w:rPr>
                <w:noProof/>
                <w:webHidden/>
              </w:rPr>
              <w:t>3</w:t>
            </w:r>
            <w:r>
              <w:rPr>
                <w:noProof/>
                <w:webHidden/>
              </w:rPr>
              <w:fldChar w:fldCharType="end"/>
            </w:r>
          </w:hyperlink>
        </w:p>
        <w:p w14:paraId="7941C065" w14:textId="0932D9FD" w:rsidR="00247E16" w:rsidRDefault="00247E16">
          <w:pPr>
            <w:pStyle w:val="TOC2"/>
            <w:tabs>
              <w:tab w:val="left" w:pos="960"/>
              <w:tab w:val="right" w:leader="dot" w:pos="9016"/>
            </w:tabs>
            <w:rPr>
              <w:rFonts w:eastAsiaTheme="minorEastAsia"/>
              <w:noProof/>
              <w:lang w:eastAsia="en-GB"/>
            </w:rPr>
          </w:pPr>
          <w:hyperlink w:anchor="_Toc230298437" w:history="1">
            <w:r w:rsidRPr="004D050B">
              <w:rPr>
                <w:rStyle w:val="Hyperlink"/>
                <w:rFonts w:ascii="Arial" w:hAnsi="Arial" w:cs="Arial"/>
                <w:noProof/>
              </w:rPr>
              <w:t>2.4</w:t>
            </w:r>
            <w:r>
              <w:rPr>
                <w:rFonts w:eastAsiaTheme="minorEastAsia"/>
                <w:noProof/>
                <w:lang w:eastAsia="en-GB"/>
              </w:rPr>
              <w:tab/>
            </w:r>
            <w:r w:rsidRPr="004D050B">
              <w:rPr>
                <w:rStyle w:val="Hyperlink"/>
                <w:rFonts w:ascii="Arial" w:hAnsi="Arial" w:cs="Arial"/>
                <w:noProof/>
              </w:rPr>
              <w:t>Supply Chain</w:t>
            </w:r>
            <w:r>
              <w:rPr>
                <w:noProof/>
                <w:webHidden/>
              </w:rPr>
              <w:tab/>
            </w:r>
            <w:r>
              <w:rPr>
                <w:noProof/>
                <w:webHidden/>
              </w:rPr>
              <w:fldChar w:fldCharType="begin"/>
            </w:r>
            <w:r>
              <w:rPr>
                <w:noProof/>
                <w:webHidden/>
              </w:rPr>
              <w:instrText xml:space="preserve"> PAGEREF _Toc230298437 \h </w:instrText>
            </w:r>
            <w:r>
              <w:rPr>
                <w:noProof/>
                <w:webHidden/>
              </w:rPr>
            </w:r>
            <w:r>
              <w:rPr>
                <w:noProof/>
                <w:webHidden/>
              </w:rPr>
              <w:fldChar w:fldCharType="separate"/>
            </w:r>
            <w:r>
              <w:rPr>
                <w:noProof/>
                <w:webHidden/>
              </w:rPr>
              <w:t>3</w:t>
            </w:r>
            <w:r>
              <w:rPr>
                <w:noProof/>
                <w:webHidden/>
              </w:rPr>
              <w:fldChar w:fldCharType="end"/>
            </w:r>
          </w:hyperlink>
        </w:p>
        <w:p w14:paraId="6A7ED601" w14:textId="2924DAB1" w:rsidR="00247E16" w:rsidRDefault="00247E16">
          <w:pPr>
            <w:pStyle w:val="TOC2"/>
            <w:tabs>
              <w:tab w:val="left" w:pos="960"/>
              <w:tab w:val="right" w:leader="dot" w:pos="9016"/>
            </w:tabs>
            <w:rPr>
              <w:rFonts w:eastAsiaTheme="minorEastAsia"/>
              <w:noProof/>
              <w:lang w:eastAsia="en-GB"/>
            </w:rPr>
          </w:pPr>
          <w:hyperlink w:anchor="_Toc230298438" w:history="1">
            <w:r w:rsidRPr="004D050B">
              <w:rPr>
                <w:rStyle w:val="Hyperlink"/>
                <w:rFonts w:ascii="Arial" w:hAnsi="Arial" w:cs="Arial"/>
                <w:noProof/>
              </w:rPr>
              <w:t>2.5</w:t>
            </w:r>
            <w:r>
              <w:rPr>
                <w:rFonts w:eastAsiaTheme="minorEastAsia"/>
                <w:noProof/>
                <w:lang w:eastAsia="en-GB"/>
              </w:rPr>
              <w:tab/>
            </w:r>
            <w:r w:rsidRPr="004D050B">
              <w:rPr>
                <w:rStyle w:val="Hyperlink"/>
                <w:rFonts w:ascii="Arial" w:hAnsi="Arial" w:cs="Arial"/>
                <w:noProof/>
              </w:rPr>
              <w:t>Cloud Misconfiguration and Hybrid Work Surface</w:t>
            </w:r>
            <w:r>
              <w:rPr>
                <w:noProof/>
                <w:webHidden/>
              </w:rPr>
              <w:tab/>
            </w:r>
            <w:r>
              <w:rPr>
                <w:noProof/>
                <w:webHidden/>
              </w:rPr>
              <w:fldChar w:fldCharType="begin"/>
            </w:r>
            <w:r>
              <w:rPr>
                <w:noProof/>
                <w:webHidden/>
              </w:rPr>
              <w:instrText xml:space="preserve"> PAGEREF _Toc230298438 \h </w:instrText>
            </w:r>
            <w:r>
              <w:rPr>
                <w:noProof/>
                <w:webHidden/>
              </w:rPr>
            </w:r>
            <w:r>
              <w:rPr>
                <w:noProof/>
                <w:webHidden/>
              </w:rPr>
              <w:fldChar w:fldCharType="separate"/>
            </w:r>
            <w:r>
              <w:rPr>
                <w:noProof/>
                <w:webHidden/>
              </w:rPr>
              <w:t>3</w:t>
            </w:r>
            <w:r>
              <w:rPr>
                <w:noProof/>
                <w:webHidden/>
              </w:rPr>
              <w:fldChar w:fldCharType="end"/>
            </w:r>
          </w:hyperlink>
        </w:p>
        <w:p w14:paraId="1EE4D32F" w14:textId="76ACE156" w:rsidR="00247E16" w:rsidRDefault="00247E16">
          <w:pPr>
            <w:pStyle w:val="TOC1"/>
            <w:tabs>
              <w:tab w:val="left" w:pos="480"/>
              <w:tab w:val="right" w:leader="dot" w:pos="9016"/>
            </w:tabs>
            <w:rPr>
              <w:rFonts w:eastAsiaTheme="minorEastAsia"/>
              <w:noProof/>
              <w:lang w:eastAsia="en-GB"/>
            </w:rPr>
          </w:pPr>
          <w:hyperlink w:anchor="_Toc230298439" w:history="1">
            <w:r w:rsidRPr="004D050B">
              <w:rPr>
                <w:rStyle w:val="Hyperlink"/>
                <w:rFonts w:ascii="Arial" w:hAnsi="Arial" w:cs="Arial"/>
                <w:noProof/>
              </w:rPr>
              <w:t>3</w:t>
            </w:r>
            <w:r>
              <w:rPr>
                <w:rFonts w:eastAsiaTheme="minorEastAsia"/>
                <w:noProof/>
                <w:lang w:eastAsia="en-GB"/>
              </w:rPr>
              <w:tab/>
            </w:r>
            <w:r w:rsidRPr="004D050B">
              <w:rPr>
                <w:rStyle w:val="Hyperlink"/>
                <w:rFonts w:ascii="Arial" w:hAnsi="Arial" w:cs="Arial"/>
                <w:noProof/>
              </w:rPr>
              <w:t>Zero-Trust Policies</w:t>
            </w:r>
            <w:r>
              <w:rPr>
                <w:noProof/>
                <w:webHidden/>
              </w:rPr>
              <w:tab/>
            </w:r>
            <w:r>
              <w:rPr>
                <w:noProof/>
                <w:webHidden/>
              </w:rPr>
              <w:fldChar w:fldCharType="begin"/>
            </w:r>
            <w:r>
              <w:rPr>
                <w:noProof/>
                <w:webHidden/>
              </w:rPr>
              <w:instrText xml:space="preserve"> PAGEREF _Toc230298439 \h </w:instrText>
            </w:r>
            <w:r>
              <w:rPr>
                <w:noProof/>
                <w:webHidden/>
              </w:rPr>
            </w:r>
            <w:r>
              <w:rPr>
                <w:noProof/>
                <w:webHidden/>
              </w:rPr>
              <w:fldChar w:fldCharType="separate"/>
            </w:r>
            <w:r>
              <w:rPr>
                <w:noProof/>
                <w:webHidden/>
              </w:rPr>
              <w:t>4</w:t>
            </w:r>
            <w:r>
              <w:rPr>
                <w:noProof/>
                <w:webHidden/>
              </w:rPr>
              <w:fldChar w:fldCharType="end"/>
            </w:r>
          </w:hyperlink>
        </w:p>
        <w:p w14:paraId="4B867E5A" w14:textId="7A674347" w:rsidR="00247E16" w:rsidRDefault="00247E16">
          <w:pPr>
            <w:pStyle w:val="TOC2"/>
            <w:tabs>
              <w:tab w:val="left" w:pos="960"/>
              <w:tab w:val="right" w:leader="dot" w:pos="9016"/>
            </w:tabs>
            <w:rPr>
              <w:rFonts w:eastAsiaTheme="minorEastAsia"/>
              <w:noProof/>
              <w:lang w:eastAsia="en-GB"/>
            </w:rPr>
          </w:pPr>
          <w:hyperlink w:anchor="_Toc230298440" w:history="1">
            <w:r w:rsidRPr="004D050B">
              <w:rPr>
                <w:rStyle w:val="Hyperlink"/>
                <w:rFonts w:ascii="Arial" w:hAnsi="Arial" w:cs="Arial"/>
                <w:noProof/>
              </w:rPr>
              <w:t>3.1</w:t>
            </w:r>
            <w:r>
              <w:rPr>
                <w:rFonts w:eastAsiaTheme="minorEastAsia"/>
                <w:noProof/>
                <w:lang w:eastAsia="en-GB"/>
              </w:rPr>
              <w:tab/>
            </w:r>
            <w:r w:rsidRPr="004D050B">
              <w:rPr>
                <w:rStyle w:val="Hyperlink"/>
                <w:rFonts w:ascii="Arial" w:hAnsi="Arial" w:cs="Arial"/>
                <w:noProof/>
              </w:rPr>
              <w:t>Multi-Factor Authentication (MFA)</w:t>
            </w:r>
            <w:r>
              <w:rPr>
                <w:noProof/>
                <w:webHidden/>
              </w:rPr>
              <w:tab/>
            </w:r>
            <w:r>
              <w:rPr>
                <w:noProof/>
                <w:webHidden/>
              </w:rPr>
              <w:fldChar w:fldCharType="begin"/>
            </w:r>
            <w:r>
              <w:rPr>
                <w:noProof/>
                <w:webHidden/>
              </w:rPr>
              <w:instrText xml:space="preserve"> PAGEREF _Toc230298440 \h </w:instrText>
            </w:r>
            <w:r>
              <w:rPr>
                <w:noProof/>
                <w:webHidden/>
              </w:rPr>
            </w:r>
            <w:r>
              <w:rPr>
                <w:noProof/>
                <w:webHidden/>
              </w:rPr>
              <w:fldChar w:fldCharType="separate"/>
            </w:r>
            <w:r>
              <w:rPr>
                <w:noProof/>
                <w:webHidden/>
              </w:rPr>
              <w:t>4</w:t>
            </w:r>
            <w:r>
              <w:rPr>
                <w:noProof/>
                <w:webHidden/>
              </w:rPr>
              <w:fldChar w:fldCharType="end"/>
            </w:r>
          </w:hyperlink>
        </w:p>
        <w:p w14:paraId="01AA1917" w14:textId="49383DCD" w:rsidR="00247E16" w:rsidRDefault="00247E16">
          <w:pPr>
            <w:pStyle w:val="TOC2"/>
            <w:tabs>
              <w:tab w:val="left" w:pos="960"/>
              <w:tab w:val="right" w:leader="dot" w:pos="9016"/>
            </w:tabs>
            <w:rPr>
              <w:rFonts w:eastAsiaTheme="minorEastAsia"/>
              <w:noProof/>
              <w:lang w:eastAsia="en-GB"/>
            </w:rPr>
          </w:pPr>
          <w:hyperlink w:anchor="_Toc230298441" w:history="1">
            <w:r w:rsidRPr="004D050B">
              <w:rPr>
                <w:rStyle w:val="Hyperlink"/>
                <w:rFonts w:ascii="Arial" w:hAnsi="Arial" w:cs="Arial"/>
                <w:noProof/>
              </w:rPr>
              <w:t>3.2</w:t>
            </w:r>
            <w:r>
              <w:rPr>
                <w:rFonts w:eastAsiaTheme="minorEastAsia"/>
                <w:noProof/>
                <w:lang w:eastAsia="en-GB"/>
              </w:rPr>
              <w:tab/>
            </w:r>
            <w:r w:rsidRPr="004D050B">
              <w:rPr>
                <w:rStyle w:val="Hyperlink"/>
                <w:rFonts w:ascii="Arial" w:hAnsi="Arial" w:cs="Arial"/>
                <w:noProof/>
              </w:rPr>
              <w:t>Device Health</w:t>
            </w:r>
            <w:r>
              <w:rPr>
                <w:noProof/>
                <w:webHidden/>
              </w:rPr>
              <w:tab/>
            </w:r>
            <w:r>
              <w:rPr>
                <w:noProof/>
                <w:webHidden/>
              </w:rPr>
              <w:fldChar w:fldCharType="begin"/>
            </w:r>
            <w:r>
              <w:rPr>
                <w:noProof/>
                <w:webHidden/>
              </w:rPr>
              <w:instrText xml:space="preserve"> PAGEREF _Toc230298441 \h </w:instrText>
            </w:r>
            <w:r>
              <w:rPr>
                <w:noProof/>
                <w:webHidden/>
              </w:rPr>
            </w:r>
            <w:r>
              <w:rPr>
                <w:noProof/>
                <w:webHidden/>
              </w:rPr>
              <w:fldChar w:fldCharType="separate"/>
            </w:r>
            <w:r>
              <w:rPr>
                <w:noProof/>
                <w:webHidden/>
              </w:rPr>
              <w:t>4</w:t>
            </w:r>
            <w:r>
              <w:rPr>
                <w:noProof/>
                <w:webHidden/>
              </w:rPr>
              <w:fldChar w:fldCharType="end"/>
            </w:r>
          </w:hyperlink>
        </w:p>
        <w:p w14:paraId="75914B63" w14:textId="7625E51A" w:rsidR="00247E16" w:rsidRDefault="00247E16">
          <w:pPr>
            <w:pStyle w:val="TOC2"/>
            <w:tabs>
              <w:tab w:val="left" w:pos="960"/>
              <w:tab w:val="right" w:leader="dot" w:pos="9016"/>
            </w:tabs>
            <w:rPr>
              <w:rFonts w:eastAsiaTheme="minorEastAsia"/>
              <w:noProof/>
              <w:lang w:eastAsia="en-GB"/>
            </w:rPr>
          </w:pPr>
          <w:hyperlink w:anchor="_Toc230298442" w:history="1">
            <w:r w:rsidRPr="004D050B">
              <w:rPr>
                <w:rStyle w:val="Hyperlink"/>
                <w:rFonts w:ascii="Arial" w:hAnsi="Arial" w:cs="Arial"/>
                <w:noProof/>
              </w:rPr>
              <w:t>3.3</w:t>
            </w:r>
            <w:r>
              <w:rPr>
                <w:rFonts w:eastAsiaTheme="minorEastAsia"/>
                <w:noProof/>
                <w:lang w:eastAsia="en-GB"/>
              </w:rPr>
              <w:tab/>
            </w:r>
            <w:r w:rsidRPr="004D050B">
              <w:rPr>
                <w:rStyle w:val="Hyperlink"/>
                <w:rFonts w:ascii="Arial" w:hAnsi="Arial" w:cs="Arial"/>
                <w:noProof/>
              </w:rPr>
              <w:t>Network Micro-Segmentation</w:t>
            </w:r>
            <w:r>
              <w:rPr>
                <w:noProof/>
                <w:webHidden/>
              </w:rPr>
              <w:tab/>
            </w:r>
            <w:r>
              <w:rPr>
                <w:noProof/>
                <w:webHidden/>
              </w:rPr>
              <w:fldChar w:fldCharType="begin"/>
            </w:r>
            <w:r>
              <w:rPr>
                <w:noProof/>
                <w:webHidden/>
              </w:rPr>
              <w:instrText xml:space="preserve"> PAGEREF _Toc230298442 \h </w:instrText>
            </w:r>
            <w:r>
              <w:rPr>
                <w:noProof/>
                <w:webHidden/>
              </w:rPr>
            </w:r>
            <w:r>
              <w:rPr>
                <w:noProof/>
                <w:webHidden/>
              </w:rPr>
              <w:fldChar w:fldCharType="separate"/>
            </w:r>
            <w:r>
              <w:rPr>
                <w:noProof/>
                <w:webHidden/>
              </w:rPr>
              <w:t>4</w:t>
            </w:r>
            <w:r>
              <w:rPr>
                <w:noProof/>
                <w:webHidden/>
              </w:rPr>
              <w:fldChar w:fldCharType="end"/>
            </w:r>
          </w:hyperlink>
        </w:p>
        <w:p w14:paraId="62061278" w14:textId="0BBC889C" w:rsidR="00247E16" w:rsidRDefault="00247E16">
          <w:pPr>
            <w:pStyle w:val="TOC2"/>
            <w:tabs>
              <w:tab w:val="left" w:pos="960"/>
              <w:tab w:val="right" w:leader="dot" w:pos="9016"/>
            </w:tabs>
            <w:rPr>
              <w:rFonts w:eastAsiaTheme="minorEastAsia"/>
              <w:noProof/>
              <w:lang w:eastAsia="en-GB"/>
            </w:rPr>
          </w:pPr>
          <w:hyperlink w:anchor="_Toc230298443" w:history="1">
            <w:r w:rsidRPr="004D050B">
              <w:rPr>
                <w:rStyle w:val="Hyperlink"/>
                <w:rFonts w:ascii="Arial" w:hAnsi="Arial" w:cs="Arial"/>
                <w:noProof/>
              </w:rPr>
              <w:t>3.4</w:t>
            </w:r>
            <w:r>
              <w:rPr>
                <w:rFonts w:eastAsiaTheme="minorEastAsia"/>
                <w:noProof/>
                <w:lang w:eastAsia="en-GB"/>
              </w:rPr>
              <w:tab/>
            </w:r>
            <w:r w:rsidRPr="004D050B">
              <w:rPr>
                <w:rStyle w:val="Hyperlink"/>
                <w:rFonts w:ascii="Arial" w:hAnsi="Arial" w:cs="Arial"/>
                <w:noProof/>
              </w:rPr>
              <w:t>Data Classification and Data Loss Prevention (DLP)</w:t>
            </w:r>
            <w:r>
              <w:rPr>
                <w:noProof/>
                <w:webHidden/>
              </w:rPr>
              <w:tab/>
            </w:r>
            <w:r>
              <w:rPr>
                <w:noProof/>
                <w:webHidden/>
              </w:rPr>
              <w:fldChar w:fldCharType="begin"/>
            </w:r>
            <w:r>
              <w:rPr>
                <w:noProof/>
                <w:webHidden/>
              </w:rPr>
              <w:instrText xml:space="preserve"> PAGEREF _Toc230298443 \h </w:instrText>
            </w:r>
            <w:r>
              <w:rPr>
                <w:noProof/>
                <w:webHidden/>
              </w:rPr>
            </w:r>
            <w:r>
              <w:rPr>
                <w:noProof/>
                <w:webHidden/>
              </w:rPr>
              <w:fldChar w:fldCharType="separate"/>
            </w:r>
            <w:r>
              <w:rPr>
                <w:noProof/>
                <w:webHidden/>
              </w:rPr>
              <w:t>5</w:t>
            </w:r>
            <w:r>
              <w:rPr>
                <w:noProof/>
                <w:webHidden/>
              </w:rPr>
              <w:fldChar w:fldCharType="end"/>
            </w:r>
          </w:hyperlink>
        </w:p>
        <w:p w14:paraId="1DFF7491" w14:textId="30CE3867" w:rsidR="00247E16" w:rsidRDefault="00247E16">
          <w:pPr>
            <w:pStyle w:val="TOC2"/>
            <w:tabs>
              <w:tab w:val="left" w:pos="960"/>
              <w:tab w:val="right" w:leader="dot" w:pos="9016"/>
            </w:tabs>
            <w:rPr>
              <w:rFonts w:eastAsiaTheme="minorEastAsia"/>
              <w:noProof/>
              <w:lang w:eastAsia="en-GB"/>
            </w:rPr>
          </w:pPr>
          <w:hyperlink w:anchor="_Toc230298444" w:history="1">
            <w:r w:rsidRPr="004D050B">
              <w:rPr>
                <w:rStyle w:val="Hyperlink"/>
                <w:rFonts w:ascii="Arial" w:hAnsi="Arial" w:cs="Arial"/>
                <w:noProof/>
              </w:rPr>
              <w:t>3.5</w:t>
            </w:r>
            <w:r>
              <w:rPr>
                <w:rFonts w:eastAsiaTheme="minorEastAsia"/>
                <w:noProof/>
                <w:lang w:eastAsia="en-GB"/>
              </w:rPr>
              <w:tab/>
            </w:r>
            <w:r w:rsidRPr="004D050B">
              <w:rPr>
                <w:rStyle w:val="Hyperlink"/>
                <w:rFonts w:ascii="Arial" w:hAnsi="Arial" w:cs="Arial"/>
                <w:noProof/>
              </w:rPr>
              <w:t>Cloud Security Posture Management (CSPM)</w:t>
            </w:r>
            <w:r>
              <w:rPr>
                <w:noProof/>
                <w:webHidden/>
              </w:rPr>
              <w:tab/>
            </w:r>
            <w:r>
              <w:rPr>
                <w:noProof/>
                <w:webHidden/>
              </w:rPr>
              <w:fldChar w:fldCharType="begin"/>
            </w:r>
            <w:r>
              <w:rPr>
                <w:noProof/>
                <w:webHidden/>
              </w:rPr>
              <w:instrText xml:space="preserve"> PAGEREF _Toc230298444 \h </w:instrText>
            </w:r>
            <w:r>
              <w:rPr>
                <w:noProof/>
                <w:webHidden/>
              </w:rPr>
            </w:r>
            <w:r>
              <w:rPr>
                <w:noProof/>
                <w:webHidden/>
              </w:rPr>
              <w:fldChar w:fldCharType="separate"/>
            </w:r>
            <w:r>
              <w:rPr>
                <w:noProof/>
                <w:webHidden/>
              </w:rPr>
              <w:t>5</w:t>
            </w:r>
            <w:r>
              <w:rPr>
                <w:noProof/>
                <w:webHidden/>
              </w:rPr>
              <w:fldChar w:fldCharType="end"/>
            </w:r>
          </w:hyperlink>
        </w:p>
        <w:p w14:paraId="6C279286" w14:textId="7D02BA59" w:rsidR="00247E16" w:rsidRDefault="00247E16">
          <w:pPr>
            <w:pStyle w:val="TOC2"/>
            <w:tabs>
              <w:tab w:val="left" w:pos="960"/>
              <w:tab w:val="right" w:leader="dot" w:pos="9016"/>
            </w:tabs>
            <w:rPr>
              <w:rFonts w:eastAsiaTheme="minorEastAsia"/>
              <w:noProof/>
              <w:lang w:eastAsia="en-GB"/>
            </w:rPr>
          </w:pPr>
          <w:hyperlink w:anchor="_Toc230298445" w:history="1">
            <w:r w:rsidRPr="004D050B">
              <w:rPr>
                <w:rStyle w:val="Hyperlink"/>
                <w:rFonts w:ascii="Arial" w:hAnsi="Arial" w:cs="Arial"/>
                <w:noProof/>
              </w:rPr>
              <w:t>3.6</w:t>
            </w:r>
            <w:r>
              <w:rPr>
                <w:rFonts w:eastAsiaTheme="minorEastAsia"/>
                <w:noProof/>
                <w:lang w:eastAsia="en-GB"/>
              </w:rPr>
              <w:tab/>
            </w:r>
            <w:r w:rsidRPr="004D050B">
              <w:rPr>
                <w:rStyle w:val="Hyperlink"/>
                <w:rFonts w:ascii="Arial" w:hAnsi="Arial" w:cs="Arial"/>
                <w:noProof/>
              </w:rPr>
              <w:t>Third Paty and Supply Cain Vetting</w:t>
            </w:r>
            <w:r>
              <w:rPr>
                <w:noProof/>
                <w:webHidden/>
              </w:rPr>
              <w:tab/>
            </w:r>
            <w:r>
              <w:rPr>
                <w:noProof/>
                <w:webHidden/>
              </w:rPr>
              <w:fldChar w:fldCharType="begin"/>
            </w:r>
            <w:r>
              <w:rPr>
                <w:noProof/>
                <w:webHidden/>
              </w:rPr>
              <w:instrText xml:space="preserve"> PAGEREF _Toc230298445 \h </w:instrText>
            </w:r>
            <w:r>
              <w:rPr>
                <w:noProof/>
                <w:webHidden/>
              </w:rPr>
            </w:r>
            <w:r>
              <w:rPr>
                <w:noProof/>
                <w:webHidden/>
              </w:rPr>
              <w:fldChar w:fldCharType="separate"/>
            </w:r>
            <w:r>
              <w:rPr>
                <w:noProof/>
                <w:webHidden/>
              </w:rPr>
              <w:t>5</w:t>
            </w:r>
            <w:r>
              <w:rPr>
                <w:noProof/>
                <w:webHidden/>
              </w:rPr>
              <w:fldChar w:fldCharType="end"/>
            </w:r>
          </w:hyperlink>
        </w:p>
        <w:p w14:paraId="452D1331" w14:textId="4CBEA396" w:rsidR="00247E16" w:rsidRDefault="00247E16">
          <w:pPr>
            <w:pStyle w:val="TOC1"/>
            <w:tabs>
              <w:tab w:val="left" w:pos="480"/>
              <w:tab w:val="right" w:leader="dot" w:pos="9016"/>
            </w:tabs>
            <w:rPr>
              <w:rFonts w:eastAsiaTheme="minorEastAsia"/>
              <w:noProof/>
              <w:lang w:eastAsia="en-GB"/>
            </w:rPr>
          </w:pPr>
          <w:hyperlink w:anchor="_Toc230298446" w:history="1">
            <w:r w:rsidRPr="004D050B">
              <w:rPr>
                <w:rStyle w:val="Hyperlink"/>
                <w:rFonts w:ascii="Arial" w:hAnsi="Arial" w:cs="Arial"/>
                <w:noProof/>
              </w:rPr>
              <w:t>4</w:t>
            </w:r>
            <w:r>
              <w:rPr>
                <w:rFonts w:eastAsiaTheme="minorEastAsia"/>
                <w:noProof/>
                <w:lang w:eastAsia="en-GB"/>
              </w:rPr>
              <w:tab/>
            </w:r>
            <w:r w:rsidRPr="004D050B">
              <w:rPr>
                <w:rStyle w:val="Hyperlink"/>
                <w:rFonts w:ascii="Arial" w:hAnsi="Arial" w:cs="Arial"/>
                <w:noProof/>
              </w:rPr>
              <w:t>Technical Mitigation Measures</w:t>
            </w:r>
            <w:r>
              <w:rPr>
                <w:noProof/>
                <w:webHidden/>
              </w:rPr>
              <w:tab/>
            </w:r>
            <w:r>
              <w:rPr>
                <w:noProof/>
                <w:webHidden/>
              </w:rPr>
              <w:fldChar w:fldCharType="begin"/>
            </w:r>
            <w:r>
              <w:rPr>
                <w:noProof/>
                <w:webHidden/>
              </w:rPr>
              <w:instrText xml:space="preserve"> PAGEREF _Toc230298446 \h </w:instrText>
            </w:r>
            <w:r>
              <w:rPr>
                <w:noProof/>
                <w:webHidden/>
              </w:rPr>
            </w:r>
            <w:r>
              <w:rPr>
                <w:noProof/>
                <w:webHidden/>
              </w:rPr>
              <w:fldChar w:fldCharType="separate"/>
            </w:r>
            <w:r>
              <w:rPr>
                <w:noProof/>
                <w:webHidden/>
              </w:rPr>
              <w:t>5</w:t>
            </w:r>
            <w:r>
              <w:rPr>
                <w:noProof/>
                <w:webHidden/>
              </w:rPr>
              <w:fldChar w:fldCharType="end"/>
            </w:r>
          </w:hyperlink>
        </w:p>
        <w:p w14:paraId="6D462A05" w14:textId="51CB14CB" w:rsidR="00247E16" w:rsidRDefault="00247E16">
          <w:pPr>
            <w:pStyle w:val="TOC1"/>
            <w:tabs>
              <w:tab w:val="left" w:pos="480"/>
              <w:tab w:val="right" w:leader="dot" w:pos="9016"/>
            </w:tabs>
            <w:rPr>
              <w:rFonts w:eastAsiaTheme="minorEastAsia"/>
              <w:noProof/>
              <w:lang w:eastAsia="en-GB"/>
            </w:rPr>
          </w:pPr>
          <w:hyperlink w:anchor="_Toc230298447" w:history="1">
            <w:r w:rsidRPr="004D050B">
              <w:rPr>
                <w:rStyle w:val="Hyperlink"/>
                <w:rFonts w:ascii="Arial" w:hAnsi="Arial" w:cs="Arial"/>
                <w:noProof/>
              </w:rPr>
              <w:t>5</w:t>
            </w:r>
            <w:r>
              <w:rPr>
                <w:rFonts w:eastAsiaTheme="minorEastAsia"/>
                <w:noProof/>
                <w:lang w:eastAsia="en-GB"/>
              </w:rPr>
              <w:tab/>
            </w:r>
            <w:r w:rsidRPr="004D050B">
              <w:rPr>
                <w:rStyle w:val="Hyperlink"/>
                <w:rFonts w:ascii="Arial" w:hAnsi="Arial" w:cs="Arial"/>
                <w:noProof/>
              </w:rPr>
              <w:t>Monitoring and Incident Response</w:t>
            </w:r>
            <w:r>
              <w:rPr>
                <w:noProof/>
                <w:webHidden/>
              </w:rPr>
              <w:tab/>
            </w:r>
            <w:r>
              <w:rPr>
                <w:noProof/>
                <w:webHidden/>
              </w:rPr>
              <w:fldChar w:fldCharType="begin"/>
            </w:r>
            <w:r>
              <w:rPr>
                <w:noProof/>
                <w:webHidden/>
              </w:rPr>
              <w:instrText xml:space="preserve"> PAGEREF _Toc230298447 \h </w:instrText>
            </w:r>
            <w:r>
              <w:rPr>
                <w:noProof/>
                <w:webHidden/>
              </w:rPr>
            </w:r>
            <w:r>
              <w:rPr>
                <w:noProof/>
                <w:webHidden/>
              </w:rPr>
              <w:fldChar w:fldCharType="separate"/>
            </w:r>
            <w:r>
              <w:rPr>
                <w:noProof/>
                <w:webHidden/>
              </w:rPr>
              <w:t>6</w:t>
            </w:r>
            <w:r>
              <w:rPr>
                <w:noProof/>
                <w:webHidden/>
              </w:rPr>
              <w:fldChar w:fldCharType="end"/>
            </w:r>
          </w:hyperlink>
        </w:p>
        <w:p w14:paraId="37C6FF3F" w14:textId="7855D0E7" w:rsidR="00247E16" w:rsidRDefault="00247E16">
          <w:pPr>
            <w:pStyle w:val="TOC1"/>
            <w:tabs>
              <w:tab w:val="left" w:pos="480"/>
              <w:tab w:val="right" w:leader="dot" w:pos="9016"/>
            </w:tabs>
            <w:rPr>
              <w:rFonts w:eastAsiaTheme="minorEastAsia"/>
              <w:noProof/>
              <w:lang w:eastAsia="en-GB"/>
            </w:rPr>
          </w:pPr>
          <w:hyperlink w:anchor="_Toc230298448" w:history="1">
            <w:r w:rsidRPr="004D050B">
              <w:rPr>
                <w:rStyle w:val="Hyperlink"/>
                <w:rFonts w:ascii="Arial" w:hAnsi="Arial" w:cs="Arial"/>
                <w:noProof/>
              </w:rPr>
              <w:t>6</w:t>
            </w:r>
            <w:r>
              <w:rPr>
                <w:rFonts w:eastAsiaTheme="minorEastAsia"/>
                <w:noProof/>
                <w:lang w:eastAsia="en-GB"/>
              </w:rPr>
              <w:tab/>
            </w:r>
            <w:r w:rsidRPr="004D050B">
              <w:rPr>
                <w:rStyle w:val="Hyperlink"/>
                <w:rFonts w:ascii="Arial" w:hAnsi="Arial" w:cs="Arial"/>
                <w:noProof/>
              </w:rPr>
              <w:t>Training and Awareness</w:t>
            </w:r>
            <w:r>
              <w:rPr>
                <w:noProof/>
                <w:webHidden/>
              </w:rPr>
              <w:tab/>
            </w:r>
            <w:r>
              <w:rPr>
                <w:noProof/>
                <w:webHidden/>
              </w:rPr>
              <w:fldChar w:fldCharType="begin"/>
            </w:r>
            <w:r>
              <w:rPr>
                <w:noProof/>
                <w:webHidden/>
              </w:rPr>
              <w:instrText xml:space="preserve"> PAGEREF _Toc230298448 \h </w:instrText>
            </w:r>
            <w:r>
              <w:rPr>
                <w:noProof/>
                <w:webHidden/>
              </w:rPr>
            </w:r>
            <w:r>
              <w:rPr>
                <w:noProof/>
                <w:webHidden/>
              </w:rPr>
              <w:fldChar w:fldCharType="separate"/>
            </w:r>
            <w:r>
              <w:rPr>
                <w:noProof/>
                <w:webHidden/>
              </w:rPr>
              <w:t>7</w:t>
            </w:r>
            <w:r>
              <w:rPr>
                <w:noProof/>
                <w:webHidden/>
              </w:rPr>
              <w:fldChar w:fldCharType="end"/>
            </w:r>
          </w:hyperlink>
        </w:p>
        <w:p w14:paraId="683AF06C" w14:textId="1174BC03" w:rsidR="00247E16" w:rsidRDefault="00247E16">
          <w:pPr>
            <w:pStyle w:val="TOC1"/>
            <w:tabs>
              <w:tab w:val="left" w:pos="480"/>
              <w:tab w:val="right" w:leader="dot" w:pos="9016"/>
            </w:tabs>
            <w:rPr>
              <w:rFonts w:eastAsiaTheme="minorEastAsia"/>
              <w:noProof/>
              <w:lang w:eastAsia="en-GB"/>
            </w:rPr>
          </w:pPr>
          <w:hyperlink w:anchor="_Toc230298449" w:history="1">
            <w:r w:rsidRPr="004D050B">
              <w:rPr>
                <w:rStyle w:val="Hyperlink"/>
                <w:rFonts w:ascii="Arial" w:hAnsi="Arial" w:cs="Arial"/>
                <w:noProof/>
              </w:rPr>
              <w:t>7</w:t>
            </w:r>
            <w:r>
              <w:rPr>
                <w:rFonts w:eastAsiaTheme="minorEastAsia"/>
                <w:noProof/>
                <w:lang w:eastAsia="en-GB"/>
              </w:rPr>
              <w:tab/>
            </w:r>
            <w:r w:rsidRPr="004D050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_Toc230298449 \h </w:instrText>
            </w:r>
            <w:r>
              <w:rPr>
                <w:noProof/>
                <w:webHidden/>
              </w:rPr>
            </w:r>
            <w:r>
              <w:rPr>
                <w:noProof/>
                <w:webHidden/>
              </w:rPr>
              <w:fldChar w:fldCharType="separate"/>
            </w:r>
            <w:r>
              <w:rPr>
                <w:noProof/>
                <w:webHidden/>
              </w:rPr>
              <w:t>7</w:t>
            </w:r>
            <w:r>
              <w:rPr>
                <w:noProof/>
                <w:webHidden/>
              </w:rPr>
              <w:fldChar w:fldCharType="end"/>
            </w:r>
          </w:hyperlink>
        </w:p>
        <w:p w14:paraId="38264596" w14:textId="0DA16C94" w:rsidR="00247E16" w:rsidRDefault="00247E16">
          <w:pPr>
            <w:pStyle w:val="TOC1"/>
            <w:tabs>
              <w:tab w:val="left" w:pos="480"/>
              <w:tab w:val="right" w:leader="dot" w:pos="9016"/>
            </w:tabs>
            <w:rPr>
              <w:rFonts w:eastAsiaTheme="minorEastAsia"/>
              <w:noProof/>
              <w:lang w:eastAsia="en-GB"/>
            </w:rPr>
          </w:pPr>
          <w:hyperlink w:anchor="_Toc230298450" w:history="1">
            <w:r w:rsidRPr="004D050B">
              <w:rPr>
                <w:rStyle w:val="Hyperlink"/>
                <w:rFonts w:ascii="Arial" w:hAnsi="Arial" w:cs="Arial"/>
                <w:noProof/>
              </w:rPr>
              <w:t>8</w:t>
            </w:r>
            <w:r>
              <w:rPr>
                <w:rFonts w:eastAsiaTheme="minorEastAsia"/>
                <w:noProof/>
                <w:lang w:eastAsia="en-GB"/>
              </w:rPr>
              <w:tab/>
            </w:r>
            <w:r w:rsidRPr="004D050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_Toc230298450 \h </w:instrText>
            </w:r>
            <w:r>
              <w:rPr>
                <w:noProof/>
                <w:webHidden/>
              </w:rPr>
            </w:r>
            <w:r>
              <w:rPr>
                <w:noProof/>
                <w:webHidden/>
              </w:rPr>
              <w:fldChar w:fldCharType="separate"/>
            </w:r>
            <w:r>
              <w:rPr>
                <w:noProof/>
                <w:webHidden/>
              </w:rPr>
              <w:t>7</w:t>
            </w:r>
            <w:r>
              <w:rPr>
                <w:noProof/>
                <w:webHidden/>
              </w:rPr>
              <w:fldChar w:fldCharType="end"/>
            </w:r>
          </w:hyperlink>
        </w:p>
        <w:p w14:paraId="2F4869FA" w14:textId="1A4DF1EE" w:rsidR="00247E16" w:rsidRDefault="00247E16">
          <w:pPr>
            <w:pStyle w:val="TOC1"/>
            <w:tabs>
              <w:tab w:val="left" w:pos="480"/>
              <w:tab w:val="right" w:leader="dot" w:pos="9016"/>
            </w:tabs>
            <w:rPr>
              <w:rFonts w:eastAsiaTheme="minorEastAsia"/>
              <w:noProof/>
              <w:lang w:eastAsia="en-GB"/>
            </w:rPr>
          </w:pPr>
          <w:hyperlink w:anchor="_Toc230298451" w:history="1">
            <w:r w:rsidRPr="004D050B">
              <w:rPr>
                <w:rStyle w:val="Hyperlink"/>
                <w:rFonts w:ascii="Arial" w:hAnsi="Arial" w:cs="Arial"/>
                <w:noProof/>
              </w:rPr>
              <w:t>9</w:t>
            </w:r>
            <w:r>
              <w:rPr>
                <w:rFonts w:eastAsiaTheme="minorEastAsia"/>
                <w:noProof/>
                <w:lang w:eastAsia="en-GB"/>
              </w:rPr>
              <w:tab/>
            </w:r>
            <w:r w:rsidRPr="004D050B">
              <w:rPr>
                <w:rStyle w:val="Hyperlink"/>
                <w:rFonts w:ascii="Arial" w:hAnsi="Arial" w:cs="Arial"/>
                <w:noProof/>
              </w:rPr>
              <w:t>Appendix</w:t>
            </w:r>
            <w:r>
              <w:rPr>
                <w:noProof/>
                <w:webHidden/>
              </w:rPr>
              <w:tab/>
            </w:r>
            <w:r>
              <w:rPr>
                <w:noProof/>
                <w:webHidden/>
              </w:rPr>
              <w:fldChar w:fldCharType="begin"/>
            </w:r>
            <w:r>
              <w:rPr>
                <w:noProof/>
                <w:webHidden/>
              </w:rPr>
              <w:instrText xml:space="preserve"> PAGEREF _Toc230298451 \h </w:instrText>
            </w:r>
            <w:r>
              <w:rPr>
                <w:noProof/>
                <w:webHidden/>
              </w:rPr>
            </w:r>
            <w:r>
              <w:rPr>
                <w:noProof/>
                <w:webHidden/>
              </w:rPr>
              <w:fldChar w:fldCharType="separate"/>
            </w:r>
            <w:r>
              <w:rPr>
                <w:noProof/>
                <w:webHidden/>
              </w:rPr>
              <w:t>8</w:t>
            </w:r>
            <w:r>
              <w:rPr>
                <w:noProof/>
                <w:webHidden/>
              </w:rPr>
              <w:fldChar w:fldCharType="end"/>
            </w:r>
          </w:hyperlink>
        </w:p>
        <w:p w14:paraId="08167789" w14:textId="2A95EC06" w:rsidR="00247E16" w:rsidRDefault="00247E16">
          <w:pPr>
            <w:pStyle w:val="TOC2"/>
            <w:tabs>
              <w:tab w:val="left" w:pos="960"/>
              <w:tab w:val="right" w:leader="dot" w:pos="9016"/>
            </w:tabs>
            <w:rPr>
              <w:rFonts w:eastAsiaTheme="minorEastAsia"/>
              <w:noProof/>
              <w:lang w:eastAsia="en-GB"/>
            </w:rPr>
          </w:pPr>
          <w:hyperlink w:anchor="_Toc230298452" w:history="1">
            <w:r w:rsidRPr="004D050B">
              <w:rPr>
                <w:rStyle w:val="Hyperlink"/>
                <w:noProof/>
              </w:rPr>
              <w:t>9.1</w:t>
            </w:r>
            <w:r>
              <w:rPr>
                <w:rFonts w:eastAsiaTheme="minorEastAsia"/>
                <w:noProof/>
                <w:lang w:eastAsia="en-GB"/>
              </w:rPr>
              <w:tab/>
            </w:r>
            <w:r w:rsidRPr="004D050B">
              <w:rPr>
                <w:rStyle w:val="Hyperlink"/>
                <w:noProof/>
              </w:rPr>
              <w:t>Presentation</w:t>
            </w:r>
            <w:r>
              <w:rPr>
                <w:noProof/>
                <w:webHidden/>
              </w:rPr>
              <w:tab/>
            </w:r>
            <w:r>
              <w:rPr>
                <w:noProof/>
                <w:webHidden/>
              </w:rPr>
              <w:fldChar w:fldCharType="begin"/>
            </w:r>
            <w:r>
              <w:rPr>
                <w:noProof/>
                <w:webHidden/>
              </w:rPr>
              <w:instrText xml:space="preserve"> PAGEREF _Toc230298452 \h </w:instrText>
            </w:r>
            <w:r>
              <w:rPr>
                <w:noProof/>
                <w:webHidden/>
              </w:rPr>
            </w:r>
            <w:r>
              <w:rPr>
                <w:noProof/>
                <w:webHidden/>
              </w:rPr>
              <w:fldChar w:fldCharType="separate"/>
            </w:r>
            <w:r>
              <w:rPr>
                <w:noProof/>
                <w:webHidden/>
              </w:rPr>
              <w:t>8</w:t>
            </w:r>
            <w:r>
              <w:rPr>
                <w:noProof/>
                <w:webHidden/>
              </w:rPr>
              <w:fldChar w:fldCharType="end"/>
            </w:r>
          </w:hyperlink>
        </w:p>
        <w:p w14:paraId="00337EDE" w14:textId="60F482D5" w:rsidR="00F21079" w:rsidRDefault="00F21079">
          <w:r>
            <w:rPr>
              <w:b/>
              <w:bCs/>
              <w:noProof/>
            </w:rPr>
            <w:fldChar w:fldCharType="end"/>
          </w:r>
        </w:p>
      </w:sdtContent>
    </w:sdt>
    <w:p w14:paraId="3392A1C2" w14:textId="77777777" w:rsidR="00F21079" w:rsidRDefault="00F21079"/>
    <w:p w14:paraId="34854DAD" w14:textId="77777777" w:rsidR="00F21079" w:rsidRDefault="00F21079"/>
    <w:p w14:paraId="514C29D1" w14:textId="77777777" w:rsidR="00F21079" w:rsidRDefault="00F21079"/>
    <w:p w14:paraId="3229D887" w14:textId="77777777" w:rsidR="00F21079" w:rsidRDefault="00F21079"/>
    <w:p w14:paraId="4B7B2E6F" w14:textId="77777777" w:rsidR="00F21079" w:rsidRDefault="00F21079"/>
    <w:p w14:paraId="5A9695AC" w14:textId="77777777" w:rsidR="00F21079" w:rsidRDefault="00F21079"/>
    <w:p w14:paraId="2C764F4E" w14:textId="77777777" w:rsidR="00F21079" w:rsidRDefault="00F21079"/>
    <w:p w14:paraId="7729B210" w14:textId="77777777" w:rsidR="00F21079" w:rsidRDefault="00F21079"/>
    <w:p w14:paraId="5FD0711C" w14:textId="3555156B" w:rsidR="00F21079" w:rsidRDefault="00F21079" w:rsidP="00F21079">
      <w:pPr>
        <w:pStyle w:val="Heading1"/>
        <w:rPr>
          <w:rFonts w:ascii="Arial" w:hAnsi="Arial" w:cs="Arial"/>
          <w:sz w:val="32"/>
          <w:szCs w:val="32"/>
        </w:rPr>
      </w:pPr>
      <w:bookmarkStart w:id="0" w:name="_Toc230298432"/>
      <w:r w:rsidRPr="00F21079">
        <w:rPr>
          <w:rFonts w:ascii="Arial" w:hAnsi="Arial" w:cs="Arial"/>
          <w:sz w:val="32"/>
          <w:szCs w:val="32"/>
        </w:rPr>
        <w:lastRenderedPageBreak/>
        <w:t>Introduction</w:t>
      </w:r>
      <w:bookmarkEnd w:id="0"/>
    </w:p>
    <w:p w14:paraId="00A61651" w14:textId="77777777"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Cyber threats are evolving rapidly, posing significant risks to organisations across all sectors, particularly financial services. Vigilant Trust &amp; Asset Management (VTAM) has recently experienced a sophisticated phishing campaign that bypassed traditional email filters and an attempted ransomware infection, highlighting critical vulnerabilities in its current security posture. This report identifies modern internal and external threats, evaluates key risks associated with hybrid working and cloud adoption, and proposes a comprehensive security framework rooted in Zero Trust principles, aligned with NIST CSF and ISO 27001 standards.</w:t>
      </w:r>
    </w:p>
    <w:p w14:paraId="3314BE4E" w14:textId="77777777" w:rsidR="00F21079" w:rsidRPr="00F21079" w:rsidRDefault="00F21079" w:rsidP="00F21079"/>
    <w:p w14:paraId="1A2D2708" w14:textId="69339766" w:rsidR="00F21079" w:rsidRDefault="00F21079" w:rsidP="00F21079">
      <w:pPr>
        <w:pStyle w:val="Heading1"/>
        <w:rPr>
          <w:rFonts w:ascii="Arial" w:hAnsi="Arial" w:cs="Arial"/>
          <w:sz w:val="32"/>
          <w:szCs w:val="32"/>
        </w:rPr>
      </w:pPr>
      <w:bookmarkStart w:id="1" w:name="_Toc230298433"/>
      <w:r w:rsidRPr="00F21079">
        <w:rPr>
          <w:rFonts w:ascii="Arial" w:hAnsi="Arial" w:cs="Arial"/>
          <w:sz w:val="32"/>
          <w:szCs w:val="32"/>
        </w:rPr>
        <w:t>Modern Threat Landscape</w:t>
      </w:r>
      <w:bookmarkEnd w:id="1"/>
    </w:p>
    <w:p w14:paraId="71798DD5" w14:textId="336F90C2" w:rsidR="00F21079" w:rsidRDefault="00F21079" w:rsidP="00F21079">
      <w:pPr>
        <w:pStyle w:val="Heading2"/>
        <w:rPr>
          <w:rFonts w:ascii="Arial" w:hAnsi="Arial" w:cs="Arial"/>
          <w:sz w:val="28"/>
          <w:szCs w:val="28"/>
        </w:rPr>
      </w:pPr>
      <w:bookmarkStart w:id="2" w:name="_Toc230298434"/>
      <w:r w:rsidRPr="00F21079">
        <w:rPr>
          <w:rFonts w:ascii="Arial" w:hAnsi="Arial" w:cs="Arial"/>
          <w:sz w:val="28"/>
          <w:szCs w:val="28"/>
        </w:rPr>
        <w:t>Insider Threat</w:t>
      </w:r>
      <w:bookmarkEnd w:id="2"/>
    </w:p>
    <w:p w14:paraId="6DB5980B" w14:textId="40AC8675"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 xml:space="preserve">An insider threat is a security risk that comes from someone within an organisation (e.g. </w:t>
      </w:r>
      <w:r w:rsidR="00660FCC">
        <w:rPr>
          <w:rFonts w:ascii="Arial" w:hAnsi="Arial" w:cs="Arial"/>
          <w:color w:val="000000" w:themeColor="text1"/>
        </w:rPr>
        <w:t>e</w:t>
      </w:r>
      <w:r w:rsidRPr="003E7DE6">
        <w:rPr>
          <w:rFonts w:ascii="Arial" w:hAnsi="Arial" w:cs="Arial"/>
          <w:color w:val="000000" w:themeColor="text1"/>
        </w:rPr>
        <w:t>mployee, contractor or partner) who has authorised access to systems or data</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Pr>
          <w:rFonts w:ascii="Arial" w:hAnsi="Arial" w:cs="Arial"/>
          <w:color w:val="000000" w:themeColor="text1"/>
        </w:rPr>
        <w:fldChar w:fldCharType="separate"/>
      </w:r>
      <w:r w:rsidRPr="00A039BC">
        <w:rPr>
          <w:rFonts w:ascii="Arial" w:hAnsi="Arial" w:cs="Arial"/>
          <w:noProof/>
          <w:color w:val="000000" w:themeColor="text1"/>
        </w:rPr>
        <w:t>[1]</w:t>
      </w:r>
      <w:r>
        <w:rPr>
          <w:rFonts w:ascii="Arial" w:hAnsi="Arial" w:cs="Arial"/>
          <w:color w:val="000000" w:themeColor="text1"/>
        </w:rPr>
        <w:fldChar w:fldCharType="end"/>
      </w:r>
      <w:r w:rsidRPr="003E7DE6">
        <w:rPr>
          <w:rFonts w:ascii="Arial" w:hAnsi="Arial" w:cs="Arial"/>
          <w:color w:val="000000" w:themeColor="text1"/>
        </w:rPr>
        <w:t>. It can be malicious, intentionally stealing data or causing harm, or negligent</w:t>
      </w:r>
      <w:r>
        <w:rPr>
          <w:rFonts w:ascii="Arial" w:hAnsi="Arial" w:cs="Arial"/>
          <w:color w:val="000000" w:themeColor="text1"/>
        </w:rPr>
        <w:t xml:space="preserve"> and </w:t>
      </w:r>
      <w:r w:rsidRPr="003E7DE6">
        <w:rPr>
          <w:rFonts w:ascii="Arial" w:hAnsi="Arial" w:cs="Arial"/>
          <w:color w:val="000000" w:themeColor="text1"/>
        </w:rPr>
        <w:t>accidental actions like clicking phishing emails or mishandling data</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Pr>
          <w:rFonts w:ascii="Arial" w:hAnsi="Arial" w:cs="Arial"/>
          <w:color w:val="000000" w:themeColor="text1"/>
        </w:rPr>
        <w:fldChar w:fldCharType="separate"/>
      </w:r>
      <w:r w:rsidRPr="00A039BC">
        <w:rPr>
          <w:rFonts w:ascii="Arial" w:hAnsi="Arial" w:cs="Arial"/>
          <w:noProof/>
          <w:color w:val="000000" w:themeColor="text1"/>
        </w:rPr>
        <w:t>[1]</w:t>
      </w:r>
      <w:r>
        <w:rPr>
          <w:rFonts w:ascii="Arial" w:hAnsi="Arial" w:cs="Arial"/>
          <w:color w:val="000000" w:themeColor="text1"/>
        </w:rPr>
        <w:fldChar w:fldCharType="end"/>
      </w:r>
      <w:r w:rsidRPr="003E7DE6">
        <w:rPr>
          <w:rFonts w:ascii="Arial" w:hAnsi="Arial" w:cs="Arial"/>
          <w:color w:val="000000" w:themeColor="text1"/>
        </w:rPr>
        <w:t xml:space="preserve">. </w:t>
      </w:r>
    </w:p>
    <w:p w14:paraId="3E7AD2F3" w14:textId="77777777" w:rsidR="00F21079" w:rsidRPr="00F21079" w:rsidRDefault="00F21079" w:rsidP="00F21079"/>
    <w:p w14:paraId="60555757" w14:textId="41F4B005" w:rsidR="00F21079" w:rsidRDefault="00F21079" w:rsidP="00F21079">
      <w:pPr>
        <w:pStyle w:val="Heading2"/>
        <w:rPr>
          <w:rFonts w:ascii="Arial" w:hAnsi="Arial" w:cs="Arial"/>
          <w:sz w:val="28"/>
          <w:szCs w:val="28"/>
        </w:rPr>
      </w:pPr>
      <w:bookmarkStart w:id="3" w:name="_Toc230298435"/>
      <w:r w:rsidRPr="00F21079">
        <w:rPr>
          <w:rFonts w:ascii="Arial" w:hAnsi="Arial" w:cs="Arial"/>
          <w:sz w:val="28"/>
          <w:szCs w:val="28"/>
        </w:rPr>
        <w:t>RaaS</w:t>
      </w:r>
      <w:bookmarkEnd w:id="3"/>
    </w:p>
    <w:p w14:paraId="71A55BFF" w14:textId="551AD703"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Ransomware as a service (</w:t>
      </w:r>
      <w:r w:rsidR="00660FCC" w:rsidRPr="003E7DE6">
        <w:rPr>
          <w:rFonts w:ascii="Arial" w:hAnsi="Arial" w:cs="Arial"/>
          <w:color w:val="000000" w:themeColor="text1"/>
        </w:rPr>
        <w:t>Raa</w:t>
      </w:r>
      <w:r w:rsidR="00660FCC">
        <w:rPr>
          <w:rFonts w:ascii="Arial" w:hAnsi="Arial" w:cs="Arial"/>
          <w:color w:val="000000" w:themeColor="text1"/>
        </w:rPr>
        <w:t>S</w:t>
      </w:r>
      <w:r w:rsidRPr="003E7DE6">
        <w:rPr>
          <w:rFonts w:ascii="Arial" w:hAnsi="Arial" w:cs="Arial"/>
          <w:color w:val="000000" w:themeColor="text1"/>
        </w:rPr>
        <w:t>)</w:t>
      </w:r>
      <w:r>
        <w:rPr>
          <w:rFonts w:ascii="Arial" w:hAnsi="Arial" w:cs="Arial"/>
          <w:color w:val="000000" w:themeColor="text1"/>
        </w:rPr>
        <w:t xml:space="preserve"> </w:t>
      </w:r>
      <w:r w:rsidRPr="003E7DE6">
        <w:rPr>
          <w:rFonts w:ascii="Arial" w:hAnsi="Arial" w:cs="Arial"/>
          <w:color w:val="000000" w:themeColor="text1"/>
        </w:rPr>
        <w:t>is a service offered by hackers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 They develop ransomware and an affiliate carries out the attack, and they split the money if the victim pays the ransomware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 Raas makes cybercrime easier as you don’t need advanced technical skills to launch an attack, it spreads ransomware much more widely and is often run like a business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color w:val="000000" w:themeColor="text1"/>
        </w:rPr>
        <w:fldChar w:fldCharType="separate"/>
      </w:r>
      <w:r w:rsidRPr="006B7841">
        <w:rPr>
          <w:rFonts w:ascii="Arial" w:hAnsi="Arial" w:cs="Arial"/>
          <w:noProof/>
          <w:color w:val="000000" w:themeColor="text1"/>
        </w:rPr>
        <w:t>[2]</w:t>
      </w:r>
      <w:r>
        <w:rPr>
          <w:rFonts w:ascii="Arial" w:hAnsi="Arial" w:cs="Arial"/>
          <w:color w:val="000000" w:themeColor="text1"/>
        </w:rPr>
        <w:fldChar w:fldCharType="end"/>
      </w:r>
      <w:r w:rsidRPr="003E7DE6">
        <w:rPr>
          <w:rFonts w:ascii="Arial" w:hAnsi="Arial" w:cs="Arial"/>
          <w:color w:val="000000" w:themeColor="text1"/>
        </w:rPr>
        <w:t>.</w:t>
      </w:r>
    </w:p>
    <w:p w14:paraId="001CE1C2" w14:textId="77777777" w:rsidR="00F21079" w:rsidRPr="00F21079" w:rsidRDefault="00F21079" w:rsidP="00F21079"/>
    <w:p w14:paraId="307F1EDD" w14:textId="17534B0A" w:rsidR="00F21079" w:rsidRDefault="00F21079" w:rsidP="00F21079">
      <w:pPr>
        <w:pStyle w:val="Heading2"/>
        <w:rPr>
          <w:rFonts w:ascii="Arial" w:hAnsi="Arial" w:cs="Arial"/>
          <w:sz w:val="28"/>
          <w:szCs w:val="28"/>
        </w:rPr>
      </w:pPr>
      <w:bookmarkStart w:id="4" w:name="_Toc230298436"/>
      <w:r w:rsidRPr="00F21079">
        <w:rPr>
          <w:rFonts w:ascii="Arial" w:hAnsi="Arial" w:cs="Arial"/>
          <w:sz w:val="28"/>
          <w:szCs w:val="28"/>
        </w:rPr>
        <w:t>AI Vishing</w:t>
      </w:r>
      <w:bookmarkEnd w:id="4"/>
    </w:p>
    <w:p w14:paraId="5F533EFF" w14:textId="4A9B7616" w:rsidR="00F21079" w:rsidRPr="003E7DE6" w:rsidRDefault="00F21079" w:rsidP="00F21079">
      <w:pPr>
        <w:jc w:val="both"/>
        <w:rPr>
          <w:rFonts w:ascii="Arial" w:hAnsi="Arial" w:cs="Arial"/>
          <w:color w:val="000000" w:themeColor="text1"/>
        </w:rPr>
      </w:pPr>
      <w:r>
        <w:rPr>
          <w:rFonts w:ascii="Arial" w:hAnsi="Arial" w:cs="Arial"/>
          <w:color w:val="000000" w:themeColor="text1"/>
        </w:rPr>
        <w:t>AI is</w:t>
      </w:r>
      <w:r w:rsidRPr="003E7DE6">
        <w:rPr>
          <w:rFonts w:ascii="Arial" w:hAnsi="Arial" w:cs="Arial"/>
          <w:color w:val="000000" w:themeColor="text1"/>
        </w:rPr>
        <w:t xml:space="preserve"> being used to create highly convincing phishing lures</w:t>
      </w:r>
      <w:r>
        <w:rPr>
          <w:rFonts w:ascii="Arial" w:hAnsi="Arial" w:cs="Arial"/>
          <w:color w:val="000000" w:themeColor="text1"/>
        </w:rPr>
        <w:t xml:space="preserve"> by</w:t>
      </w:r>
      <w:r w:rsidRPr="003E7DE6">
        <w:rPr>
          <w:rFonts w:ascii="Arial" w:hAnsi="Arial" w:cs="Arial"/>
          <w:color w:val="000000" w:themeColor="text1"/>
        </w:rPr>
        <w:t xml:space="preserve"> </w:t>
      </w:r>
      <w:r>
        <w:rPr>
          <w:rFonts w:ascii="Arial" w:hAnsi="Arial" w:cs="Arial"/>
          <w:color w:val="000000" w:themeColor="text1"/>
        </w:rPr>
        <w:t xml:space="preserve">cloning </w:t>
      </w:r>
      <w:r w:rsidRPr="003E7DE6">
        <w:rPr>
          <w:rFonts w:ascii="Arial" w:hAnsi="Arial" w:cs="Arial"/>
          <w:color w:val="000000" w:themeColor="text1"/>
        </w:rPr>
        <w:t>voices (known as deepfake)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Pr>
          <w:rFonts w:ascii="Arial" w:hAnsi="Arial" w:cs="Arial"/>
          <w:color w:val="000000" w:themeColor="text1"/>
        </w:rPr>
        <w:t>. I</w:t>
      </w:r>
      <w:r w:rsidRPr="003E7DE6">
        <w:rPr>
          <w:rFonts w:ascii="Arial" w:hAnsi="Arial" w:cs="Arial"/>
          <w:color w:val="000000" w:themeColor="text1"/>
        </w:rPr>
        <w:t>t is highly dangerous because the voice cloning can sound extremely accurate and can happen in real time not just from a recordin</w:t>
      </w:r>
      <w:r>
        <w:rPr>
          <w:rFonts w:ascii="Arial" w:hAnsi="Arial" w:cs="Arial"/>
          <w:color w:val="000000" w:themeColor="text1"/>
        </w:rPr>
        <w:t xml:space="preserve">g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Pr>
          <w:rFonts w:ascii="Arial" w:hAnsi="Arial" w:cs="Arial"/>
          <w:color w:val="000000" w:themeColor="text1"/>
        </w:rPr>
        <w:t>. AI is also able to</w:t>
      </w:r>
      <w:r w:rsidRPr="003E7DE6">
        <w:rPr>
          <w:rFonts w:ascii="Arial" w:hAnsi="Arial" w:cs="Arial"/>
          <w:color w:val="000000" w:themeColor="text1"/>
        </w:rPr>
        <w:t xml:space="preserve"> mimic writing styles and automate the discovery of system flaws. A</w:t>
      </w:r>
      <w:r w:rsidR="00660FCC">
        <w:rPr>
          <w:rFonts w:ascii="Arial" w:hAnsi="Arial" w:cs="Arial"/>
          <w:color w:val="000000" w:themeColor="text1"/>
        </w:rPr>
        <w:t>I</w:t>
      </w:r>
      <w:r w:rsidRPr="003E7DE6">
        <w:rPr>
          <w:rFonts w:ascii="Arial" w:hAnsi="Arial" w:cs="Arial"/>
          <w:color w:val="000000" w:themeColor="text1"/>
        </w:rPr>
        <w:t xml:space="preserve"> makes these attacks more convincing and harder to detect</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{"citationItems":[{"id":"ITEM-1","itemData":{"author":[{"dropping-particle":"","family":"Tummalapenta","given":"Srini","non-dropping-particle":"","parse-names":false,"suffix":""}],"container-title":"IBM","id":"ITEM-1","issued":{"date-parts":[["0","1"]]},"title":"How a new wave of deepfake-driven cyber crime targets businesses [online]","type":"article-newspaper"},"uris":["http://www.mendeley.com/documents/?uuid=03d8e608-69cc-385d-b94d-8acec60663e4"]}],"mendeley":{"formattedCitation":"[3]","plainTextFormattedCitation":"[3]","previouslyFormattedCitation":"[3]"},"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[3]</w:t>
      </w:r>
      <w:r>
        <w:rPr>
          <w:rFonts w:ascii="Arial" w:hAnsi="Arial" w:cs="Arial"/>
          <w:color w:val="000000" w:themeColor="text1"/>
        </w:rPr>
        <w:fldChar w:fldCharType="end"/>
      </w:r>
      <w:r w:rsidRPr="003E7DE6">
        <w:rPr>
          <w:rFonts w:ascii="Arial" w:hAnsi="Arial" w:cs="Arial"/>
          <w:color w:val="000000" w:themeColor="text1"/>
        </w:rPr>
        <w:t xml:space="preserve">. </w:t>
      </w:r>
    </w:p>
    <w:p w14:paraId="6D36832D" w14:textId="77777777" w:rsidR="00F21079" w:rsidRPr="00F21079" w:rsidRDefault="00F21079" w:rsidP="00F21079"/>
    <w:p w14:paraId="5133EF74" w14:textId="7FF0B6DC" w:rsidR="00F21079" w:rsidRDefault="00F21079" w:rsidP="00F21079">
      <w:pPr>
        <w:pStyle w:val="Heading2"/>
        <w:rPr>
          <w:rFonts w:ascii="Arial" w:hAnsi="Arial" w:cs="Arial"/>
          <w:sz w:val="28"/>
          <w:szCs w:val="28"/>
        </w:rPr>
      </w:pPr>
      <w:bookmarkStart w:id="5" w:name="_Toc230298437"/>
      <w:r w:rsidRPr="00F21079">
        <w:rPr>
          <w:rFonts w:ascii="Arial" w:hAnsi="Arial" w:cs="Arial"/>
          <w:sz w:val="28"/>
          <w:szCs w:val="28"/>
        </w:rPr>
        <w:t>Supply Chain</w:t>
      </w:r>
      <w:bookmarkEnd w:id="5"/>
    </w:p>
    <w:p w14:paraId="1A1EF1CE" w14:textId="1F03B8D8" w:rsidR="00F21079" w:rsidRPr="003E7DE6" w:rsidRDefault="00F21079" w:rsidP="00F21079">
      <w:pPr>
        <w:jc w:val="both"/>
        <w:rPr>
          <w:rFonts w:ascii="Arial" w:hAnsi="Arial" w:cs="Arial"/>
          <w:color w:val="000000" w:themeColor="text1"/>
        </w:rPr>
      </w:pPr>
      <w:r w:rsidRPr="003E7DE6">
        <w:rPr>
          <w:rFonts w:ascii="Arial" w:hAnsi="Arial" w:cs="Arial"/>
          <w:color w:val="000000" w:themeColor="text1"/>
        </w:rPr>
        <w:t>A supply chain attack is when hackers don’t target a company directly but instead attack a trusted third-party supplier or software that the company uses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{"citationItems":[{"id":"ITEM-1","itemData":{"author":[{"dropping-particle":"","family":"Miller","given":"John F","non-dropping-particle":"","parse-names":false,"suffix":""}],"id":"ITEM-1","issue":"December 2013","issued":{"date-parts":[["0"]]},"title":"Supply Chain Attack Framework and Attack Patterns","type":"article-journal","volume":"7013"},"uris":["http://www.mendeley.com/documents/?uuid=98ea5df7-5439-4b71-96e3-63fb772d9128"]}],"mendeley":{"formattedCitation":"[4]","plainTextFormattedCitation":"[4]","previouslyFormattedCitation":"[4]"},"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[4]</w:t>
      </w:r>
      <w:r>
        <w:rPr>
          <w:rFonts w:ascii="Arial" w:hAnsi="Arial" w:cs="Arial"/>
          <w:color w:val="000000" w:themeColor="text1"/>
        </w:rPr>
        <w:fldChar w:fldCharType="end"/>
      </w:r>
      <w:r w:rsidRPr="003E7DE6">
        <w:rPr>
          <w:rFonts w:ascii="Arial" w:hAnsi="Arial" w:cs="Arial"/>
          <w:color w:val="000000" w:themeColor="text1"/>
        </w:rPr>
        <w:t xml:space="preserve">. Even secure </w:t>
      </w:r>
      <w:r w:rsidRPr="003E7DE6">
        <w:rPr>
          <w:rFonts w:ascii="Arial" w:hAnsi="Arial" w:cs="Arial"/>
          <w:color w:val="000000" w:themeColor="text1"/>
        </w:rPr>
        <w:lastRenderedPageBreak/>
        <w:t>organisations were affected because the weakness was in a trusted supplier, or sensitive data (like employee or customer info) can be stolen</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{"citationItems":[{"id":"ITEM-1","itemData":{"author":[{"dropping-particle":"","family":"Miller","given":"John F","non-dropping-particle":"","parse-names":false,"suffix":""}],"id":"ITEM-1","issue":"December 2013","issued":{"date-parts":[["0"]]},"title":"Supply Chain Attack Framework and Attack Patterns","type":"article-journal","volume":"7013"},"uris":["http://www.mendeley.com/documents/?uuid=98ea5df7-5439-4b71-96e3-63fb772d9128"]}],"mendeley":{"formattedCitation":"[4]","plainTextFormattedCitation":"[4]","previouslyFormattedCitation":"[4]"},"properties":{"noteIndex":0},"schema":"https://github.com/citation-style-language/schema/raw/master/csl-citation.json"}</w:instrText>
      </w:r>
      <w:r>
        <w:rPr>
          <w:rFonts w:ascii="Arial" w:hAnsi="Arial" w:cs="Arial"/>
          <w:color w:val="000000" w:themeColor="text1"/>
        </w:rPr>
        <w:fldChar w:fldCharType="separate"/>
      </w:r>
      <w:r w:rsidRPr="00760143">
        <w:rPr>
          <w:rFonts w:ascii="Arial" w:hAnsi="Arial" w:cs="Arial"/>
          <w:noProof/>
          <w:color w:val="000000" w:themeColor="text1"/>
        </w:rPr>
        <w:t>[4]</w:t>
      </w:r>
      <w:r>
        <w:rPr>
          <w:rFonts w:ascii="Arial" w:hAnsi="Arial" w:cs="Arial"/>
          <w:color w:val="000000" w:themeColor="text1"/>
        </w:rPr>
        <w:fldChar w:fldCharType="end"/>
      </w:r>
      <w:r w:rsidRPr="003E7DE6">
        <w:rPr>
          <w:rFonts w:ascii="Arial" w:hAnsi="Arial" w:cs="Arial"/>
          <w:color w:val="000000" w:themeColor="text1"/>
        </w:rPr>
        <w:t>.</w:t>
      </w:r>
    </w:p>
    <w:p w14:paraId="1C0CA6B5" w14:textId="77777777" w:rsidR="00F21079" w:rsidRPr="00F21079" w:rsidRDefault="00F21079" w:rsidP="00F21079"/>
    <w:p w14:paraId="4433614D" w14:textId="1D651927" w:rsidR="00F21079" w:rsidRPr="00F21079" w:rsidRDefault="00F21079" w:rsidP="00F21079">
      <w:pPr>
        <w:pStyle w:val="Heading2"/>
        <w:rPr>
          <w:rFonts w:ascii="Arial" w:hAnsi="Arial" w:cs="Arial"/>
          <w:sz w:val="28"/>
          <w:szCs w:val="28"/>
        </w:rPr>
      </w:pPr>
      <w:bookmarkStart w:id="6" w:name="_Toc230298438"/>
      <w:r w:rsidRPr="00F21079">
        <w:rPr>
          <w:rFonts w:ascii="Arial" w:hAnsi="Arial" w:cs="Arial"/>
          <w:sz w:val="28"/>
          <w:szCs w:val="28"/>
        </w:rPr>
        <w:t>Cloud Misconfiguration and Hybrid Work Surface</w:t>
      </w:r>
      <w:bookmarkEnd w:id="6"/>
    </w:p>
    <w:p w14:paraId="0EE4B78B" w14:textId="202BE5C5" w:rsidR="00F21079" w:rsidRPr="003E7DE6" w:rsidRDefault="00F21079" w:rsidP="00F21079">
      <w:pPr>
        <w:jc w:val="both"/>
        <w:rPr>
          <w:rFonts w:ascii="Arial" w:hAnsi="Arial" w:cs="Arial"/>
          <w:color w:val="000000" w:themeColor="text1"/>
        </w:rPr>
      </w:pPr>
      <w:r>
        <w:rPr>
          <w:rFonts w:ascii="Arial" w:hAnsi="Arial" w:cs="Arial"/>
          <w:color w:val="000000" w:themeColor="text1"/>
        </w:rPr>
        <w:t>A</w:t>
      </w:r>
      <w:r w:rsidRPr="003E7DE6">
        <w:rPr>
          <w:rFonts w:ascii="Arial" w:hAnsi="Arial" w:cs="Arial"/>
          <w:color w:val="000000" w:themeColor="text1"/>
        </w:rPr>
        <w:t xml:space="preserve"> cloud misconfiguration happens when cloud services (like storage, databases or permissions) are set up incorrectly, leaving data exposed or systems vulnerable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 xml:space="preserve">. Common examples include publicly accessible storage, weak access controls and </w:t>
      </w:r>
      <w:r>
        <w:rPr>
          <w:rFonts w:ascii="Arial" w:hAnsi="Arial" w:cs="Arial"/>
          <w:color w:val="000000" w:themeColor="text1"/>
        </w:rPr>
        <w:t xml:space="preserve">unsecure </w:t>
      </w:r>
      <w:r w:rsidRPr="003E7DE6">
        <w:rPr>
          <w:rFonts w:ascii="Arial" w:hAnsi="Arial" w:cs="Arial"/>
          <w:color w:val="000000" w:themeColor="text1"/>
        </w:rPr>
        <w:t>default settings. Hybrid work attack surface refers to increased number of entry points for cyberattacks when people work both remotely and in the office</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 xml:space="preserve">. This includes home networks and personal devices, </w:t>
      </w:r>
      <w:r w:rsidR="00660FCC">
        <w:rPr>
          <w:rFonts w:ascii="Arial" w:hAnsi="Arial" w:cs="Arial"/>
          <w:color w:val="000000" w:themeColor="text1"/>
        </w:rPr>
        <w:t>VPNS</w:t>
      </w:r>
      <w:r w:rsidRPr="003E7DE6">
        <w:rPr>
          <w:rFonts w:ascii="Arial" w:hAnsi="Arial" w:cs="Arial"/>
          <w:color w:val="000000" w:themeColor="text1"/>
        </w:rPr>
        <w:t xml:space="preserve"> and remote access tools, cloud apps and collaboration platforms</w:t>
      </w:r>
      <w:r>
        <w:rPr>
          <w:rFonts w:ascii="Arial" w:hAnsi="Arial" w:cs="Arial"/>
          <w:color w:val="000000" w:themeColor="text1"/>
        </w:rPr>
        <w:t xml:space="preserve"> </w:t>
      </w:r>
      <w:r>
        <w:rPr>
          <w:rFonts w:ascii="Arial" w:hAnsi="Arial" w:cs="Arial"/>
          <w:color w:val="000000" w:themeColor="text1"/>
        </w:rPr>
        <w:fldChar w:fldCharType="begin" w:fldLock="1"/>
      </w:r>
      <w:r>
        <w:rPr>
          <w:rFonts w:ascii="Arial" w:hAnsi="Arial" w:cs="Arial"/>
          <w:color w:val="000000" w:themeColor="text1"/>
        </w:rPr>
        <w:instrText>ADDIN CSL_CITATION {"citationItems":[{"id":"ITEM-1","itemData":{"ISBN":"9798369371398","author":[{"dropping-particle":"","family":"Miniakshi","given":"","non-dropping-particle":"","parse-names":false,"suffix":""},{"dropping-particle":"","family":"Kumar","given":"Tarun","non-dropping-particle":"","parse-names":false,"suffix":""}],"editor":[{"dropping-particle":"","family":"Minakshi","given":"Tarun Kumar","non-dropping-particle":"","parse-names":false,"suffix":""}],"id":"ITEM-1","issued":{"date-parts":[["2025"]]},"number-of-pages":"482","publisher":"IGI Global Scientific Publishing","title":"Risk-Based Approach to Secure Cloud Migration","type":"book"},"uris":["http://www.mendeley.com/documents/?uuid=ecb44216-424f-4873-9599-f9a918277622"]}],"mendeley":{"formattedCitation":"[5]","plainTextFormattedCitation":"[5]","previouslyFormattedCitation":"[5]"},"properties":{"noteIndex":0},"schema":"https://github.com/citation-style-language/schema/raw/master/csl-citation.json"}</w:instrText>
      </w:r>
      <w:r>
        <w:rPr>
          <w:rFonts w:ascii="Arial" w:hAnsi="Arial" w:cs="Arial"/>
          <w:color w:val="000000" w:themeColor="text1"/>
        </w:rPr>
        <w:fldChar w:fldCharType="separate"/>
      </w:r>
      <w:r w:rsidRPr="00425B40">
        <w:rPr>
          <w:rFonts w:ascii="Arial" w:hAnsi="Arial" w:cs="Arial"/>
          <w:noProof/>
          <w:color w:val="000000" w:themeColor="text1"/>
        </w:rPr>
        <w:t>[5]</w:t>
      </w:r>
      <w:r>
        <w:rPr>
          <w:rFonts w:ascii="Arial" w:hAnsi="Arial" w:cs="Arial"/>
          <w:color w:val="000000" w:themeColor="text1"/>
        </w:rPr>
        <w:fldChar w:fldCharType="end"/>
      </w:r>
      <w:r w:rsidRPr="003E7DE6">
        <w:rPr>
          <w:rFonts w:ascii="Arial" w:hAnsi="Arial" w:cs="Arial"/>
          <w:color w:val="000000" w:themeColor="text1"/>
        </w:rPr>
        <w:t>.</w:t>
      </w:r>
    </w:p>
    <w:p w14:paraId="13DA9A45" w14:textId="77777777" w:rsidR="00F21079" w:rsidRPr="00F21079" w:rsidRDefault="00F21079" w:rsidP="00F21079"/>
    <w:p w14:paraId="3C7D8172" w14:textId="62116571" w:rsidR="00F21079" w:rsidRDefault="00F21079" w:rsidP="00F21079">
      <w:pPr>
        <w:pStyle w:val="Heading1"/>
        <w:rPr>
          <w:rFonts w:ascii="Arial" w:hAnsi="Arial" w:cs="Arial"/>
          <w:sz w:val="32"/>
          <w:szCs w:val="32"/>
        </w:rPr>
      </w:pPr>
      <w:bookmarkStart w:id="7" w:name="_Toc230298439"/>
      <w:r w:rsidRPr="003E7DE6">
        <w:rPr>
          <w:rFonts w:ascii="Arial" w:hAnsi="Arial" w:cs="Arial"/>
          <w:b/>
          <w:bCs/>
          <w:noProof/>
          <w:sz w:val="24"/>
          <w:szCs w:val="24"/>
        </w:rPr>
        <w:drawing>
          <wp:anchor distT="0" distB="0" distL="114300" distR="114300" simplePos="0" relativeHeight="251663360" behindDoc="0" locked="0" layoutInCell="1" allowOverlap="1" wp14:anchorId="716A5DA8" wp14:editId="280A95D9">
            <wp:simplePos x="0" y="0"/>
            <wp:positionH relativeFrom="column">
              <wp:posOffset>67310</wp:posOffset>
            </wp:positionH>
            <wp:positionV relativeFrom="paragraph">
              <wp:posOffset>606425</wp:posOffset>
            </wp:positionV>
            <wp:extent cx="5731510" cy="2084705"/>
            <wp:effectExtent l="0" t="0" r="2540" b="0"/>
            <wp:wrapTopAndBottom/>
            <wp:docPr id="928931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931067"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2084705"/>
                    </a:xfrm>
                    <a:prstGeom prst="rect">
                      <a:avLst/>
                    </a:prstGeom>
                  </pic:spPr>
                </pic:pic>
              </a:graphicData>
            </a:graphic>
          </wp:anchor>
        </w:drawing>
      </w:r>
      <w:r w:rsidRPr="00F21079">
        <w:rPr>
          <w:rFonts w:ascii="Arial" w:hAnsi="Arial" w:cs="Arial"/>
          <w:sz w:val="32"/>
          <w:szCs w:val="32"/>
        </w:rPr>
        <w:t>Zero-Trust Policies</w:t>
      </w:r>
      <w:bookmarkEnd w:id="7"/>
    </w:p>
    <w:p w14:paraId="007D9986" w14:textId="77777777" w:rsidR="00F21079" w:rsidRPr="00F21079" w:rsidRDefault="00F21079" w:rsidP="00F21079">
      <w:pPr>
        <w:jc w:val="both"/>
        <w:rPr>
          <w:rFonts w:ascii="Arial" w:hAnsi="Arial" w:cs="Arial"/>
          <w:b/>
          <w:bCs/>
          <w:i/>
          <w:iCs/>
        </w:rPr>
      </w:pPr>
      <w:r w:rsidRPr="00F21079">
        <w:rPr>
          <w:rFonts w:ascii="Arial" w:hAnsi="Arial" w:cs="Arial"/>
          <w:b/>
          <w:bCs/>
          <w:i/>
          <w:iCs/>
        </w:rPr>
        <w:t xml:space="preserve">Figure 1: Zero Trust Diagram </w:t>
      </w:r>
      <w:r w:rsidRPr="00F21079">
        <w:rPr>
          <w:rFonts w:ascii="Arial" w:hAnsi="Arial" w:cs="Arial"/>
          <w:b/>
          <w:bCs/>
          <w:i/>
          <w:iCs/>
        </w:rPr>
        <w:fldChar w:fldCharType="begin" w:fldLock="1"/>
      </w:r>
      <w:r w:rsidRPr="00F21079">
        <w:rPr>
          <w:rFonts w:ascii="Arial" w:hAnsi="Arial" w:cs="Arial"/>
          <w:b/>
          <w:bCs/>
          <w:i/>
          <w:iCs/>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b/>
          <w:bCs/>
          <w:i/>
          <w:iCs/>
        </w:rPr>
        <w:fldChar w:fldCharType="separate"/>
      </w:r>
      <w:r w:rsidRPr="00F21079">
        <w:rPr>
          <w:rFonts w:ascii="Arial" w:hAnsi="Arial" w:cs="Arial"/>
          <w:bCs/>
          <w:i/>
          <w:iCs/>
          <w:noProof/>
        </w:rPr>
        <w:t>[6]</w:t>
      </w:r>
      <w:r w:rsidRPr="00F21079">
        <w:rPr>
          <w:rFonts w:ascii="Arial" w:hAnsi="Arial" w:cs="Arial"/>
          <w:b/>
          <w:bCs/>
          <w:i/>
          <w:iCs/>
        </w:rPr>
        <w:fldChar w:fldCharType="end"/>
      </w:r>
    </w:p>
    <w:p w14:paraId="49D22817" w14:textId="7FC9215A" w:rsidR="00F21079" w:rsidRPr="00F21079" w:rsidRDefault="00F21079" w:rsidP="00F21079"/>
    <w:p w14:paraId="5BABEE0E" w14:textId="4CCF872F" w:rsidR="00F21079" w:rsidRDefault="00F21079" w:rsidP="00F21079">
      <w:pPr>
        <w:pStyle w:val="Heading2"/>
        <w:rPr>
          <w:rFonts w:ascii="Arial" w:hAnsi="Arial" w:cs="Arial"/>
          <w:sz w:val="28"/>
          <w:szCs w:val="28"/>
        </w:rPr>
      </w:pPr>
      <w:bookmarkStart w:id="8" w:name="_Toc230298440"/>
      <w:r w:rsidRPr="00F21079">
        <w:rPr>
          <w:rFonts w:ascii="Arial" w:hAnsi="Arial" w:cs="Arial"/>
          <w:sz w:val="28"/>
          <w:szCs w:val="28"/>
        </w:rPr>
        <w:t>Multi-Factor Authentication (MFA)</w:t>
      </w:r>
      <w:bookmarkEnd w:id="8"/>
    </w:p>
    <w:p w14:paraId="7564C09C" w14:textId="48A43D25" w:rsidR="00F21079" w:rsidRPr="00F21079" w:rsidRDefault="00F21079" w:rsidP="00F21079">
      <w:pPr>
        <w:jc w:val="both"/>
        <w:rPr>
          <w:rFonts w:ascii="Arial" w:hAnsi="Arial" w:cs="Arial"/>
        </w:rPr>
      </w:pPr>
      <w:r w:rsidRPr="00F21079">
        <w:rPr>
          <w:rFonts w:ascii="Arial" w:hAnsi="Arial" w:cs="Arial"/>
        </w:rPr>
        <w:t xml:space="preserve">MFA and least privilege access support the Zero trust policies of “Verify Explicitly” and “Use least privilege access” </w:t>
      </w:r>
      <w:r w:rsidRPr="00F21079">
        <w:rPr>
          <w:rFonts w:ascii="Arial" w:hAnsi="Arial" w:cs="Arial"/>
        </w:rPr>
        <w:fldChar w:fldCharType="begin" w:fldLock="1"/>
      </w:r>
      <w:r w:rsidRPr="00F21079">
        <w:rPr>
          <w:rFonts w:ascii="Arial" w:hAnsi="Arial" w:cs="Arial"/>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[7]</w:t>
      </w:r>
      <w:r w:rsidRPr="00F21079">
        <w:rPr>
          <w:rFonts w:ascii="Arial" w:hAnsi="Arial" w:cs="Arial"/>
        </w:rPr>
        <w:fldChar w:fldCharType="end"/>
      </w:r>
      <w:r w:rsidRPr="00F21079">
        <w:rPr>
          <w:rFonts w:ascii="Arial" w:hAnsi="Arial" w:cs="Arial"/>
        </w:rPr>
        <w:t xml:space="preserve"> . MFA requires users to verify their identity using multiple authentication methods, such as a password and an authentication code which reduces the risk of unauthorised access </w:t>
      </w:r>
      <w:r w:rsidRPr="00F21079">
        <w:rPr>
          <w:rFonts w:ascii="Arial" w:hAnsi="Arial" w:cs="Arial"/>
        </w:rPr>
        <w:fldChar w:fldCharType="begin" w:fldLock="1"/>
      </w:r>
      <w:r w:rsidRPr="00F21079">
        <w:rPr>
          <w:rFonts w:ascii="Arial" w:hAnsi="Arial" w:cs="Arial"/>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[7]</w:t>
      </w:r>
      <w:r w:rsidRPr="00F21079">
        <w:rPr>
          <w:rFonts w:ascii="Arial" w:hAnsi="Arial" w:cs="Arial"/>
        </w:rPr>
        <w:fldChar w:fldCharType="end"/>
      </w:r>
      <w:r w:rsidRPr="00F21079">
        <w:rPr>
          <w:rFonts w:ascii="Arial" w:hAnsi="Arial" w:cs="Arial"/>
        </w:rPr>
        <w:t>. Least privilege ensures users only receive the minimum level of access necessary to perform their job rol</w:t>
      </w:r>
      <w:r w:rsidR="00660FCC">
        <w:rPr>
          <w:rFonts w:ascii="Arial" w:hAnsi="Arial" w:cs="Arial"/>
        </w:rPr>
        <w:t>e</w:t>
      </w:r>
      <w:r w:rsidRPr="00F21079">
        <w:rPr>
          <w:rFonts w:ascii="Arial" w:hAnsi="Arial" w:cs="Arial"/>
        </w:rPr>
        <w:t xml:space="preserve">, limiting the damage that can occur if an account is compromised. This policy aligns with NIST CSF PR.AC-1 which focuses on managing and verifying identity and credentials securely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3E61D80B" w14:textId="77777777" w:rsidR="00F21079" w:rsidRPr="00F21079" w:rsidRDefault="00F21079" w:rsidP="00F21079"/>
    <w:p w14:paraId="26EE7260" w14:textId="3016EAEC" w:rsidR="00F21079" w:rsidRDefault="00F21079" w:rsidP="00F21079">
      <w:pPr>
        <w:pStyle w:val="Heading2"/>
        <w:rPr>
          <w:rFonts w:ascii="Arial" w:hAnsi="Arial" w:cs="Arial"/>
          <w:sz w:val="28"/>
          <w:szCs w:val="28"/>
        </w:rPr>
      </w:pPr>
      <w:bookmarkStart w:id="9" w:name="_Toc230298441"/>
      <w:r w:rsidRPr="00F21079">
        <w:rPr>
          <w:rFonts w:ascii="Arial" w:hAnsi="Arial" w:cs="Arial"/>
          <w:sz w:val="28"/>
          <w:szCs w:val="28"/>
        </w:rPr>
        <w:lastRenderedPageBreak/>
        <w:t>Device Health</w:t>
      </w:r>
      <w:bookmarkEnd w:id="9"/>
    </w:p>
    <w:p w14:paraId="4817DC99" w14:textId="44732412" w:rsidR="00F21079" w:rsidRDefault="00F21079" w:rsidP="00F21079">
      <w:pPr>
        <w:jc w:val="both"/>
        <w:rPr>
          <w:rFonts w:ascii="Arial" w:hAnsi="Arial" w:cs="Arial"/>
        </w:rPr>
      </w:pPr>
      <w:r w:rsidRPr="00F21079">
        <w:rPr>
          <w:rFonts w:ascii="Arial" w:hAnsi="Arial" w:cs="Arial"/>
        </w:rPr>
        <w:t>Device health verification before access supports the zero-trust policy of “Verify Explicitly” and “Assume Breach” [8]. Before a device is granted access to organisational systems its security health is checked to ensure it meets the requirements such as updated software, active antivirus protection and device encryption [8]. Zero trust assumes devices may already be compromised so access is only granted to compliant and secure devices. This control aligns with NIST CSF PR.AC-3 [6] and ISO 27001 a.9 which focuses on secure access control and managing remote access securely [9].</w:t>
      </w:r>
    </w:p>
    <w:p w14:paraId="415765AA" w14:textId="77777777" w:rsidR="00F21079" w:rsidRPr="00F21079" w:rsidRDefault="00F21079" w:rsidP="00F21079">
      <w:pPr>
        <w:jc w:val="both"/>
        <w:rPr>
          <w:rFonts w:ascii="Arial" w:hAnsi="Arial" w:cs="Arial"/>
        </w:rPr>
      </w:pPr>
    </w:p>
    <w:p w14:paraId="67260759" w14:textId="47990B29" w:rsidR="00F21079" w:rsidRDefault="00F21079" w:rsidP="00F21079">
      <w:pPr>
        <w:pStyle w:val="Heading2"/>
        <w:rPr>
          <w:rFonts w:ascii="Arial" w:hAnsi="Arial" w:cs="Arial"/>
          <w:sz w:val="28"/>
          <w:szCs w:val="28"/>
        </w:rPr>
      </w:pPr>
      <w:bookmarkStart w:id="10" w:name="_Toc230298442"/>
      <w:r w:rsidRPr="00F21079">
        <w:rPr>
          <w:rFonts w:ascii="Arial" w:hAnsi="Arial" w:cs="Arial"/>
          <w:sz w:val="28"/>
          <w:szCs w:val="28"/>
        </w:rPr>
        <w:t>Network Micro-Segmentation</w:t>
      </w:r>
      <w:bookmarkEnd w:id="10"/>
    </w:p>
    <w:p w14:paraId="621848BE" w14:textId="675AD84B" w:rsidR="00F21079" w:rsidRPr="00F21079" w:rsidRDefault="00F21079" w:rsidP="00F21079">
      <w:pPr>
        <w:jc w:val="both"/>
        <w:rPr>
          <w:rFonts w:ascii="Arial" w:hAnsi="Arial" w:cs="Arial"/>
        </w:rPr>
      </w:pPr>
      <w:r w:rsidRPr="00F21079">
        <w:rPr>
          <w:rFonts w:ascii="Arial" w:hAnsi="Arial" w:cs="Arial"/>
        </w:rPr>
        <w:t xml:space="preserve">Network micro-segmentation supports the Zero Trust principle “Assume Breach”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Micro-segmentation divides a network into smaller isolated sections to prevent attackers from moving laterally across systems after gaining access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This approach is particularly effective against ransomware because infections can be contained within a single network segment rather than spreading throughout the entire organisation </w:t>
      </w:r>
      <w:r w:rsidRPr="00F21079">
        <w:rPr>
          <w:rFonts w:ascii="Arial" w:hAnsi="Arial" w:cs="Arial"/>
        </w:rPr>
        <w:fldChar w:fldCharType="begin" w:fldLock="1"/>
      </w:r>
      <w:r>
        <w:rPr>
          <w:rFonts w:ascii="Arial" w:hAnsi="Arial" w:cs="Arial"/>
        </w:rPr>
        <w:instrText>ADDIN CSL_CITATION {"citationItems":[{"id":"ITEM-1","itemData":{"abstract":"This document is marked TLP:CLEAR. Recipients may share this information without restriction. Information is subject to standard copyright rules. For more information on the Traffic Light Protocol, see https://www.cisa.gov/tlp.","author":[{"dropping-particle":"","family":"Cisa","given":"","non-dropping-particle":"","parse-names":false,"suffix":""}],"id":"ITEM-1","issued":{"date-parts":[["2025"]]},"title":"The Journey to Zero Trust: Microsegmentation in Zero Trust Part One: Introduction and Planning","type":"article-journal"},"uris":["http://www.mendeley.com/documents/?uuid=0606904e-b62b-4777-acee-0bae397bc520"]}],"mendeley":{"formattedCitation":"[8]","plainTextFormattedCitation":"[8]","previouslyFormattedCitation":"[10]"},"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[8]</w:t>
      </w:r>
      <w:r w:rsidRPr="00F21079">
        <w:rPr>
          <w:rFonts w:ascii="Arial" w:hAnsi="Arial" w:cs="Arial"/>
        </w:rPr>
        <w:fldChar w:fldCharType="end"/>
      </w:r>
      <w:r w:rsidRPr="00F21079">
        <w:rPr>
          <w:rFonts w:ascii="Arial" w:hAnsi="Arial" w:cs="Arial"/>
        </w:rPr>
        <w:t xml:space="preserve">. This policy aligns with the NIST CSF PR.AC-5 which focuses on protecting network integrity and controlling network communications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55943EA2" w14:textId="77777777" w:rsidR="00F21079" w:rsidRPr="00F21079" w:rsidRDefault="00F21079" w:rsidP="00F21079"/>
    <w:p w14:paraId="2AFAD342" w14:textId="3A804AA5" w:rsidR="00F21079" w:rsidRDefault="00F21079" w:rsidP="00F21079">
      <w:pPr>
        <w:pStyle w:val="Heading2"/>
        <w:rPr>
          <w:rFonts w:ascii="Arial" w:hAnsi="Arial" w:cs="Arial"/>
          <w:sz w:val="28"/>
          <w:szCs w:val="28"/>
        </w:rPr>
      </w:pPr>
      <w:bookmarkStart w:id="11" w:name="_Toc230298443"/>
      <w:r w:rsidRPr="00F21079">
        <w:rPr>
          <w:rFonts w:ascii="Arial" w:hAnsi="Arial" w:cs="Arial"/>
          <w:sz w:val="28"/>
          <w:szCs w:val="28"/>
        </w:rPr>
        <w:t>Data Classification and Data Loss Prevention (DLP)</w:t>
      </w:r>
      <w:bookmarkEnd w:id="11"/>
    </w:p>
    <w:p w14:paraId="67A45D7C" w14:textId="0B5DB94C" w:rsidR="00F21079" w:rsidRPr="00F21079" w:rsidRDefault="00F21079" w:rsidP="00F21079">
      <w:pPr>
        <w:jc w:val="both"/>
        <w:rPr>
          <w:rFonts w:ascii="Arial" w:hAnsi="Arial" w:cs="Arial"/>
        </w:rPr>
      </w:pPr>
      <w:r w:rsidRPr="00F21079">
        <w:rPr>
          <w:rFonts w:ascii="Arial" w:hAnsi="Arial" w:cs="Arial"/>
        </w:rPr>
        <w:t xml:space="preserve">DLP supports the zero-trust principle of “protect critical assets”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Data classification identifies information based on sensitivity levels such as “public, confidential or highly confidential” while DLP technologies monitor and prevent unauthorised sharing or leakage of sensitive information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These controls help organisations prioritise the protection of critical data assets and reduce the risk of data breaches </w:t>
      </w:r>
      <w:r w:rsidRPr="00F21079">
        <w:rPr>
          <w:rFonts w:ascii="Arial" w:hAnsi="Arial" w:cs="Arial"/>
        </w:rPr>
        <w:fldChar w:fldCharType="begin" w:fldLock="1"/>
      </w:r>
      <w:r>
        <w:rPr>
          <w:rFonts w:ascii="Arial" w:hAnsi="Arial" w:cs="Arial"/>
        </w:rPr>
        <w:instrText>ADDIN CSL_CITATION {"citationItems":[{"id":"ITEM-1","itemData":{"URL":"https://www.microsoft.com/en-us/security/business/security-101/what-is-data-loss-prevention-dlp","author":[{"dropping-particle":"","family":"Microsoft Security","given":"","non-dropping-particle":"","parse-names":false,"suffix":""}],"container-title":"Microsoft Security","id":"ITEM-1","issued":{"date-parts":[["0"]]},"title":"What is data loss prevention (DLP)?","type":"webpage"},"uris":["http://www.mendeley.com/documents/?uuid=3bdf89a0-daef-3fb9-9188-b9d6ce30928a"]}],"mendeley":{"formattedCitation":"[9]","plainTextFormattedCitation":"[9]","previouslyFormattedCitation":"[11]"},"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[9]</w:t>
      </w:r>
      <w:r w:rsidRPr="00F21079">
        <w:rPr>
          <w:rFonts w:ascii="Arial" w:hAnsi="Arial" w:cs="Arial"/>
        </w:rPr>
        <w:fldChar w:fldCharType="end"/>
      </w:r>
      <w:r w:rsidRPr="00F21079">
        <w:rPr>
          <w:rFonts w:ascii="Arial" w:hAnsi="Arial" w:cs="Arial"/>
        </w:rPr>
        <w:t xml:space="preserve">. This policy aligns with the ISO 27001 A.8 which focuses on information classification and asset management </w:t>
      </w:r>
      <w:r w:rsidRPr="00F21079">
        <w:rPr>
          <w:rFonts w:ascii="Arial" w:hAnsi="Arial" w:cs="Arial"/>
        </w:rPr>
        <w:fldChar w:fldCharType="begin" w:fldLock="1"/>
      </w:r>
      <w:r>
        <w:rPr>
          <w:rFonts w:ascii="Arial" w:hAnsi="Arial" w:cs="Arial"/>
        </w:rPr>
        <w:instrText>ADDIN CSL_CITATION {"citationItems":[{"id":"ITEM-1","itemData":{"author":[{"dropping-particle":"","family":"International Organization for Standardization","given":"","non-dropping-particle":"","parse-names":false,"suffix":""}],"id":"ITEM-1","issued":{"date-parts":[["2002"]]},"title":"ISO/IEC 27001:2022 Information Security Management Systems","type":"report"},"uris":["http://www.mendeley.com/documents/?uuid=2b687884-f8e7-4fd6-94e5-7acb4918fa82"]}],"mendeley":{"formattedCitation":"[10]","plainTextFormattedCitation":"[10]","previouslyFormattedCitation":"[9]"},"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[10]</w:t>
      </w:r>
      <w:r w:rsidRPr="00F21079">
        <w:rPr>
          <w:rFonts w:ascii="Arial" w:hAnsi="Arial" w:cs="Arial"/>
        </w:rPr>
        <w:fldChar w:fldCharType="end"/>
      </w:r>
      <w:r w:rsidRPr="00F21079">
        <w:rPr>
          <w:rFonts w:ascii="Arial" w:hAnsi="Arial" w:cs="Arial"/>
        </w:rPr>
        <w:t>.</w:t>
      </w:r>
    </w:p>
    <w:p w14:paraId="106DE2C6" w14:textId="77777777" w:rsidR="00F21079" w:rsidRPr="00F21079" w:rsidRDefault="00F21079" w:rsidP="00F21079"/>
    <w:p w14:paraId="645BC9B8" w14:textId="5F12B79F" w:rsidR="00F21079" w:rsidRDefault="00F21079" w:rsidP="00F21079">
      <w:pPr>
        <w:pStyle w:val="Heading2"/>
        <w:rPr>
          <w:rFonts w:ascii="Arial" w:hAnsi="Arial" w:cs="Arial"/>
          <w:sz w:val="28"/>
          <w:szCs w:val="28"/>
        </w:rPr>
      </w:pPr>
      <w:bookmarkStart w:id="12" w:name="_Toc230298444"/>
      <w:r w:rsidRPr="00F21079">
        <w:rPr>
          <w:rFonts w:ascii="Arial" w:hAnsi="Arial" w:cs="Arial"/>
          <w:sz w:val="28"/>
          <w:szCs w:val="28"/>
        </w:rPr>
        <w:t>Cloud Security Posture Management (CSPM)</w:t>
      </w:r>
      <w:bookmarkEnd w:id="12"/>
    </w:p>
    <w:p w14:paraId="08CEC498" w14:textId="5BB2FB65" w:rsidR="00F21079" w:rsidRPr="00F21079" w:rsidRDefault="00F21079" w:rsidP="00F21079">
      <w:pPr>
        <w:jc w:val="both"/>
        <w:rPr>
          <w:rFonts w:ascii="Arial" w:hAnsi="Arial" w:cs="Arial"/>
        </w:rPr>
      </w:pPr>
      <w:r w:rsidRPr="00F21079">
        <w:rPr>
          <w:rFonts w:ascii="Arial" w:hAnsi="Arial" w:cs="Arial"/>
        </w:rPr>
        <w:t xml:space="preserve">CSPM supports the zero-trust principle of “continuous monitoring and verification”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CSPM tools continuously scan cloud environments for security misconfigurations, compliance violations and excessive permissions that could expose systems to attacks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Since zero trust requires ongoing verification rather than one-time trust, CSPM helps organisations maintain secure cloud infrastructure through continuous monitoring </w:t>
      </w:r>
      <w:r w:rsidRPr="00F21079">
        <w:rPr>
          <w:rFonts w:ascii="Arial" w:hAnsi="Arial" w:cs="Arial"/>
        </w:rPr>
        <w:fldChar w:fldCharType="begin" w:fldLock="1"/>
      </w:r>
      <w:r>
        <w:rPr>
          <w:rFonts w:ascii="Arial" w:hAnsi="Arial" w:cs="Arial"/>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[11]</w:t>
      </w:r>
      <w:r w:rsidRPr="00F21079">
        <w:rPr>
          <w:rFonts w:ascii="Arial" w:hAnsi="Arial" w:cs="Arial"/>
        </w:rPr>
        <w:fldChar w:fldCharType="end"/>
      </w:r>
      <w:r w:rsidRPr="00F21079">
        <w:rPr>
          <w:rFonts w:ascii="Arial" w:hAnsi="Arial" w:cs="Arial"/>
        </w:rPr>
        <w:t xml:space="preserve">. This control aligns with NIST CSF DE.CM-1 which focuses on continuous monitoring of systems and networks to detect cybersecurity risks </w:t>
      </w:r>
      <w:r w:rsidRPr="00F21079">
        <w:rPr>
          <w:rFonts w:ascii="Arial" w:hAnsi="Arial" w:cs="Arial"/>
        </w:rPr>
        <w:fldChar w:fldCharType="begin" w:fldLock="1"/>
      </w:r>
      <w:r w:rsidRPr="00F21079">
        <w:rPr>
          <w:rFonts w:ascii="Arial" w:hAnsi="Arial" w:cs="Arial"/>
        </w:rPr>
        <w:instrText>ADDIN CSL_CITATION {"citationItems":[{"id":"ITEM-1","itemData":{"abstract":"Zero trust (ZT) is the term for an evolving set of cybersecurity paradigms that move defenses from static, network-based perimeters to focus on users, assets, and resources. A zero trust architecture (ZTA) uses zero trust principles to plan industrial and enterprise infrastructure and workflows. Zero trust assumes there is no implicit trust granted to assets or user accounts based solely on their physical or network location (i.e., local area networks versus the internet) or based on asset ownership (enterprise or personally owned). Authentication and authorization (both subject and device) are discrete functions performed before a session to an enterprise resource is established. Zero trust is a response to enterprise network trends that include remote users, bring your own device (BYOD), and cloud-based assets that are not located within an enterprise-owned network boundary. Zero trust focuses on protecting resources (assets, services, workflows, network accounts, etc.), not network segments, as the network location is no longer seen as the prime component to the security posture of the resource. This document contains an abstract definition of zero trust architecture (ZTA) and gives general deployment models and use cases where zero trust could improve an enterprise’s overall information technology security posture.","author":[{"dropping-particle":"","family":"Rose","given":"Scott","non-dropping-particle":"","parse-names":false,"suffix":""},{"dropping-particle":"","family":"Borchert","given":"Oliver","non-dropping-particle":"","parse-names":false,"suffix":""},{"dropping-particle":"","family":"Mitchell","given":"Stu","non-dropping-particle":"","parse-names":false,"suffix":""},{"dropping-particle":"","family":"Connelly","given":"Sean","non-dropping-particle":"","parse-names":false,"suffix":""}],"container-title":"Nist","id":"ITEM-1","issued":{"date-parts":[["2020"]]},"title":"[NIST SP 800-207] Zero Trust Architecture Technology, National Institute of Standards","type":"article-journal"},"uris":["http://www.mendeley.com/documents/?uuid=a25a14a1-4a04-4339-a032-3cca656b5122"]}],"mendeley":{"formattedCitation":"[6]","plainTextFormattedCitation":"[6]","previouslyFormattedCitation":"[6]"},"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[6]</w:t>
      </w:r>
      <w:r w:rsidRPr="00F21079">
        <w:rPr>
          <w:rFonts w:ascii="Arial" w:hAnsi="Arial" w:cs="Arial"/>
        </w:rPr>
        <w:fldChar w:fldCharType="end"/>
      </w:r>
      <w:r w:rsidRPr="00F21079">
        <w:rPr>
          <w:rFonts w:ascii="Arial" w:hAnsi="Arial" w:cs="Arial"/>
        </w:rPr>
        <w:t>.</w:t>
      </w:r>
    </w:p>
    <w:p w14:paraId="4D2843F0" w14:textId="77777777" w:rsidR="00F21079" w:rsidRPr="00F21079" w:rsidRDefault="00F21079" w:rsidP="00F21079"/>
    <w:p w14:paraId="6C7AE4E1" w14:textId="771D84B5" w:rsidR="00F21079" w:rsidRDefault="00F21079" w:rsidP="00F21079">
      <w:pPr>
        <w:pStyle w:val="Heading2"/>
        <w:rPr>
          <w:rFonts w:ascii="Arial" w:hAnsi="Arial" w:cs="Arial"/>
          <w:sz w:val="28"/>
          <w:szCs w:val="28"/>
        </w:rPr>
      </w:pPr>
      <w:bookmarkStart w:id="13" w:name="_Toc230298445"/>
      <w:r w:rsidRPr="00F21079">
        <w:rPr>
          <w:rFonts w:ascii="Arial" w:hAnsi="Arial" w:cs="Arial"/>
          <w:sz w:val="28"/>
          <w:szCs w:val="28"/>
        </w:rPr>
        <w:lastRenderedPageBreak/>
        <w:t>Third</w:t>
      </w:r>
      <w:r w:rsidR="00660FCC">
        <w:rPr>
          <w:rFonts w:ascii="Arial" w:hAnsi="Arial" w:cs="Arial"/>
          <w:sz w:val="28"/>
          <w:szCs w:val="28"/>
        </w:rPr>
        <w:t>-</w:t>
      </w:r>
      <w:r w:rsidRPr="00F21079">
        <w:rPr>
          <w:rFonts w:ascii="Arial" w:hAnsi="Arial" w:cs="Arial"/>
          <w:sz w:val="28"/>
          <w:szCs w:val="28"/>
        </w:rPr>
        <w:t>Paty and Supply Cain Vetting</w:t>
      </w:r>
      <w:bookmarkEnd w:id="13"/>
    </w:p>
    <w:p w14:paraId="3FB95D68" w14:textId="371426EE" w:rsidR="00F21079" w:rsidRPr="00F21079" w:rsidRDefault="00F21079" w:rsidP="00F21079">
      <w:pPr>
        <w:jc w:val="both"/>
        <w:rPr>
          <w:rFonts w:ascii="Arial" w:hAnsi="Arial" w:cs="Arial"/>
        </w:rPr>
      </w:pPr>
      <w:r w:rsidRPr="00F21079">
        <w:rPr>
          <w:rFonts w:ascii="Arial" w:hAnsi="Arial" w:cs="Arial"/>
        </w:rPr>
        <w:t xml:space="preserve">Third-party and supply chain vetting supports the zero trust principles of “Assume breach” and “verify explicitly”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xml:space="preserve">. Organisations must assess suppliers, contractors and external vendors before granting them access to systems or sensitive information because third parties can introduce significant cybersecurity risks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xml:space="preserve">. Security checks may include compliance reviews, access restrictions and ongoing monitoring of vendor activities </w:t>
      </w:r>
      <w:r w:rsidRPr="00F21079">
        <w:rPr>
          <w:rFonts w:ascii="Arial" w:hAnsi="Arial" w:cs="Arial"/>
        </w:rPr>
        <w:fldChar w:fldCharType="begin" w:fldLock="1"/>
      </w:r>
      <w:r>
        <w:rPr>
          <w:rFonts w:ascii="Arial" w:hAnsi="Arial" w:cs="Arial"/>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[12]</w:t>
      </w:r>
      <w:r w:rsidRPr="00F21079">
        <w:rPr>
          <w:rFonts w:ascii="Arial" w:hAnsi="Arial" w:cs="Arial"/>
        </w:rPr>
        <w:fldChar w:fldCharType="end"/>
      </w:r>
      <w:r w:rsidRPr="00F21079">
        <w:rPr>
          <w:rFonts w:ascii="Arial" w:hAnsi="Arial" w:cs="Arial"/>
        </w:rPr>
        <w:t>. This policy aligns with the NIST SP 800-161, which provides guidance on managing cyber security risks within supply chains and third</w:t>
      </w:r>
      <w:r w:rsidR="00660FCC">
        <w:rPr>
          <w:rFonts w:ascii="Arial" w:hAnsi="Arial" w:cs="Arial"/>
        </w:rPr>
        <w:t>-</w:t>
      </w:r>
      <w:r w:rsidRPr="00F21079">
        <w:rPr>
          <w:rFonts w:ascii="Arial" w:hAnsi="Arial" w:cs="Arial"/>
        </w:rPr>
        <w:t>part</w:t>
      </w:r>
      <w:r w:rsidR="00660FCC">
        <w:rPr>
          <w:rFonts w:ascii="Arial" w:hAnsi="Arial" w:cs="Arial"/>
        </w:rPr>
        <w:t xml:space="preserve">y </w:t>
      </w:r>
      <w:r w:rsidRPr="00F21079">
        <w:rPr>
          <w:rFonts w:ascii="Arial" w:hAnsi="Arial" w:cs="Arial"/>
        </w:rPr>
        <w:t xml:space="preserve">relations </w:t>
      </w:r>
      <w:r w:rsidRPr="00F21079">
        <w:rPr>
          <w:rFonts w:ascii="Arial" w:hAnsi="Arial" w:cs="Arial"/>
        </w:rPr>
        <w:fldChar w:fldCharType="begin" w:fldLock="1"/>
      </w:r>
      <w:r>
        <w:rPr>
          <w:rFonts w:ascii="Arial" w:hAnsi="Arial" w:cs="Arial"/>
        </w:rPr>
        <w:instrText>ADDIN CSL_CITATION {"citationItems":[{"id":"ITEM-1","itemData":{"abstract":"A341Federal agencies are concerned about the risks associated with information and communications technology (ICT) products and services that may contain potentially malicious functionality, are counterfeit, or are vulnerable due to poor manufacturing and development practices within the ICT supply chain. These risks are associated with the federal agencies? decreased visibility into, understanding of, and control over how the technology that they acquire is developed, integrated and deployed, as well as the processes, procedures, and practices used to assure the integrity, security, resilience, and quality of the products and services. This publication provides guidance to federal agencies on identifying, assessing, and mitigating ICT supply chain risks at all levels of their organizations. This publication integrates ICT supply chain risk management (SCRM) into federal agency risk management activities by applying a multi-tiered, SCRM-specific approach, including guidance on assessing supply chain risk and applying mitigation activities.","author":[{"dropping-particle":"","family":"NIST","given":"","non-dropping-particle":"","parse-names":false,"suffix":""}],"id":"ITEM-1","issued":{"date-parts":[["2022"]]},"title":"NIST Special Publication 800-161 - Supply Chain Risk Management Practices for Federal Information Systems and Organizations","type":"article-journal"},"uris":["http://www.mendeley.com/documents/?uuid=d0845f45-9610-41f0-a2a7-ac2d87582cbc"]}],"mendeley":{"formattedCitation":"[13]","plainTextFormattedCitation":"[13]","previouslyFormattedCitation":"[14]"},"properties":{"noteIndex":0},"schema":"https://github.com/citation-style-language/schema/raw/master/csl-citation.json"}</w:instrText>
      </w:r>
      <w:r w:rsidRPr="00F21079">
        <w:rPr>
          <w:rFonts w:ascii="Arial" w:hAnsi="Arial" w:cs="Arial"/>
        </w:rPr>
        <w:fldChar w:fldCharType="separate"/>
      </w:r>
      <w:r w:rsidRPr="00F21079">
        <w:rPr>
          <w:rFonts w:ascii="Arial" w:hAnsi="Arial" w:cs="Arial"/>
          <w:noProof/>
        </w:rPr>
        <w:t>[13]</w:t>
      </w:r>
      <w:r w:rsidRPr="00F21079">
        <w:rPr>
          <w:rFonts w:ascii="Arial" w:hAnsi="Arial" w:cs="Arial"/>
        </w:rPr>
        <w:fldChar w:fldCharType="end"/>
      </w:r>
      <w:r w:rsidRPr="00F21079">
        <w:rPr>
          <w:rFonts w:ascii="Arial" w:hAnsi="Arial" w:cs="Arial"/>
        </w:rPr>
        <w:t>.</w:t>
      </w:r>
    </w:p>
    <w:p w14:paraId="6C62F6B7" w14:textId="77777777" w:rsidR="00F21079" w:rsidRPr="00F21079" w:rsidRDefault="00F21079" w:rsidP="00F21079"/>
    <w:p w14:paraId="00617690" w14:textId="1279229E" w:rsidR="00F21079" w:rsidRDefault="00F21079" w:rsidP="00F21079">
      <w:pPr>
        <w:pStyle w:val="Heading1"/>
        <w:rPr>
          <w:rFonts w:ascii="Arial" w:hAnsi="Arial" w:cs="Arial"/>
          <w:sz w:val="32"/>
          <w:szCs w:val="32"/>
        </w:rPr>
      </w:pPr>
      <w:bookmarkStart w:id="14" w:name="_Toc230298446"/>
      <w:r w:rsidRPr="00F21079">
        <w:rPr>
          <w:rFonts w:ascii="Arial" w:hAnsi="Arial" w:cs="Arial"/>
          <w:sz w:val="32"/>
          <w:szCs w:val="32"/>
        </w:rPr>
        <w:t>Technical Mitigation Measures</w:t>
      </w:r>
      <w:bookmarkEnd w:id="14"/>
    </w:p>
    <w:tbl>
      <w:tblPr>
        <w:tblStyle w:val="TableGrid"/>
        <w:tblW w:w="0" w:type="auto"/>
        <w:tblLook w:val="04A0" w:firstRow="1" w:lastRow="0" w:firstColumn="1" w:lastColumn="0" w:noHBand="0" w:noVBand="1"/>
      </w:tblPr>
      <w:tblGrid>
        <w:gridCol w:w="3263"/>
        <w:gridCol w:w="3328"/>
        <w:gridCol w:w="2425"/>
      </w:tblGrid>
      <w:tr w:rsidR="00F21079" w:rsidRPr="003E7DE6" w14:paraId="3FBD9677" w14:textId="77777777" w:rsidTr="004E3B52">
        <w:tc>
          <w:tcPr>
            <w:tcW w:w="3263" w:type="dxa"/>
          </w:tcPr>
          <w:p w14:paraId="272F4B7A"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THREAT</w:t>
            </w:r>
          </w:p>
        </w:tc>
        <w:tc>
          <w:tcPr>
            <w:tcW w:w="3328" w:type="dxa"/>
          </w:tcPr>
          <w:p w14:paraId="5C6F5120"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Measure</w:t>
            </w:r>
          </w:p>
        </w:tc>
        <w:tc>
          <w:tcPr>
            <w:tcW w:w="2425" w:type="dxa"/>
          </w:tcPr>
          <w:p w14:paraId="35880F3E" w14:textId="77777777" w:rsidR="00F21079" w:rsidRPr="001106B0" w:rsidRDefault="00F21079" w:rsidP="004E3B52">
            <w:pPr>
              <w:jc w:val="both"/>
              <w:rPr>
                <w:rFonts w:ascii="Arial" w:hAnsi="Arial" w:cs="Arial"/>
                <w:color w:val="000000" w:themeColor="text1"/>
              </w:rPr>
            </w:pPr>
            <w:r w:rsidRPr="001106B0">
              <w:rPr>
                <w:rFonts w:ascii="Arial" w:hAnsi="Arial" w:cs="Arial"/>
                <w:color w:val="000000" w:themeColor="text1"/>
              </w:rPr>
              <w:t>Tools/Standard</w:t>
            </w:r>
          </w:p>
        </w:tc>
      </w:tr>
      <w:tr w:rsidR="00F21079" w:rsidRPr="003E7DE6" w14:paraId="24FCEFB3" w14:textId="77777777" w:rsidTr="004E3B52">
        <w:tc>
          <w:tcPr>
            <w:tcW w:w="3263" w:type="dxa"/>
          </w:tcPr>
          <w:p w14:paraId="67421E02"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Phishing Emails </w:t>
            </w:r>
          </w:p>
        </w:tc>
        <w:tc>
          <w:tcPr>
            <w:tcW w:w="3328" w:type="dxa"/>
          </w:tcPr>
          <w:p w14:paraId="6E861734"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-multifactor authentication </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{"citationItems":[{"id":"ITEM-1","itemData":{"URL":"https://support.microsoft.com/en-us/security/what-is-multifactor-authentication","author":[{"dropping-particle":"","family":"Microsoft Support","given":"","non-dropping-particle":"","parse-names":false,"suffix":""}],"container-title":"Microsoft","id":"ITEM-1","issued":{"date-parts":[["0"]]},"title":"What is: Multifactor Authentication","type":"webpage"},"uris":["http://www.mendeley.com/documents/?uuid=3ce0d8bb-eb67-3dcd-ac86-e459fab7ef0c"]}],"mendeley":{"formattedCitation":"[7]","plainTextFormattedCitation":"[7]","previouslyFormattedCitation":"[7]"},"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[7]</w:t>
            </w:r>
            <w:r w:rsidRPr="001106B0">
              <w:rPr>
                <w:rFonts w:ascii="Arial" w:hAnsi="Arial" w:cs="Arial"/>
                <w:color w:val="000000" w:themeColor="text1"/>
              </w:rPr>
              <w:fldChar w:fldCharType="end"/>
            </w:r>
          </w:p>
          <w:p w14:paraId="293515FC" w14:textId="77777777" w:rsidR="00F21079" w:rsidRPr="001106B0" w:rsidRDefault="00F21079" w:rsidP="004E3B52">
            <w:pPr>
              <w:rPr>
                <w:rFonts w:ascii="Arial" w:hAnsi="Arial" w:cs="Arial"/>
                <w:color w:val="000000" w:themeColor="text1"/>
              </w:rPr>
            </w:pPr>
          </w:p>
          <w:p w14:paraId="74993431"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-email sandboxing</w:t>
            </w:r>
          </w:p>
          <w:p w14:paraId="34743F3A" w14:textId="77777777" w:rsidR="00F21079" w:rsidRPr="001106B0" w:rsidRDefault="00F21079" w:rsidP="004E3B52">
            <w:pPr>
              <w:rPr>
                <w:rFonts w:ascii="Arial" w:hAnsi="Arial" w:cs="Arial"/>
                <w:color w:val="000000" w:themeColor="text1"/>
              </w:rPr>
            </w:pPr>
          </w:p>
        </w:tc>
        <w:tc>
          <w:tcPr>
            <w:tcW w:w="2425" w:type="dxa"/>
          </w:tcPr>
          <w:p w14:paraId="6AAA5E9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Microsoft Entra ID/ Defender</w:t>
            </w:r>
          </w:p>
        </w:tc>
      </w:tr>
      <w:tr w:rsidR="00F21079" w:rsidRPr="003E7DE6" w14:paraId="332F1333" w14:textId="77777777" w:rsidTr="004E3B52">
        <w:tc>
          <w:tcPr>
            <w:tcW w:w="3263" w:type="dxa"/>
          </w:tcPr>
          <w:p w14:paraId="16847C1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Ransomware </w:t>
            </w:r>
          </w:p>
        </w:tc>
        <w:tc>
          <w:tcPr>
            <w:tcW w:w="3328" w:type="dxa"/>
          </w:tcPr>
          <w:p w14:paraId="739A7FC9"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-Immutable backups (backups that can't be encrypted or deleted) </w:t>
            </w:r>
          </w:p>
          <w:p w14:paraId="092529A6" w14:textId="77777777" w:rsidR="00F21079" w:rsidRPr="001106B0" w:rsidRDefault="00F21079" w:rsidP="004E3B52">
            <w:pPr>
              <w:rPr>
                <w:rFonts w:ascii="Arial" w:hAnsi="Arial" w:cs="Arial"/>
                <w:color w:val="000000" w:themeColor="text1"/>
              </w:rPr>
            </w:pPr>
          </w:p>
          <w:p w14:paraId="71BB80D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-Endpoint Detection &amp; Response (EDR) software </w:t>
            </w:r>
          </w:p>
          <w:p w14:paraId="414BD45C" w14:textId="77777777" w:rsidR="00F21079" w:rsidRPr="001106B0" w:rsidRDefault="00F21079" w:rsidP="004E3B52">
            <w:pPr>
              <w:rPr>
                <w:rFonts w:ascii="Arial" w:hAnsi="Arial" w:cs="Arial"/>
                <w:color w:val="000000" w:themeColor="text1"/>
              </w:rPr>
            </w:pPr>
          </w:p>
          <w:p w14:paraId="151EB640"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-Patch Prioritisation (address actively exploited vulnerabilities first)</w:t>
            </w:r>
          </w:p>
        </w:tc>
        <w:tc>
          <w:tcPr>
            <w:tcW w:w="2425" w:type="dxa"/>
          </w:tcPr>
          <w:p w14:paraId="56426D25"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Veeam</w:t>
            </w:r>
          </w:p>
          <w:p w14:paraId="4D62119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CrowdStrike </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[2]</w:t>
            </w:r>
            <w:r w:rsidRPr="001106B0">
              <w:rPr>
                <w:rFonts w:ascii="Arial" w:hAnsi="Arial" w:cs="Arial"/>
                <w:color w:val="000000" w:themeColor="text1"/>
              </w:rPr>
              <w:fldChar w:fldCharType="end"/>
            </w:r>
          </w:p>
          <w:p w14:paraId="464A8076"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CISA KEV</w:t>
            </w:r>
          </w:p>
        </w:tc>
      </w:tr>
      <w:tr w:rsidR="00F21079" w:rsidRPr="003E7DE6" w14:paraId="5F510520" w14:textId="77777777" w:rsidTr="004E3B52">
        <w:tc>
          <w:tcPr>
            <w:tcW w:w="3263" w:type="dxa"/>
          </w:tcPr>
          <w:p w14:paraId="30004752"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Cloud Misconfiguration </w:t>
            </w:r>
          </w:p>
        </w:tc>
        <w:tc>
          <w:tcPr>
            <w:tcW w:w="3328" w:type="dxa"/>
          </w:tcPr>
          <w:p w14:paraId="15BCECAF" w14:textId="0DFB6EC1" w:rsidR="00F21079" w:rsidRPr="001106B0" w:rsidRDefault="00F21079" w:rsidP="004E3B52">
            <w:pPr>
              <w:rPr>
                <w:rFonts w:ascii="Arial" w:hAnsi="Arial" w:cs="Arial"/>
                <w:color w:val="000000" w:themeColor="text1"/>
              </w:rPr>
            </w:pPr>
            <w:r w:rsidRPr="001106B0">
              <w:rPr>
                <w:rFonts w:ascii="Arial" w:hAnsi="Arial" w:cs="Arial"/>
                <w:color w:val="000000" w:themeColor="text1"/>
              </w:rPr>
              <w:t>-Cloud Security Posture Management (CSPM) tools that automatically scan for misconfigurations</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{"citationItems":[{"id":"ITEM-1","itemData":{"author":[{"dropping-particle":"","family":"Microsoft Learn","given":"","non-dropping-particle":"","parse-names":false,"suffix":""}],"container-title":"Microsoft Defender for Cloud","id":"ITEM-1","issued":{"date-parts":[["0"]]},"title":"What is Cloud Security Posture Management (CSPM) [Online]","type":"article-journal"},"uris":["http://www.mendeley.com/documents/?uuid=d23e760e-185d-3bac-a1d9-f94a43db605a"]}],"mendeley":{"formattedCitation":"[11]","plainTextFormattedCitation":"[11]","previouslyFormattedCitation":"[12]"},"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[11]</w:t>
            </w:r>
            <w:r w:rsidRPr="001106B0">
              <w:rPr>
                <w:rFonts w:ascii="Arial" w:hAnsi="Arial" w:cs="Arial"/>
                <w:color w:val="000000" w:themeColor="text1"/>
              </w:rPr>
              <w:fldChar w:fldCharType="end"/>
            </w:r>
          </w:p>
        </w:tc>
        <w:tc>
          <w:tcPr>
            <w:tcW w:w="2425" w:type="dxa"/>
          </w:tcPr>
          <w:p w14:paraId="0BD0AB87"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Microsoft Defender for cloud</w:t>
            </w:r>
          </w:p>
        </w:tc>
      </w:tr>
      <w:tr w:rsidR="00F21079" w:rsidRPr="003E7DE6" w14:paraId="12B2A1F5" w14:textId="77777777" w:rsidTr="004E3B52">
        <w:tc>
          <w:tcPr>
            <w:tcW w:w="3263" w:type="dxa"/>
          </w:tcPr>
          <w:p w14:paraId="423E8779" w14:textId="3533B51D"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Supply Chain compromise  </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URL":"https://www.cisa.gov/information-and-communications-technology-supply-chain-risk-management","author":[{"dropping-particle":"","family":"CISA","given":"","non-dropping-particle":"","parse-names":false,"suffix":""}],"container-title":"CISA","id":"ITEM-1","issued":{"date-parts":[["0"]]},"title":"Information and Communications Technology Supply Chain Risk Management","type":"webpage"},"uris":["http://www.mendeley.com/documents/?uuid=83ea9424-640a-3b16-91c8-31e371dc25c9"]}],"mendeley":{"formattedCitation":"[12]","plainTextFormattedCitation":"[12]","previouslyFormattedCitation":"[13]"},"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[12]</w:t>
            </w:r>
            <w:r w:rsidRPr="001106B0">
              <w:rPr>
                <w:rFonts w:ascii="Arial" w:hAnsi="Arial" w:cs="Arial"/>
                <w:color w:val="000000" w:themeColor="text1"/>
              </w:rPr>
              <w:fldChar w:fldCharType="end"/>
            </w:r>
          </w:p>
        </w:tc>
        <w:tc>
          <w:tcPr>
            <w:tcW w:w="3328" w:type="dxa"/>
          </w:tcPr>
          <w:p w14:paraId="73E0078B"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-Vendor risk assessments before onboarding third-party software</w:t>
            </w:r>
          </w:p>
        </w:tc>
        <w:tc>
          <w:tcPr>
            <w:tcW w:w="2425" w:type="dxa"/>
          </w:tcPr>
          <w:p w14:paraId="748E507C" w14:textId="2C10838E" w:rsidR="00F21079" w:rsidRPr="001106B0" w:rsidRDefault="00F21079" w:rsidP="004E3B52">
            <w:pPr>
              <w:rPr>
                <w:rFonts w:ascii="Arial" w:hAnsi="Arial" w:cs="Arial"/>
                <w:color w:val="000000" w:themeColor="text1"/>
              </w:rPr>
            </w:pPr>
            <w:r w:rsidRPr="001106B0">
              <w:rPr>
                <w:rFonts w:ascii="Arial" w:hAnsi="Arial" w:cs="Arial"/>
                <w:color w:val="000000" w:themeColor="text1"/>
              </w:rPr>
              <w:t xml:space="preserve">NIST SP 800-161 </w:t>
            </w:r>
            <w:r w:rsidRPr="001106B0">
              <w:rPr>
                <w:rFonts w:ascii="Arial" w:hAnsi="Arial" w:cs="Arial"/>
                <w:color w:val="000000" w:themeColor="text1"/>
              </w:rPr>
              <w:fldChar w:fldCharType="begin" w:fldLock="1"/>
            </w:r>
            <w:r>
              <w:rPr>
                <w:rFonts w:ascii="Arial" w:hAnsi="Arial" w:cs="Arial"/>
                <w:color w:val="000000" w:themeColor="text1"/>
              </w:rPr>
              <w:instrText>ADDIN CSL_CITATION {"citationItems":[{"id":"ITEM-1","itemData":{"abstract":"A341Federal agencies are concerned about the risks associated with information and communications technology (ICT) products and services that may contain potentially malicious functionality, are counterfeit, or are vulnerable due to poor manufacturing and development practices within the ICT supply chain. These risks are associated with the federal agencies? decreased visibility into, understanding of, and control over how the technology that they acquire is developed, integrated and deployed, as well as the processes, procedures, and practices used to assure the integrity, security, resilience, and quality of the products and services. This publication provides guidance to federal agencies on identifying, assessing, and mitigating ICT supply chain risks at all levels of their organizations. This publication integrates ICT supply chain risk management (SCRM) into federal agency risk management activities by applying a multi-tiered, SCRM-specific approach, including guidance on assessing supply chain risk and applying mitigation activities.","author":[{"dropping-particle":"","family":"NIST","given":"","non-dropping-particle":"","parse-names":false,"suffix":""}],"id":"ITEM-1","issued":{"date-parts":[["2022"]]},"title":"NIST Special Publication 800-161 - Supply Chain Risk Management Practices for Federal Information Systems and Organizations","type":"article-journal"},"uris":["http://www.mendeley.com/documents/?uuid=d0845f45-9610-41f0-a2a7-ac2d87582cbc"]}],"mendeley":{"formattedCitation":"[13]","plainTextFormattedCitation":"[13]","previouslyFormattedCitation":"[14]"},"properties":{"noteIndex":0},"schema":"https://github.com/citation-style-language/schema/raw/master/csl-citation.json"}</w:instrText>
            </w:r>
            <w:r w:rsidRPr="001106B0">
              <w:rPr>
                <w:rFonts w:ascii="Arial" w:hAnsi="Arial" w:cs="Arial"/>
                <w:color w:val="000000" w:themeColor="text1"/>
              </w:rPr>
              <w:fldChar w:fldCharType="separate"/>
            </w:r>
            <w:r w:rsidRPr="00F21079">
              <w:rPr>
                <w:rFonts w:ascii="Arial" w:hAnsi="Arial" w:cs="Arial"/>
                <w:noProof/>
                <w:color w:val="000000" w:themeColor="text1"/>
              </w:rPr>
              <w:t>[13]</w:t>
            </w:r>
            <w:r w:rsidRPr="001106B0">
              <w:rPr>
                <w:rFonts w:ascii="Arial" w:hAnsi="Arial" w:cs="Arial"/>
                <w:color w:val="000000" w:themeColor="text1"/>
              </w:rPr>
              <w:fldChar w:fldCharType="end"/>
            </w:r>
          </w:p>
        </w:tc>
      </w:tr>
      <w:tr w:rsidR="00F21079" w:rsidRPr="003E7DE6" w14:paraId="0EE4D180" w14:textId="77777777" w:rsidTr="004E3B52">
        <w:tc>
          <w:tcPr>
            <w:tcW w:w="3263" w:type="dxa"/>
          </w:tcPr>
          <w:p w14:paraId="69FBDFAF"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Insider threat</w:t>
            </w:r>
            <w:r w:rsidRPr="001106B0">
              <w:rPr>
                <w:rFonts w:ascii="Arial" w:hAnsi="Arial" w:cs="Arial"/>
                <w:color w:val="000000" w:themeColor="text1"/>
              </w:rPr>
              <w:fldChar w:fldCharType="begin" w:fldLock="1"/>
            </w:r>
            <w:r w:rsidRPr="001106B0">
              <w:rPr>
                <w:rFonts w:ascii="Arial" w:hAnsi="Arial" w:cs="Arial"/>
                <w:color w:val="000000" w:themeColor="text1"/>
              </w:rPr>
              <w:instrText>ADDIN CSL_CITATION {"citationItems":[{"id":"ITEM-1","itemData":{"URL":"https://www.cisa.gov/topics/physical-security/insider-threat-mitigation/defining-insider-threats","author":[{"dropping-particle":"","family":"CISA","given":"","non-dropping-particle":"","parse-names":false,"suffix":""}],"container-title":"CISA","id":"ITEM-1","issued":{"date-parts":[["0"]]},"title":"Defining Insider Threats","type":"webpage"},"uris":["http://www.mendeley.com/documents/?uuid=1edbef1d-a171-3bdc-bf98-70e719765c17"]}],"mendeley":{"formattedCitation":"[1]","plainTextFormattedCitation":"[1]","previouslyFormattedCitation":"[1]"},"properties":{"noteIndex":0},"schema":"https://github.com/citation-style-language/schema/raw/master/csl-citation.json"}</w:instrText>
            </w:r>
            <w:r w:rsidRPr="001106B0">
              <w:rPr>
                <w:rFonts w:ascii="Arial" w:hAnsi="Arial" w:cs="Arial"/>
                <w:color w:val="000000" w:themeColor="text1"/>
              </w:rPr>
              <w:fldChar w:fldCharType="separate"/>
            </w:r>
            <w:r w:rsidRPr="001106B0">
              <w:rPr>
                <w:rFonts w:ascii="Arial" w:hAnsi="Arial" w:cs="Arial"/>
                <w:noProof/>
                <w:color w:val="000000" w:themeColor="text1"/>
              </w:rPr>
              <w:t>[1]</w:t>
            </w:r>
            <w:r w:rsidRPr="001106B0">
              <w:rPr>
                <w:rFonts w:ascii="Arial" w:hAnsi="Arial" w:cs="Arial"/>
                <w:color w:val="000000" w:themeColor="text1"/>
              </w:rPr>
              <w:fldChar w:fldCharType="end"/>
            </w:r>
          </w:p>
        </w:tc>
        <w:tc>
          <w:tcPr>
            <w:tcW w:w="3328" w:type="dxa"/>
          </w:tcPr>
          <w:p w14:paraId="7EC138C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-Privileged Access Management</w:t>
            </w:r>
          </w:p>
          <w:p w14:paraId="55AD16D1" w14:textId="77777777" w:rsidR="00F21079" w:rsidRPr="001106B0" w:rsidRDefault="00F21079" w:rsidP="004E3B52">
            <w:pPr>
              <w:rPr>
                <w:rFonts w:ascii="Arial" w:hAnsi="Arial" w:cs="Arial"/>
                <w:color w:val="000000" w:themeColor="text1"/>
              </w:rPr>
            </w:pPr>
          </w:p>
          <w:p w14:paraId="6C5143F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-DLP</w:t>
            </w:r>
          </w:p>
        </w:tc>
        <w:tc>
          <w:tcPr>
            <w:tcW w:w="2425" w:type="dxa"/>
          </w:tcPr>
          <w:p w14:paraId="04AA289D" w14:textId="77777777" w:rsidR="00F21079" w:rsidRPr="001106B0" w:rsidRDefault="00F21079" w:rsidP="004E3B52">
            <w:pPr>
              <w:rPr>
                <w:rFonts w:ascii="Arial" w:hAnsi="Arial" w:cs="Arial"/>
                <w:color w:val="000000" w:themeColor="text1"/>
              </w:rPr>
            </w:pPr>
            <w:r w:rsidRPr="001106B0">
              <w:rPr>
                <w:rFonts w:ascii="Arial" w:hAnsi="Arial" w:cs="Arial"/>
                <w:color w:val="000000" w:themeColor="text1"/>
              </w:rPr>
              <w:t>CyberArk/Microsoft Purview</w:t>
            </w:r>
          </w:p>
        </w:tc>
      </w:tr>
    </w:tbl>
    <w:p w14:paraId="307EDF62" w14:textId="77777777" w:rsidR="00F21079" w:rsidRDefault="00F21079" w:rsidP="00F21079"/>
    <w:p w14:paraId="261FA5FB" w14:textId="77777777" w:rsidR="00F21079" w:rsidRDefault="00F21079" w:rsidP="00F21079"/>
    <w:p w14:paraId="00C3FAFF" w14:textId="77777777" w:rsidR="00F21079" w:rsidRDefault="00F21079" w:rsidP="00F21079"/>
    <w:p w14:paraId="58F18AE6" w14:textId="77777777" w:rsidR="00F21079" w:rsidRPr="00F21079" w:rsidRDefault="00F21079" w:rsidP="00F21079"/>
    <w:p w14:paraId="2EC627EA" w14:textId="38781F75" w:rsidR="00F21079" w:rsidRDefault="00F21079" w:rsidP="00F21079">
      <w:pPr>
        <w:pStyle w:val="Heading1"/>
        <w:rPr>
          <w:rFonts w:ascii="Arial" w:hAnsi="Arial" w:cs="Arial"/>
          <w:sz w:val="32"/>
          <w:szCs w:val="32"/>
        </w:rPr>
      </w:pPr>
      <w:bookmarkStart w:id="15" w:name="_Toc230298447"/>
      <w:r w:rsidRPr="00F21079">
        <w:rPr>
          <w:rFonts w:ascii="Arial" w:hAnsi="Arial" w:cs="Arial"/>
          <w:sz w:val="32"/>
          <w:szCs w:val="32"/>
        </w:rPr>
        <w:lastRenderedPageBreak/>
        <w:t>Monitoring and Incident Response</w:t>
      </w:r>
      <w:bookmarkEnd w:id="15"/>
    </w:p>
    <w:p w14:paraId="22971BCF" w14:textId="26EE3421" w:rsidR="00F21079" w:rsidRDefault="00F21079" w:rsidP="00F21079">
      <w:pPr>
        <w:jc w:val="both"/>
        <w:rPr>
          <w:rFonts w:ascii="Arial" w:hAnsi="Arial" w:cs="Arial"/>
        </w:rPr>
      </w:pPr>
      <w:r w:rsidRPr="003E7DE6">
        <w:rPr>
          <w:rFonts w:ascii="Arial" w:hAnsi="Arial" w:cs="Arial"/>
        </w:rPr>
        <w:t xml:space="preserve">Effective monitoring and incident response are essential for VTAM to detect and contain threats in real time. Log management </w:t>
      </w:r>
      <w:r>
        <w:rPr>
          <w:rFonts w:ascii="Arial" w:hAnsi="Arial" w:cs="Arial"/>
        </w:rPr>
        <w:t>collects</w:t>
      </w:r>
      <w:r w:rsidRPr="003E7DE6">
        <w:rPr>
          <w:rFonts w:ascii="Arial" w:hAnsi="Arial" w:cs="Arial"/>
        </w:rPr>
        <w:t xml:space="preserve"> event data continuously from firewalls, operating systems and network routers, providing full visibility across the environment</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A SIEM platform centralises this data using correlation rules to identify sophisticated multi-stage attacks. When a threat is detected, SOAR automation triggers an immediate response such as isolating affected devices or blocking suspicious accounts</w:t>
      </w:r>
      <w:r w:rsidR="00660FCC">
        <w:rPr>
          <w:rFonts w:ascii="Arial" w:hAnsi="Arial" w:cs="Arial"/>
        </w:rPr>
        <w:t>,</w:t>
      </w:r>
      <w:r w:rsidRPr="003E7DE6">
        <w:rPr>
          <w:rFonts w:ascii="Arial" w:hAnsi="Arial" w:cs="Arial"/>
        </w:rPr>
        <w:t xml:space="preserve"> significantly reducing response times without requiring manual intervention</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Endpoint detection and response (EDR) software monitors individual devices, blocking malicious processes autonomously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{"citationItems":[{"id":"ITEM-1","itemData":{"ISBN":"9798898386177","author":[{"dropping-particle":"","family":"Mobley","given":"Paul T","non-dropping-particle":"","parse-names":false,"suffix":""}],"chapter-number":"14","container-title":"An Introduction to Cybersecurity and Digital Investigations","id":"ITEM-1","issued":{"date-parts":[["2026"]]},"publisher":"Christian Fiath Publishing","title":"SIEM/SOAR","type":"chapter"},"uris":["http://www.mendeley.com/documents/?uuid=b8b8b27a-5949-40f5-b4ef-dcdb94794511"]}],"mendeley":{"formattedCitation":"[14]","plainTextFormattedCitation":"[14]","previouslyFormattedCitation":"[15]"},"properties":{"noteIndex":0},"schema":"https://github.com/citation-style-language/schema/raw/master/csl-citation.json"}</w:instrText>
      </w:r>
      <w:r>
        <w:rPr>
          <w:rFonts w:ascii="Arial" w:hAnsi="Arial" w:cs="Arial"/>
        </w:rPr>
        <w:fldChar w:fldCharType="separate"/>
      </w:r>
      <w:r w:rsidRPr="00F21079">
        <w:rPr>
          <w:rFonts w:ascii="Arial" w:hAnsi="Arial" w:cs="Arial"/>
          <w:noProof/>
        </w:rPr>
        <w:t>[14]</w:t>
      </w:r>
      <w:r>
        <w:rPr>
          <w:rFonts w:ascii="Arial" w:hAnsi="Arial" w:cs="Arial"/>
        </w:rPr>
        <w:fldChar w:fldCharType="end"/>
      </w:r>
      <w:r w:rsidRPr="003E7DE6">
        <w:rPr>
          <w:rFonts w:ascii="Arial" w:hAnsi="Arial" w:cs="Arial"/>
        </w:rPr>
        <w:t>. Network traffic analysis establishes behavioural baselines</w:t>
      </w:r>
      <w:r w:rsidR="00660FCC">
        <w:rPr>
          <w:rFonts w:ascii="Arial" w:hAnsi="Arial" w:cs="Arial"/>
        </w:rPr>
        <w:t>,</w:t>
      </w:r>
      <w:r w:rsidRPr="003E7DE6">
        <w:rPr>
          <w:rFonts w:ascii="Arial" w:hAnsi="Arial" w:cs="Arial"/>
        </w:rPr>
        <w:t xml:space="preserve"> flagging anomalies such as unauthorised lateral movement or unexpected data transfers. Together these tools provide VTAM with a robust 24/7 security monitoring capability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www.crowdstrike.com/en-us/cybersecurity-101/ransomware/ransomware-as-a-service-raas/","accessed":{"date-parts":[["2026","5","20"]]},"author":[{"dropping-particle":"","family":"Baker","given":"Kurt","non-dropping-particle":"","parse-names":false,"suffix":""}],"id":"ITEM-1","issued":{"date-parts":[["2021","1","30"]]},"title":"What is Ransomware as a Service (RaaS)? | CrowdStrike","type":"webpage"},"uris":["http://www.mendeley.com/documents/?uuid=96be48b2-e05a-3fa0-ad9f-4cfd8089a8f2"]}],"mendeley":{"formattedCitation":"[2]","plainTextFormattedCitation":"[2]","previouslyFormattedCitation":"[2]"},"properties":{"noteIndex":0},"schema":"https://github.com/citation-style-language/schema/raw/master/csl-citation.json"}</w:instrText>
      </w:r>
      <w:r>
        <w:rPr>
          <w:rFonts w:ascii="Arial" w:hAnsi="Arial" w:cs="Arial"/>
        </w:rPr>
        <w:fldChar w:fldCharType="separate"/>
      </w:r>
      <w:r w:rsidRPr="00466B97">
        <w:rPr>
          <w:rFonts w:ascii="Arial" w:hAnsi="Arial" w:cs="Arial"/>
          <w:noProof/>
        </w:rPr>
        <w:t>[2]</w:t>
      </w:r>
      <w:r>
        <w:rPr>
          <w:rFonts w:ascii="Arial" w:hAnsi="Arial" w:cs="Arial"/>
        </w:rPr>
        <w:fldChar w:fldCharType="end"/>
      </w:r>
      <w:r w:rsidRPr="003E7DE6">
        <w:rPr>
          <w:rFonts w:ascii="Arial" w:hAnsi="Arial" w:cs="Arial"/>
        </w:rPr>
        <w:t>.</w:t>
      </w:r>
    </w:p>
    <w:p w14:paraId="5B01D5F2" w14:textId="77777777" w:rsidR="00F21079" w:rsidRPr="00F21079" w:rsidRDefault="00F21079" w:rsidP="00F21079"/>
    <w:p w14:paraId="1C56447D" w14:textId="501D98B7" w:rsidR="00F21079" w:rsidRDefault="00F21079" w:rsidP="00F21079">
      <w:pPr>
        <w:pStyle w:val="Heading1"/>
        <w:rPr>
          <w:rFonts w:ascii="Arial" w:hAnsi="Arial" w:cs="Arial"/>
          <w:sz w:val="32"/>
          <w:szCs w:val="32"/>
        </w:rPr>
      </w:pPr>
      <w:bookmarkStart w:id="16" w:name="_Toc230298448"/>
      <w:r w:rsidRPr="00F21079">
        <w:rPr>
          <w:rFonts w:ascii="Arial" w:hAnsi="Arial" w:cs="Arial"/>
          <w:sz w:val="32"/>
          <w:szCs w:val="32"/>
        </w:rPr>
        <w:t>Training and Awareness</w:t>
      </w:r>
      <w:bookmarkEnd w:id="16"/>
    </w:p>
    <w:p w14:paraId="7F484AD6" w14:textId="74DF6CC4" w:rsidR="00F21079" w:rsidRPr="003E7DE6" w:rsidRDefault="00F21079" w:rsidP="00F21079">
      <w:pPr>
        <w:jc w:val="both"/>
        <w:rPr>
          <w:rFonts w:ascii="Arial" w:hAnsi="Arial" w:cs="Arial"/>
          <w:color w:val="EE0000"/>
        </w:rPr>
      </w:pPr>
      <w:r w:rsidRPr="003E7DE6">
        <w:rPr>
          <w:rFonts w:ascii="Arial" w:hAnsi="Arial" w:cs="Arial"/>
        </w:rPr>
        <w:t>A continuous training and awareness programme is essential to reduce human error which remains one of the most significant cybersecurity vulnerabilities</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{"citationItems":[{"id":"ITEM-1","itemData":{"author":[{"dropping-particle":"","family":"IBM","given":"","non-dropping-particle":"","parse-names":false,"suffix":""}],"container-title":"IBM","id":"ITEM-1","issued":{"date-parts":[["0"]]},"title":"CISOs list human error as their top cybersecurity risk [online]","type":"article-magazine"},"uris":["http://www.mendeley.com/documents/?uuid=efb7588e-5660-3f25-b03d-ed48081fbee8"]}],"mendeley":{"formattedCitation":"[15]","plainTextFormattedCitation":"[15]","previouslyFormattedCitation":"[16]"},"properties":{"noteIndex":0},"schema":"https://github.com/citation-style-language/schema/raw/master/csl-citation.json"}</w:instrText>
      </w:r>
      <w:r>
        <w:rPr>
          <w:rFonts w:ascii="Arial" w:hAnsi="Arial" w:cs="Arial"/>
        </w:rPr>
        <w:fldChar w:fldCharType="separate"/>
      </w:r>
      <w:r w:rsidRPr="00F21079">
        <w:rPr>
          <w:rFonts w:ascii="Arial" w:hAnsi="Arial" w:cs="Arial"/>
          <w:noProof/>
        </w:rPr>
        <w:t>[15]</w:t>
      </w:r>
      <w:r>
        <w:rPr>
          <w:rFonts w:ascii="Arial" w:hAnsi="Arial" w:cs="Arial"/>
        </w:rPr>
        <w:fldChar w:fldCharType="end"/>
      </w:r>
      <w:r w:rsidRPr="003E7DE6">
        <w:rPr>
          <w:rFonts w:ascii="Arial" w:hAnsi="Arial" w:cs="Arial"/>
        </w:rPr>
        <w:t xml:space="preserve">. VTAM should implement a security awareness platform such as </w:t>
      </w:r>
      <w:r w:rsidR="00660FCC">
        <w:rPr>
          <w:rFonts w:ascii="Arial" w:hAnsi="Arial" w:cs="Arial"/>
        </w:rPr>
        <w:t>K</w:t>
      </w:r>
      <w:r w:rsidRPr="003E7DE6">
        <w:rPr>
          <w:rFonts w:ascii="Arial" w:hAnsi="Arial" w:cs="Arial"/>
        </w:rPr>
        <w:t>now</w:t>
      </w:r>
      <w:r w:rsidR="00660FCC">
        <w:rPr>
          <w:rFonts w:ascii="Arial" w:hAnsi="Arial" w:cs="Arial"/>
        </w:rPr>
        <w:t>B</w:t>
      </w:r>
      <w:r w:rsidRPr="003E7DE6">
        <w:rPr>
          <w:rFonts w:ascii="Arial" w:hAnsi="Arial" w:cs="Arial"/>
        </w:rPr>
        <w:t xml:space="preserve">e4 </w:t>
      </w:r>
      <w:r>
        <w:rPr>
          <w:rFonts w:ascii="Arial" w:hAnsi="Arial" w:cs="Arial"/>
        </w:rPr>
        <w:fldChar w:fldCharType="begin" w:fldLock="1"/>
      </w:r>
      <w:r>
        <w:rPr>
          <w:rFonts w:ascii="Arial" w:hAnsi="Arial" w:cs="Arial"/>
        </w:rPr>
        <w:instrText>ADDIN CSL_CITATION {"citationItems":[{"id":"ITEM-1","itemData":{"URL":"https://www.knowbe4.com/compare/leading-security-awareness-training#Criticalcapabilities","author":[{"dropping-particle":"","family":"KnowBe4","given":"","non-dropping-particle":"","parse-names":false,"suffix":""}],"container-title":"KnowBe4","id":"ITEM-1","issued":{"date-parts":[["0"]]},"title":"Best Security Awareness Training Products","type":"webpage"},"uris":["http://www.mendeley.com/documents/?uuid=90f7c734-848f-37bd-8864-1a26b111207e"]}],"mendeley":{"formattedCitation":"[16]","plainTextFormattedCitation":"[16]","previouslyFormattedCitation":"[17]"},"properties":{"noteIndex":0},"schema":"https://github.com/citation-style-language/schema/raw/master/csl-citation.json"}</w:instrText>
      </w:r>
      <w:r>
        <w:rPr>
          <w:rFonts w:ascii="Arial" w:hAnsi="Arial" w:cs="Arial"/>
        </w:rPr>
        <w:fldChar w:fldCharType="separate"/>
      </w:r>
      <w:r w:rsidRPr="00F21079">
        <w:rPr>
          <w:rFonts w:ascii="Arial" w:hAnsi="Arial" w:cs="Arial"/>
          <w:noProof/>
        </w:rPr>
        <w:t>[16]</w:t>
      </w:r>
      <w:r>
        <w:rPr>
          <w:rFonts w:ascii="Arial" w:hAnsi="Arial" w:cs="Arial"/>
        </w:rPr>
        <w:fldChar w:fldCharType="end"/>
      </w:r>
      <w:r>
        <w:rPr>
          <w:rFonts w:ascii="Arial" w:hAnsi="Arial" w:cs="Arial"/>
        </w:rPr>
        <w:t xml:space="preserve"> </w:t>
      </w:r>
      <w:r w:rsidRPr="003E7DE6">
        <w:rPr>
          <w:rFonts w:ascii="Arial" w:hAnsi="Arial" w:cs="Arial"/>
        </w:rPr>
        <w:t>to deliver simulated phishing and vishing attacks, helping employees recognise and report suspicious activity</w:t>
      </w:r>
      <w:r>
        <w:rPr>
          <w:rFonts w:ascii="Arial" w:hAnsi="Arial" w:cs="Arial"/>
        </w:rPr>
        <w:t xml:space="preserve"> </w:t>
      </w:r>
      <w:r>
        <w:rPr>
          <w:rFonts w:ascii="Arial" w:hAnsi="Arial" w:cs="Arial"/>
        </w:rPr>
        <w:fldChar w:fldCharType="begin" w:fldLock="1"/>
      </w:r>
      <w:r>
        <w:rPr>
          <w:rFonts w:ascii="Arial" w:hAnsi="Arial" w:cs="Arial"/>
        </w:rPr>
        <w:instrText>ADDIN CSL_CITATION {"citationItems":[{"id":"ITEM-1","itemData":{"URL":"https://www.knowbe4.com/compare/leading-security-awareness-training#Criticalcapabilities","author":[{"dropping-particle":"","family":"KnowBe4","given":"","non-dropping-particle":"","parse-names":false,"suffix":""}],"container-title":"KnowBe4","id":"ITEM-1","issued":{"date-parts":[["0"]]},"title":"Best Security Awareness Training Products","type":"webpage"},"uris":["http://www.mendeley.com/documents/?uuid=90f7c734-848f-37bd-8864-1a26b111207e"]}],"mendeley":{"formattedCitation":"[16]","plainTextFormattedCitation":"[16]","previouslyFormattedCitation":"[17]"},"properties":{"noteIndex":0},"schema":"https://github.com/citation-style-language/schema/raw/master/csl-citation.json"}</w:instrText>
      </w:r>
      <w:r>
        <w:rPr>
          <w:rFonts w:ascii="Arial" w:hAnsi="Arial" w:cs="Arial"/>
        </w:rPr>
        <w:fldChar w:fldCharType="separate"/>
      </w:r>
      <w:r w:rsidRPr="00F21079">
        <w:rPr>
          <w:rFonts w:ascii="Arial" w:hAnsi="Arial" w:cs="Arial"/>
          <w:noProof/>
        </w:rPr>
        <w:t>[16]</w:t>
      </w:r>
      <w:r>
        <w:rPr>
          <w:rFonts w:ascii="Arial" w:hAnsi="Arial" w:cs="Arial"/>
        </w:rPr>
        <w:fldChar w:fldCharType="end"/>
      </w:r>
      <w:r>
        <w:rPr>
          <w:rFonts w:ascii="Arial" w:hAnsi="Arial" w:cs="Arial"/>
        </w:rPr>
        <w:t xml:space="preserve"> </w:t>
      </w:r>
      <w:r w:rsidRPr="003E7DE6">
        <w:rPr>
          <w:rFonts w:ascii="Arial" w:hAnsi="Arial" w:cs="Arial"/>
        </w:rPr>
        <w:t xml:space="preserve">. Staff who fail simulations are automatically enrolled in targeted training modules ensuring improvement without stigma. Training should be role based with finance and HR teams receiving additional focus given their access to sensitive data. Quarterly training refreshers, examples of real-world incident case studies and clear reporting routes will embed security awareness as an organisational value rather than a compliance exercise. </w:t>
      </w:r>
    </w:p>
    <w:p w14:paraId="3A6AE465" w14:textId="77777777" w:rsidR="00F21079" w:rsidRPr="00F21079" w:rsidRDefault="00F21079" w:rsidP="00F21079"/>
    <w:p w14:paraId="1AFD6830" w14:textId="19B3705B" w:rsidR="00F21079" w:rsidRDefault="00F21079" w:rsidP="00F21079">
      <w:pPr>
        <w:pStyle w:val="Heading1"/>
        <w:rPr>
          <w:rFonts w:ascii="Arial" w:hAnsi="Arial" w:cs="Arial"/>
          <w:sz w:val="32"/>
          <w:szCs w:val="32"/>
        </w:rPr>
      </w:pPr>
      <w:bookmarkStart w:id="17" w:name="_Toc230298449"/>
      <w:r w:rsidRPr="00F21079">
        <w:rPr>
          <w:rFonts w:ascii="Arial" w:hAnsi="Arial" w:cs="Arial"/>
          <w:sz w:val="32"/>
          <w:szCs w:val="32"/>
        </w:rPr>
        <w:t>Conclusion</w:t>
      </w:r>
      <w:bookmarkEnd w:id="17"/>
    </w:p>
    <w:p w14:paraId="6332F781" w14:textId="7C2450C2" w:rsidR="00F21079" w:rsidRDefault="00F21079" w:rsidP="00F21079">
      <w:pPr>
        <w:jc w:val="both"/>
        <w:rPr>
          <w:rFonts w:ascii="Arial" w:hAnsi="Arial" w:cs="Arial"/>
        </w:rPr>
      </w:pPr>
      <w:r w:rsidRPr="003E7DE6">
        <w:rPr>
          <w:rFonts w:ascii="Arial" w:hAnsi="Arial" w:cs="Arial"/>
        </w:rPr>
        <w:t>The threat landscape facing financial service organisations like VTAM is increasingly complex,</w:t>
      </w:r>
      <w:r w:rsidR="00660FCC">
        <w:rPr>
          <w:rFonts w:ascii="Arial" w:hAnsi="Arial" w:cs="Arial"/>
        </w:rPr>
        <w:t xml:space="preserve"> involving</w:t>
      </w:r>
      <w:r w:rsidRPr="003E7DE6">
        <w:rPr>
          <w:rFonts w:ascii="Arial" w:hAnsi="Arial" w:cs="Arial"/>
        </w:rPr>
        <w:t xml:space="preserve"> ransomware-as-a-service, AI powered social engineering, supply chain vulnerabilities and risks introduced by hybrid working and cloud adoption. A Zero Trust framework supported by NIST CSF and ISO 27001 standards, provides a robust and structured response to these challenges by eliminating implicit trust and continuously verifying all users, device</w:t>
      </w:r>
      <w:r w:rsidR="00660FCC">
        <w:rPr>
          <w:rFonts w:ascii="Arial" w:hAnsi="Arial" w:cs="Arial"/>
        </w:rPr>
        <w:t>s</w:t>
      </w:r>
      <w:r w:rsidRPr="003E7DE6">
        <w:rPr>
          <w:rFonts w:ascii="Arial" w:hAnsi="Arial" w:cs="Arial"/>
        </w:rPr>
        <w:t xml:space="preserve"> and systems. Combined with technical controls such as SIEM, SOAR, CSPM and EDR, VTAM can significantly reduce its attack surface and improve resilience against both current and emerging threats. Cybersecurity is not a one-time implementation but an ongoing commitment, and needs regular review, staff engagement, and adap</w:t>
      </w:r>
      <w:r w:rsidR="00660FCC">
        <w:rPr>
          <w:rFonts w:ascii="Arial" w:hAnsi="Arial" w:cs="Arial"/>
        </w:rPr>
        <w:t>ta</w:t>
      </w:r>
      <w:r w:rsidRPr="003E7DE6">
        <w:rPr>
          <w:rFonts w:ascii="Arial" w:hAnsi="Arial" w:cs="Arial"/>
        </w:rPr>
        <w:t xml:space="preserve">tion to new threats will be essential to maintaining a secure and trustworthy organisation. </w:t>
      </w:r>
    </w:p>
    <w:p w14:paraId="7FF2750C" w14:textId="77777777" w:rsidR="00F21079" w:rsidRPr="00F21079" w:rsidRDefault="00F21079" w:rsidP="00F21079"/>
    <w:p w14:paraId="137F8DA7" w14:textId="55774051" w:rsidR="00F21079" w:rsidRDefault="00F21079" w:rsidP="00F21079">
      <w:pPr>
        <w:pStyle w:val="Heading1"/>
        <w:rPr>
          <w:rFonts w:ascii="Arial" w:hAnsi="Arial" w:cs="Arial"/>
          <w:sz w:val="32"/>
          <w:szCs w:val="32"/>
        </w:rPr>
      </w:pPr>
      <w:bookmarkStart w:id="18" w:name="_Toc230298450"/>
      <w:r w:rsidRPr="00F21079">
        <w:rPr>
          <w:rFonts w:ascii="Arial" w:hAnsi="Arial" w:cs="Arial"/>
          <w:sz w:val="32"/>
          <w:szCs w:val="32"/>
        </w:rPr>
        <w:t>References</w:t>
      </w:r>
      <w:bookmarkEnd w:id="18"/>
    </w:p>
    <w:p w14:paraId="45163258" w14:textId="2F364841"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fldChar w:fldCharType="begin" w:fldLock="1"/>
      </w:r>
      <w:r>
        <w:instrText xml:space="preserve">ADDIN Mendeley Bibliography CSL_BIBLIOGRAPHY </w:instrText>
      </w:r>
      <w:r>
        <w:fldChar w:fldCharType="separate"/>
      </w:r>
      <w:r w:rsidRPr="00F21079">
        <w:rPr>
          <w:rFonts w:ascii="Aptos" w:hAnsi="Aptos" w:cs="Times New Roman"/>
          <w:noProof/>
          <w:kern w:val="0"/>
        </w:rPr>
        <w:t>[1]</w:t>
      </w:r>
      <w:r w:rsidRPr="00F21079">
        <w:rPr>
          <w:rFonts w:ascii="Aptos" w:hAnsi="Aptos" w:cs="Times New Roman"/>
          <w:noProof/>
          <w:kern w:val="0"/>
        </w:rPr>
        <w:tab/>
        <w:t>CISA, “Defining Insider Threats,” CISA. [Online]. Available: https://www.cisa.gov/topics/physical-security/insider-threat-mitigation/defining-insider-threats</w:t>
      </w:r>
    </w:p>
    <w:p w14:paraId="7F962C9C"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[2]</w:t>
      </w:r>
      <w:r w:rsidRPr="00F21079">
        <w:rPr>
          <w:rFonts w:ascii="Aptos" w:hAnsi="Aptos" w:cs="Times New Roman"/>
          <w:noProof/>
          <w:kern w:val="0"/>
        </w:rPr>
        <w:tab/>
        <w:t>K. Baker, “What is Ransomware as a Service (RaaS)? | CrowdStrike.” Accessed: May 20, 2026. [Online]. Available: https://www.crowdstrike.com/en-us/cybersecurity-101/ransomware/ransomware-as-a-service-raas/</w:t>
      </w:r>
    </w:p>
    <w:p w14:paraId="3F3A6A49" w14:textId="10D8838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[3]</w:t>
      </w:r>
      <w:r w:rsidRPr="00F21079">
        <w:rPr>
          <w:rFonts w:ascii="Aptos" w:hAnsi="Aptos" w:cs="Times New Roman"/>
          <w:noProof/>
          <w:kern w:val="0"/>
        </w:rPr>
        <w:tab/>
        <w:t xml:space="preserve">S. Tummalapenta, “How a new wave of deepfake-driven cyber crime targets businesses [online],” </w:t>
      </w:r>
      <w:r w:rsidRPr="00F21079">
        <w:rPr>
          <w:rFonts w:ascii="Aptos" w:hAnsi="Aptos" w:cs="Times New Roman"/>
          <w:i/>
          <w:iCs/>
          <w:noProof/>
          <w:kern w:val="0"/>
        </w:rPr>
        <w:t>IBM</w:t>
      </w:r>
      <w:r w:rsidRPr="00F21079">
        <w:rPr>
          <w:rFonts w:ascii="Aptos" w:hAnsi="Aptos" w:cs="Times New Roman"/>
          <w:noProof/>
          <w:kern w:val="0"/>
        </w:rPr>
        <w:t xml:space="preserve">, Jan. . [Online]. </w:t>
      </w:r>
      <w:r w:rsidR="00660FCC">
        <w:rPr>
          <w:rFonts w:ascii="Aptos" w:hAnsi="Aptos" w:cs="Times New Roman"/>
          <w:noProof/>
          <w:kern w:val="0"/>
        </w:rPr>
        <w:t xml:space="preserve">2024 </w:t>
      </w:r>
      <w:r w:rsidRPr="00F21079">
        <w:rPr>
          <w:rFonts w:ascii="Aptos" w:hAnsi="Aptos" w:cs="Times New Roman"/>
          <w:noProof/>
          <w:kern w:val="0"/>
        </w:rPr>
        <w:t>Available: https://www.ibm.com/think/insights/new-wave-deepfake-cybercrime</w:t>
      </w:r>
    </w:p>
    <w:p w14:paraId="3F0C580C"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[4]</w:t>
      </w:r>
      <w:r w:rsidRPr="00F21079">
        <w:rPr>
          <w:rFonts w:ascii="Aptos" w:hAnsi="Aptos" w:cs="Times New Roman"/>
          <w:noProof/>
          <w:kern w:val="0"/>
        </w:rPr>
        <w:tab/>
        <w:t>J. F. Miller, “Supply Chain Attack Framework and Attack Patterns,” vol. 7013, no. December 2013.</w:t>
      </w:r>
    </w:p>
    <w:p w14:paraId="579AA2EB"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[5]</w:t>
      </w:r>
      <w:r w:rsidRPr="00F21079">
        <w:rPr>
          <w:rFonts w:ascii="Aptos" w:hAnsi="Aptos" w:cs="Times New Roman"/>
          <w:noProof/>
          <w:kern w:val="0"/>
        </w:rPr>
        <w:tab/>
        <w:t xml:space="preserve">Miniakshi and T. Kumar, </w:t>
      </w:r>
      <w:r w:rsidRPr="00F21079">
        <w:rPr>
          <w:rFonts w:ascii="Aptos" w:hAnsi="Aptos" w:cs="Times New Roman"/>
          <w:i/>
          <w:iCs/>
          <w:noProof/>
          <w:kern w:val="0"/>
        </w:rPr>
        <w:t>Risk-Based Approach to Secure Cloud Migration</w:t>
      </w:r>
      <w:r w:rsidRPr="00F21079">
        <w:rPr>
          <w:rFonts w:ascii="Aptos" w:hAnsi="Aptos" w:cs="Times New Roman"/>
          <w:noProof/>
          <w:kern w:val="0"/>
        </w:rPr>
        <w:t>. IGI Global Scientific Publishing, 2025.</w:t>
      </w:r>
    </w:p>
    <w:p w14:paraId="6268F40D"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[6]</w:t>
      </w:r>
      <w:r w:rsidRPr="00F21079">
        <w:rPr>
          <w:rFonts w:ascii="Aptos" w:hAnsi="Aptos" w:cs="Times New Roman"/>
          <w:noProof/>
          <w:kern w:val="0"/>
        </w:rPr>
        <w:tab/>
        <w:t xml:space="preserve">S. Rose, O. Borchert, S. Mitchell, and S. Connelly, “[NIST SP 800-207] Zero Trust Architecture Technology, National Institute of Standards,” </w:t>
      </w:r>
      <w:r w:rsidRPr="00F21079">
        <w:rPr>
          <w:rFonts w:ascii="Aptos" w:hAnsi="Aptos" w:cs="Times New Roman"/>
          <w:i/>
          <w:iCs/>
          <w:noProof/>
          <w:kern w:val="0"/>
        </w:rPr>
        <w:t>Nist</w:t>
      </w:r>
      <w:r w:rsidRPr="00F21079">
        <w:rPr>
          <w:rFonts w:ascii="Aptos" w:hAnsi="Aptos" w:cs="Times New Roman"/>
          <w:noProof/>
          <w:kern w:val="0"/>
        </w:rPr>
        <w:t>, 2020, [Online]. Available: https://nvlpubs.nist.gov/nistpubs/SpecialPublications/NIST.SP.800-207-draft2.pdf</w:t>
      </w:r>
    </w:p>
    <w:p w14:paraId="6F677907"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[7]</w:t>
      </w:r>
      <w:r w:rsidRPr="00F21079">
        <w:rPr>
          <w:rFonts w:ascii="Aptos" w:hAnsi="Aptos" w:cs="Times New Roman"/>
          <w:noProof/>
          <w:kern w:val="0"/>
        </w:rPr>
        <w:tab/>
        <w:t>Microsoft Support, “What is: Multifactor Authentication,” Microsoft. [Online]. Available: https://support.microsoft.com/en-us/security/what-is-multifactor-authentication</w:t>
      </w:r>
    </w:p>
    <w:p w14:paraId="6F9AE75E"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[8]</w:t>
      </w:r>
      <w:r w:rsidRPr="00F21079">
        <w:rPr>
          <w:rFonts w:ascii="Aptos" w:hAnsi="Aptos" w:cs="Times New Roman"/>
          <w:noProof/>
          <w:kern w:val="0"/>
        </w:rPr>
        <w:tab/>
        <w:t>Cisa, “The Journey to Zero Trust: Microsegmentation in Zero Trust Part One: Introduction and Planning,” 2025.</w:t>
      </w:r>
    </w:p>
    <w:p w14:paraId="24AAFBA8"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[9]</w:t>
      </w:r>
      <w:r w:rsidRPr="00F21079">
        <w:rPr>
          <w:rFonts w:ascii="Aptos" w:hAnsi="Aptos" w:cs="Times New Roman"/>
          <w:noProof/>
          <w:kern w:val="0"/>
        </w:rPr>
        <w:tab/>
        <w:t>Microsoft Security, “What is data loss prevention (DLP)?,” Microsoft Security. [Online]. Available: https://www.microsoft.com/en-us/security/business/security-101/what-is-data-loss-prevention-dlp</w:t>
      </w:r>
    </w:p>
    <w:p w14:paraId="4E853545" w14:textId="28691944"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[10]</w:t>
      </w:r>
      <w:r w:rsidRPr="00F21079">
        <w:rPr>
          <w:rFonts w:ascii="Aptos" w:hAnsi="Aptos" w:cs="Times New Roman"/>
          <w:noProof/>
          <w:kern w:val="0"/>
        </w:rPr>
        <w:tab/>
        <w:t>International Organization for Standardization, “ISO/IEC 27001:2022 Information Security Management Systems,” 20</w:t>
      </w:r>
      <w:r w:rsidR="00660FCC">
        <w:rPr>
          <w:rFonts w:ascii="Aptos" w:hAnsi="Aptos" w:cs="Times New Roman"/>
          <w:noProof/>
          <w:kern w:val="0"/>
        </w:rPr>
        <w:t>2</w:t>
      </w:r>
      <w:r w:rsidRPr="00F21079">
        <w:rPr>
          <w:rFonts w:ascii="Aptos" w:hAnsi="Aptos" w:cs="Times New Roman"/>
          <w:noProof/>
          <w:kern w:val="0"/>
        </w:rPr>
        <w:t>2. [Online]. Available: iso.org</w:t>
      </w:r>
    </w:p>
    <w:p w14:paraId="67597EB7"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[11]</w:t>
      </w:r>
      <w:r w:rsidRPr="00F21079">
        <w:rPr>
          <w:rFonts w:ascii="Aptos" w:hAnsi="Aptos" w:cs="Times New Roman"/>
          <w:noProof/>
          <w:kern w:val="0"/>
        </w:rPr>
        <w:tab/>
        <w:t xml:space="preserve">Microsoft Learn, “What is Cloud Security Posture Management (CSPM) [Online],” </w:t>
      </w:r>
      <w:r w:rsidRPr="00F21079">
        <w:rPr>
          <w:rFonts w:ascii="Aptos" w:hAnsi="Aptos" w:cs="Times New Roman"/>
          <w:i/>
          <w:iCs/>
          <w:noProof/>
          <w:kern w:val="0"/>
        </w:rPr>
        <w:t>Microsoft Def. Cloud</w:t>
      </w:r>
      <w:r w:rsidRPr="00F21079">
        <w:rPr>
          <w:rFonts w:ascii="Aptos" w:hAnsi="Aptos" w:cs="Times New Roman"/>
          <w:noProof/>
          <w:kern w:val="0"/>
        </w:rPr>
        <w:t>, [Online]. Available: https://learn.microsoft.com/en-us/azure/defender-for-cloud/concept-cloud-security-posture-management</w:t>
      </w:r>
    </w:p>
    <w:p w14:paraId="6F5F2CD6"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[12]</w:t>
      </w:r>
      <w:r w:rsidRPr="00F21079">
        <w:rPr>
          <w:rFonts w:ascii="Aptos" w:hAnsi="Aptos" w:cs="Times New Roman"/>
          <w:noProof/>
          <w:kern w:val="0"/>
        </w:rPr>
        <w:tab/>
        <w:t>CISA, “Information and Communications Technology Supply Chain Risk Management,” CISA. [Online]. Available: https://www.cisa.gov/information-and-communications-technology-supply-chain-risk-management</w:t>
      </w:r>
    </w:p>
    <w:p w14:paraId="3147FF56"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[13]</w:t>
      </w:r>
      <w:r w:rsidRPr="00F21079">
        <w:rPr>
          <w:rFonts w:ascii="Aptos" w:hAnsi="Aptos" w:cs="Times New Roman"/>
          <w:noProof/>
          <w:kern w:val="0"/>
        </w:rPr>
        <w:tab/>
        <w:t>NIST, “NIST Special Publication 800-161 - Supply Chain Risk Management Practices for Federal Information Systems and Organizations,” 2022.</w:t>
      </w:r>
    </w:p>
    <w:p w14:paraId="321B47CE"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[14]</w:t>
      </w:r>
      <w:r w:rsidRPr="00F21079">
        <w:rPr>
          <w:rFonts w:ascii="Aptos" w:hAnsi="Aptos" w:cs="Times New Roman"/>
          <w:noProof/>
          <w:kern w:val="0"/>
        </w:rPr>
        <w:tab/>
        <w:t xml:space="preserve">P. T. Mobley, “SIEM/SOAR,” in </w:t>
      </w:r>
      <w:r w:rsidRPr="00F21079">
        <w:rPr>
          <w:rFonts w:ascii="Aptos" w:hAnsi="Aptos" w:cs="Times New Roman"/>
          <w:i/>
          <w:iCs/>
          <w:noProof/>
          <w:kern w:val="0"/>
        </w:rPr>
        <w:t xml:space="preserve">An Introduction to Cybersecurity and Digital </w:t>
      </w:r>
      <w:r w:rsidRPr="00F21079">
        <w:rPr>
          <w:rFonts w:ascii="Aptos" w:hAnsi="Aptos" w:cs="Times New Roman"/>
          <w:i/>
          <w:iCs/>
          <w:noProof/>
          <w:kern w:val="0"/>
        </w:rPr>
        <w:lastRenderedPageBreak/>
        <w:t>Investigations</w:t>
      </w:r>
      <w:r w:rsidRPr="00F21079">
        <w:rPr>
          <w:rFonts w:ascii="Aptos" w:hAnsi="Aptos" w:cs="Times New Roman"/>
          <w:noProof/>
          <w:kern w:val="0"/>
        </w:rPr>
        <w:t>, Christian Fiath Publishing, 2026, ch. 14.</w:t>
      </w:r>
    </w:p>
    <w:p w14:paraId="5B9E8133" w14:textId="77777777" w:rsidR="00F21079" w:rsidRPr="00F21079" w:rsidRDefault="00F21079" w:rsidP="00F21079">
      <w:pPr>
        <w:widowControl w:val="0"/>
        <w:autoSpaceDE w:val="0"/>
        <w:autoSpaceDN w:val="0"/>
        <w:adjustRightInd w:val="0"/>
        <w:spacing w:line="240" w:lineRule="auto"/>
        <w:ind w:left="640" w:hanging="640"/>
        <w:rPr>
          <w:rFonts w:ascii="Aptos" w:hAnsi="Aptos" w:cs="Times New Roman"/>
          <w:noProof/>
          <w:kern w:val="0"/>
        </w:rPr>
      </w:pPr>
      <w:r w:rsidRPr="00F21079">
        <w:rPr>
          <w:rFonts w:ascii="Aptos" w:hAnsi="Aptos" w:cs="Times New Roman"/>
          <w:noProof/>
          <w:kern w:val="0"/>
        </w:rPr>
        <w:t>[15]</w:t>
      </w:r>
      <w:r w:rsidRPr="00F21079">
        <w:rPr>
          <w:rFonts w:ascii="Aptos" w:hAnsi="Aptos" w:cs="Times New Roman"/>
          <w:noProof/>
          <w:kern w:val="0"/>
        </w:rPr>
        <w:tab/>
        <w:t xml:space="preserve">IBM, “CISOs list human error as their top cybersecurity risk [online],” </w:t>
      </w:r>
      <w:r w:rsidRPr="00F21079">
        <w:rPr>
          <w:rFonts w:ascii="Aptos" w:hAnsi="Aptos" w:cs="Times New Roman"/>
          <w:i/>
          <w:iCs/>
          <w:noProof/>
          <w:kern w:val="0"/>
        </w:rPr>
        <w:t>IBM</w:t>
      </w:r>
      <w:r w:rsidRPr="00F21079">
        <w:rPr>
          <w:rFonts w:ascii="Aptos" w:hAnsi="Aptos" w:cs="Times New Roman"/>
          <w:noProof/>
          <w:kern w:val="0"/>
        </w:rPr>
        <w:t>. [Online]. Available: https://www.ibm.com/think/insights/cisos-list-human-error-top-cybersecurity-risk</w:t>
      </w:r>
    </w:p>
    <w:p w14:paraId="6ACF79C9" w14:textId="77777777" w:rsidR="00F21079" w:rsidRPr="00F21079" w:rsidRDefault="00F21079" w:rsidP="00F21079">
      <w:pPr>
        <w:widowControl w:val="0"/>
        <w:autoSpaceDE w:val="0"/>
        <w:autoSpaceDN w:val="0"/>
        <w:adjustRightInd w:val="0"/>
        <w:spacing w:line="240" w:lineRule="auto"/>
        <w:ind w:left="640" w:hanging="640"/>
        <w:rPr>
          <w:rFonts w:ascii="Aptos" w:hAnsi="Aptos"/>
          <w:noProof/>
        </w:rPr>
      </w:pPr>
      <w:r w:rsidRPr="00F21079">
        <w:rPr>
          <w:rFonts w:ascii="Aptos" w:hAnsi="Aptos" w:cs="Times New Roman"/>
          <w:noProof/>
          <w:kern w:val="0"/>
        </w:rPr>
        <w:t>[16]</w:t>
      </w:r>
      <w:r w:rsidRPr="00F21079">
        <w:rPr>
          <w:rFonts w:ascii="Aptos" w:hAnsi="Aptos" w:cs="Times New Roman"/>
          <w:noProof/>
          <w:kern w:val="0"/>
        </w:rPr>
        <w:tab/>
        <w:t>KnowBe4, “Best Security Awareness Training Products,” KnowBe4. [Online]. Available: https://www.knowbe4.com/compare/leading-security-awareness-training#Criticalcapabilities</w:t>
      </w:r>
    </w:p>
    <w:p w14:paraId="3B3E835E" w14:textId="5D1CA6C2" w:rsidR="00F21079" w:rsidRPr="00F21079" w:rsidRDefault="00F21079" w:rsidP="00F21079">
      <w:r>
        <w:fldChar w:fldCharType="end"/>
      </w:r>
    </w:p>
    <w:p w14:paraId="0C2D1BCE" w14:textId="48A0CEAB" w:rsidR="00F21079" w:rsidRDefault="00F21079" w:rsidP="00F21079">
      <w:pPr>
        <w:pStyle w:val="Heading1"/>
        <w:rPr>
          <w:rFonts w:ascii="Arial" w:hAnsi="Arial" w:cs="Arial"/>
          <w:sz w:val="32"/>
          <w:szCs w:val="32"/>
        </w:rPr>
      </w:pPr>
      <w:bookmarkStart w:id="19" w:name="_Toc230298451"/>
      <w:r w:rsidRPr="00F21079">
        <w:rPr>
          <w:rFonts w:ascii="Arial" w:hAnsi="Arial" w:cs="Arial"/>
          <w:sz w:val="32"/>
          <w:szCs w:val="32"/>
        </w:rPr>
        <w:t>Appendix</w:t>
      </w:r>
      <w:bookmarkEnd w:id="19"/>
    </w:p>
    <w:p w14:paraId="2AD95CA3" w14:textId="6EF8DFF1" w:rsidR="00F21079" w:rsidRDefault="00F21079" w:rsidP="00F21079">
      <w:pPr>
        <w:pStyle w:val="Heading2"/>
        <w:rPr>
          <w:sz w:val="28"/>
          <w:szCs w:val="28"/>
        </w:rPr>
      </w:pPr>
      <w:bookmarkStart w:id="20" w:name="_Toc230298452"/>
      <w:r w:rsidRPr="00F21079">
        <w:rPr>
          <w:sz w:val="28"/>
          <w:szCs w:val="28"/>
        </w:rPr>
        <w:t>Presentation</w:t>
      </w:r>
      <w:bookmarkEnd w:id="20"/>
    </w:p>
    <w:p w14:paraId="332913A2" w14:textId="0E07D0BD" w:rsidR="00D54D5A" w:rsidRPr="00D54D5A" w:rsidRDefault="00D54D5A" w:rsidP="00D54D5A"/>
    <w:p w14:paraId="5C01823D" w14:textId="5B9A2FB3" w:rsidR="00D54D5A" w:rsidRPr="00D54D5A" w:rsidRDefault="00D54D5A" w:rsidP="00D54D5A">
      <w:pPr>
        <w:pStyle w:val="Heading3"/>
      </w:pPr>
      <w:r w:rsidRPr="00D54D5A">
        <w:drawing>
          <wp:anchor distT="0" distB="0" distL="114300" distR="114300" simplePos="0" relativeHeight="251664384" behindDoc="0" locked="0" layoutInCell="1" allowOverlap="1" wp14:anchorId="5520FA45" wp14:editId="02B7E440">
            <wp:simplePos x="0" y="0"/>
            <wp:positionH relativeFrom="margin">
              <wp:align>left</wp:align>
            </wp:positionH>
            <wp:positionV relativeFrom="paragraph">
              <wp:posOffset>250190</wp:posOffset>
            </wp:positionV>
            <wp:extent cx="5731510" cy="3223895"/>
            <wp:effectExtent l="0" t="0" r="2540" b="0"/>
            <wp:wrapTopAndBottom/>
            <wp:docPr id="325949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949025"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r>
        <w:t>Slide 1</w:t>
      </w:r>
    </w:p>
    <w:p w14:paraId="4FA065FC" w14:textId="1FDC9075" w:rsidR="00D54D5A" w:rsidRPr="00D54D5A" w:rsidRDefault="00D54D5A" w:rsidP="00D54D5A"/>
    <w:p w14:paraId="588CFC75" w14:textId="3107A1DA" w:rsidR="00F21079" w:rsidRDefault="00F21079" w:rsidP="00F21079"/>
    <w:p w14:paraId="39F2CEA9" w14:textId="77777777" w:rsidR="00D54D5A" w:rsidRDefault="00D54D5A" w:rsidP="00F21079"/>
    <w:p w14:paraId="177E3969" w14:textId="77777777" w:rsidR="00D54D5A" w:rsidRDefault="00D54D5A" w:rsidP="00F21079"/>
    <w:p w14:paraId="56EED040" w14:textId="77777777" w:rsidR="00D54D5A" w:rsidRDefault="00D54D5A" w:rsidP="00F21079"/>
    <w:p w14:paraId="0A22691B" w14:textId="77777777" w:rsidR="00D54D5A" w:rsidRDefault="00D54D5A" w:rsidP="00F21079"/>
    <w:p w14:paraId="20BA2E90" w14:textId="77777777" w:rsidR="00D54D5A" w:rsidRDefault="00D54D5A" w:rsidP="00F21079"/>
    <w:p w14:paraId="090A34FE" w14:textId="7104E7BB" w:rsidR="00D54D5A" w:rsidRDefault="00D54D5A" w:rsidP="00D54D5A">
      <w:pPr>
        <w:pStyle w:val="Heading3"/>
      </w:pPr>
      <w:r>
        <w:lastRenderedPageBreak/>
        <w:t>Slide 2</w:t>
      </w:r>
    </w:p>
    <w:p w14:paraId="500D8006" w14:textId="3923A806" w:rsidR="00D54D5A" w:rsidRDefault="00D54D5A" w:rsidP="00F21079">
      <w:r w:rsidRPr="00D54D5A">
        <w:drawing>
          <wp:inline distT="0" distB="0" distL="0" distR="0" wp14:anchorId="27F1AE05" wp14:editId="596BF0E1">
            <wp:extent cx="5731510" cy="3223895"/>
            <wp:effectExtent l="0" t="0" r="2540" b="0"/>
            <wp:docPr id="16995542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54273" name=""/>
                    <pic:cNvPicPr/>
                  </pic:nvPicPr>
                  <pic:blipFill>
                    <a:blip r:embed="rId13"/>
                    <a:stretch>
                      <a:fillRect/>
                    </a:stretch>
                  </pic:blipFill>
                  <pic:spPr>
                    <a:xfrm>
                      <a:off x="0" y="0"/>
                      <a:ext cx="5731510" cy="3223895"/>
                    </a:xfrm>
                    <a:prstGeom prst="rect">
                      <a:avLst/>
                    </a:prstGeom>
                  </pic:spPr>
                </pic:pic>
              </a:graphicData>
            </a:graphic>
          </wp:inline>
        </w:drawing>
      </w:r>
    </w:p>
    <w:p w14:paraId="1901DC45" w14:textId="77777777" w:rsidR="00D54D5A" w:rsidRDefault="00D54D5A" w:rsidP="00F21079"/>
    <w:p w14:paraId="086A2FCB" w14:textId="3E0D1FEB" w:rsidR="00D54D5A" w:rsidRDefault="00D54D5A" w:rsidP="00D54D5A">
      <w:pPr>
        <w:pStyle w:val="Heading3"/>
      </w:pPr>
      <w:r>
        <w:t>Slide 3</w:t>
      </w:r>
    </w:p>
    <w:p w14:paraId="256162E3" w14:textId="340BD52C" w:rsidR="00D54D5A" w:rsidRDefault="00D54D5A" w:rsidP="00D54D5A">
      <w:r>
        <w:t xml:space="preserve"> </w:t>
      </w:r>
      <w:r w:rsidRPr="00D54D5A">
        <w:drawing>
          <wp:inline distT="0" distB="0" distL="0" distR="0" wp14:anchorId="44FDCF9A" wp14:editId="5867D95E">
            <wp:extent cx="5731510" cy="3223895"/>
            <wp:effectExtent l="0" t="0" r="2540" b="0"/>
            <wp:docPr id="613179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179598" name=""/>
                    <pic:cNvPicPr/>
                  </pic:nvPicPr>
                  <pic:blipFill>
                    <a:blip r:embed="rId14"/>
                    <a:stretch>
                      <a:fillRect/>
                    </a:stretch>
                  </pic:blipFill>
                  <pic:spPr>
                    <a:xfrm>
                      <a:off x="0" y="0"/>
                      <a:ext cx="5731510" cy="3223895"/>
                    </a:xfrm>
                    <a:prstGeom prst="rect">
                      <a:avLst/>
                    </a:prstGeom>
                  </pic:spPr>
                </pic:pic>
              </a:graphicData>
            </a:graphic>
          </wp:inline>
        </w:drawing>
      </w:r>
    </w:p>
    <w:p w14:paraId="6FAFA105" w14:textId="77777777" w:rsidR="00D54D5A" w:rsidRDefault="00D54D5A" w:rsidP="00D54D5A"/>
    <w:p w14:paraId="741231C4" w14:textId="01EB67B0" w:rsidR="00D54D5A" w:rsidRDefault="00D54D5A" w:rsidP="00D54D5A">
      <w:pPr>
        <w:pStyle w:val="Heading3"/>
      </w:pPr>
      <w:r>
        <w:lastRenderedPageBreak/>
        <w:t>Slide 4</w:t>
      </w:r>
    </w:p>
    <w:p w14:paraId="68FA1175" w14:textId="41E397FC" w:rsidR="00D54D5A" w:rsidRDefault="00D54D5A" w:rsidP="00D54D5A">
      <w:r w:rsidRPr="00D54D5A">
        <w:drawing>
          <wp:inline distT="0" distB="0" distL="0" distR="0" wp14:anchorId="534A74F0" wp14:editId="1DA016F7">
            <wp:extent cx="5731510" cy="3218180"/>
            <wp:effectExtent l="0" t="0" r="2540" b="1270"/>
            <wp:docPr id="923630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3630668" name=""/>
                    <pic:cNvPicPr/>
                  </pic:nvPicPr>
                  <pic:blipFill>
                    <a:blip r:embed="rId15"/>
                    <a:stretch>
                      <a:fillRect/>
                    </a:stretch>
                  </pic:blipFill>
                  <pic:spPr>
                    <a:xfrm>
                      <a:off x="0" y="0"/>
                      <a:ext cx="5731510" cy="3218180"/>
                    </a:xfrm>
                    <a:prstGeom prst="rect">
                      <a:avLst/>
                    </a:prstGeom>
                  </pic:spPr>
                </pic:pic>
              </a:graphicData>
            </a:graphic>
          </wp:inline>
        </w:drawing>
      </w:r>
    </w:p>
    <w:p w14:paraId="39E18811" w14:textId="77777777" w:rsidR="00D54D5A" w:rsidRDefault="00D54D5A" w:rsidP="00D54D5A"/>
    <w:p w14:paraId="44DD58D2" w14:textId="4D3A269D" w:rsidR="00D54D5A" w:rsidRDefault="00D54D5A" w:rsidP="00D54D5A">
      <w:pPr>
        <w:pStyle w:val="Heading3"/>
      </w:pPr>
      <w:r>
        <w:t>Slide 5</w:t>
      </w:r>
    </w:p>
    <w:p w14:paraId="060CAFB9" w14:textId="1FB4C7A1" w:rsidR="00D54D5A" w:rsidRDefault="00D54D5A" w:rsidP="00D54D5A">
      <w:r w:rsidRPr="00D54D5A">
        <w:drawing>
          <wp:inline distT="0" distB="0" distL="0" distR="0" wp14:anchorId="755B1FDA" wp14:editId="11DBF16A">
            <wp:extent cx="5731510" cy="3224530"/>
            <wp:effectExtent l="0" t="0" r="2540" b="0"/>
            <wp:docPr id="12482574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8257476" name=""/>
                    <pic:cNvPicPr/>
                  </pic:nvPicPr>
                  <pic:blipFill>
                    <a:blip r:embed="rId16"/>
                    <a:stretch>
                      <a:fillRect/>
                    </a:stretch>
                  </pic:blipFill>
                  <pic:spPr>
                    <a:xfrm>
                      <a:off x="0" y="0"/>
                      <a:ext cx="5731510" cy="3224530"/>
                    </a:xfrm>
                    <a:prstGeom prst="rect">
                      <a:avLst/>
                    </a:prstGeom>
                  </pic:spPr>
                </pic:pic>
              </a:graphicData>
            </a:graphic>
          </wp:inline>
        </w:drawing>
      </w:r>
    </w:p>
    <w:p w14:paraId="6ACE2029" w14:textId="77777777" w:rsidR="00D54D5A" w:rsidRDefault="00D54D5A" w:rsidP="00D54D5A">
      <w:pPr>
        <w:pStyle w:val="Heading3"/>
        <w:numPr>
          <w:ilvl w:val="0"/>
          <w:numId w:val="0"/>
        </w:numPr>
        <w:ind w:left="720"/>
      </w:pPr>
    </w:p>
    <w:p w14:paraId="5A406444" w14:textId="3409826A" w:rsidR="00D54D5A" w:rsidRDefault="00D54D5A" w:rsidP="00D54D5A">
      <w:pPr>
        <w:pStyle w:val="Heading3"/>
      </w:pPr>
      <w:r>
        <w:t>Slide 6</w:t>
      </w:r>
    </w:p>
    <w:p w14:paraId="141AA614" w14:textId="64811CA8" w:rsidR="00D54D5A" w:rsidRDefault="00D54D5A" w:rsidP="00D54D5A">
      <w:r w:rsidRPr="00D54D5A">
        <w:drawing>
          <wp:inline distT="0" distB="0" distL="0" distR="0" wp14:anchorId="483532DF" wp14:editId="7A89D173">
            <wp:extent cx="5731510" cy="3223260"/>
            <wp:effectExtent l="0" t="0" r="2540" b="0"/>
            <wp:docPr id="1709359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9359419" name=""/>
                    <pic:cNvPicPr/>
                  </pic:nvPicPr>
                  <pic:blipFill>
                    <a:blip r:embed="rId17"/>
                    <a:stretch>
                      <a:fillRect/>
                    </a:stretch>
                  </pic:blipFill>
                  <pic:spPr>
                    <a:xfrm>
                      <a:off x="0" y="0"/>
                      <a:ext cx="5731510" cy="3223260"/>
                    </a:xfrm>
                    <a:prstGeom prst="rect">
                      <a:avLst/>
                    </a:prstGeom>
                  </pic:spPr>
                </pic:pic>
              </a:graphicData>
            </a:graphic>
          </wp:inline>
        </w:drawing>
      </w:r>
    </w:p>
    <w:p w14:paraId="57802AC6" w14:textId="77777777" w:rsidR="00D54D5A" w:rsidRDefault="00D54D5A" w:rsidP="00D54D5A"/>
    <w:p w14:paraId="7267FD73" w14:textId="05E2A997" w:rsidR="00D54D5A" w:rsidRDefault="00D54D5A" w:rsidP="00D54D5A">
      <w:pPr>
        <w:pStyle w:val="Heading3"/>
      </w:pPr>
      <w:r>
        <w:t>Slide 7</w:t>
      </w:r>
    </w:p>
    <w:p w14:paraId="41764B4F" w14:textId="2276023D" w:rsidR="00D54D5A" w:rsidRDefault="00D54D5A" w:rsidP="00D54D5A">
      <w:r w:rsidRPr="00D54D5A">
        <w:drawing>
          <wp:inline distT="0" distB="0" distL="0" distR="0" wp14:anchorId="2440A69E" wp14:editId="67B9AAB5">
            <wp:extent cx="5731510" cy="3216910"/>
            <wp:effectExtent l="0" t="0" r="2540" b="2540"/>
            <wp:docPr id="7772327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32712" name=""/>
                    <pic:cNvPicPr/>
                  </pic:nvPicPr>
                  <pic:blipFill>
                    <a:blip r:embed="rId18"/>
                    <a:stretch>
                      <a:fillRect/>
                    </a:stretch>
                  </pic:blipFill>
                  <pic:spPr>
                    <a:xfrm>
                      <a:off x="0" y="0"/>
                      <a:ext cx="5731510" cy="3216910"/>
                    </a:xfrm>
                    <a:prstGeom prst="rect">
                      <a:avLst/>
                    </a:prstGeom>
                  </pic:spPr>
                </pic:pic>
              </a:graphicData>
            </a:graphic>
          </wp:inline>
        </w:drawing>
      </w:r>
    </w:p>
    <w:p w14:paraId="45D28F3F" w14:textId="77777777" w:rsidR="00D54D5A" w:rsidRDefault="00D54D5A" w:rsidP="00D54D5A"/>
    <w:p w14:paraId="4EBC573F" w14:textId="77777777" w:rsidR="00D54D5A" w:rsidRDefault="00D54D5A" w:rsidP="00D54D5A"/>
    <w:p w14:paraId="5C1219F6" w14:textId="30D31F69" w:rsidR="00D54D5A" w:rsidRDefault="00D54D5A" w:rsidP="00D54D5A">
      <w:pPr>
        <w:pStyle w:val="Heading3"/>
      </w:pPr>
      <w:r>
        <w:lastRenderedPageBreak/>
        <w:t>Slide 8</w:t>
      </w:r>
    </w:p>
    <w:p w14:paraId="02CFC178" w14:textId="6AD8C597" w:rsidR="00D54D5A" w:rsidRDefault="00D54D5A" w:rsidP="00D54D5A">
      <w:r w:rsidRPr="00D54D5A">
        <w:drawing>
          <wp:inline distT="0" distB="0" distL="0" distR="0" wp14:anchorId="1921227A" wp14:editId="0A96CBB9">
            <wp:extent cx="5731510" cy="3226435"/>
            <wp:effectExtent l="0" t="0" r="2540" b="0"/>
            <wp:docPr id="14356312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631284" name=""/>
                    <pic:cNvPicPr/>
                  </pic:nvPicPr>
                  <pic:blipFill>
                    <a:blip r:embed="rId19"/>
                    <a:stretch>
                      <a:fillRect/>
                    </a:stretch>
                  </pic:blipFill>
                  <pic:spPr>
                    <a:xfrm>
                      <a:off x="0" y="0"/>
                      <a:ext cx="5731510" cy="3226435"/>
                    </a:xfrm>
                    <a:prstGeom prst="rect">
                      <a:avLst/>
                    </a:prstGeom>
                  </pic:spPr>
                </pic:pic>
              </a:graphicData>
            </a:graphic>
          </wp:inline>
        </w:drawing>
      </w:r>
    </w:p>
    <w:p w14:paraId="14F429CA" w14:textId="77777777" w:rsidR="00D54D5A" w:rsidRDefault="00D54D5A" w:rsidP="00D54D5A"/>
    <w:p w14:paraId="27B870EA" w14:textId="78450E29" w:rsidR="00D54D5A" w:rsidRDefault="00D54D5A" w:rsidP="00D54D5A">
      <w:pPr>
        <w:pStyle w:val="Heading3"/>
      </w:pPr>
      <w:r>
        <w:t>Slide 9</w:t>
      </w:r>
    </w:p>
    <w:p w14:paraId="20ACE6E3" w14:textId="5BFA0FB6" w:rsidR="00D54D5A" w:rsidRDefault="00D54D5A" w:rsidP="00D54D5A">
      <w:r w:rsidRPr="00D54D5A">
        <w:drawing>
          <wp:inline distT="0" distB="0" distL="0" distR="0" wp14:anchorId="23399428" wp14:editId="4DC58637">
            <wp:extent cx="5731510" cy="3221355"/>
            <wp:effectExtent l="0" t="0" r="2540" b="0"/>
            <wp:docPr id="1394122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122978" name=""/>
                    <pic:cNvPicPr/>
                  </pic:nvPicPr>
                  <pic:blipFill>
                    <a:blip r:embed="rId20"/>
                    <a:stretch>
                      <a:fillRect/>
                    </a:stretch>
                  </pic:blipFill>
                  <pic:spPr>
                    <a:xfrm>
                      <a:off x="0" y="0"/>
                      <a:ext cx="5731510" cy="3221355"/>
                    </a:xfrm>
                    <a:prstGeom prst="rect">
                      <a:avLst/>
                    </a:prstGeom>
                  </pic:spPr>
                </pic:pic>
              </a:graphicData>
            </a:graphic>
          </wp:inline>
        </w:drawing>
      </w:r>
    </w:p>
    <w:p w14:paraId="5E951610" w14:textId="39D7E9E1" w:rsidR="00D54D5A" w:rsidRDefault="00D54D5A" w:rsidP="00D54D5A">
      <w:pPr>
        <w:pStyle w:val="Heading3"/>
        <w:numPr>
          <w:ilvl w:val="0"/>
          <w:numId w:val="0"/>
        </w:numPr>
      </w:pPr>
    </w:p>
    <w:p w14:paraId="4E10BA4A" w14:textId="77777777" w:rsidR="00D54D5A" w:rsidRDefault="00D54D5A" w:rsidP="00D54D5A"/>
    <w:p w14:paraId="6B4DA09C" w14:textId="77777777" w:rsidR="00D54D5A" w:rsidRPr="00D54D5A" w:rsidRDefault="00D54D5A" w:rsidP="00D54D5A"/>
    <w:p w14:paraId="0A2D7F53" w14:textId="1E4EC879" w:rsidR="00D54D5A" w:rsidRDefault="00D54D5A" w:rsidP="00D54D5A">
      <w:pPr>
        <w:pStyle w:val="Heading3"/>
      </w:pPr>
      <w:r>
        <w:lastRenderedPageBreak/>
        <w:t>Slide 10</w:t>
      </w:r>
    </w:p>
    <w:p w14:paraId="3A2F11EE" w14:textId="26116703" w:rsidR="00D54D5A" w:rsidRPr="00D54D5A" w:rsidRDefault="00D54D5A" w:rsidP="00D54D5A">
      <w:r w:rsidRPr="00D54D5A">
        <w:drawing>
          <wp:inline distT="0" distB="0" distL="0" distR="0" wp14:anchorId="04A993D1" wp14:editId="610E7553">
            <wp:extent cx="5731510" cy="3207385"/>
            <wp:effectExtent l="0" t="0" r="2540" b="0"/>
            <wp:docPr id="1623478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478966" name=""/>
                    <pic:cNvPicPr/>
                  </pic:nvPicPr>
                  <pic:blipFill>
                    <a:blip r:embed="rId21"/>
                    <a:stretch>
                      <a:fillRect/>
                    </a:stretch>
                  </pic:blipFill>
                  <pic:spPr>
                    <a:xfrm>
                      <a:off x="0" y="0"/>
                      <a:ext cx="5731510" cy="3207385"/>
                    </a:xfrm>
                    <a:prstGeom prst="rect">
                      <a:avLst/>
                    </a:prstGeom>
                  </pic:spPr>
                </pic:pic>
              </a:graphicData>
            </a:graphic>
          </wp:inline>
        </w:drawing>
      </w:r>
    </w:p>
    <w:sectPr w:rsidR="00D54D5A" w:rsidRPr="00D54D5A" w:rsidSect="00F21079">
      <w:footerReference w:type="default" r:id="rId22"/>
      <w:pgSz w:w="11906" w:h="16838"/>
      <w:pgMar w:top="1440" w:right="1440" w:bottom="1440" w:left="1440" w:header="708"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F63CC" w14:textId="77777777" w:rsidR="007115C5" w:rsidRDefault="007115C5" w:rsidP="00F21079">
      <w:pPr>
        <w:spacing w:after="0" w:line="240" w:lineRule="auto"/>
      </w:pPr>
      <w:r>
        <w:separator/>
      </w:r>
    </w:p>
  </w:endnote>
  <w:endnote w:type="continuationSeparator" w:id="0">
    <w:p w14:paraId="5F1F9296" w14:textId="77777777" w:rsidR="007115C5" w:rsidRDefault="007115C5" w:rsidP="00F210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3161162"/>
      <w:docPartObj>
        <w:docPartGallery w:val="Page Numbers (Bottom of Page)"/>
        <w:docPartUnique/>
      </w:docPartObj>
    </w:sdtPr>
    <w:sdtEndPr>
      <w:rPr>
        <w:noProof/>
      </w:rPr>
    </w:sdtEndPr>
    <w:sdtContent>
      <w:p w14:paraId="05869666" w14:textId="3AD2716C" w:rsidR="00F21079" w:rsidRDefault="00F210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3A3FF8D" w14:textId="77777777" w:rsidR="00F21079" w:rsidRDefault="00F210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01D0BE" w14:textId="77777777" w:rsidR="007115C5" w:rsidRDefault="007115C5" w:rsidP="00F21079">
      <w:pPr>
        <w:spacing w:after="0" w:line="240" w:lineRule="auto"/>
      </w:pPr>
      <w:r>
        <w:separator/>
      </w:r>
    </w:p>
  </w:footnote>
  <w:footnote w:type="continuationSeparator" w:id="0">
    <w:p w14:paraId="4F1C2A24" w14:textId="77777777" w:rsidR="007115C5" w:rsidRDefault="007115C5" w:rsidP="00F210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726E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877861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1079"/>
    <w:rsid w:val="002411FB"/>
    <w:rsid w:val="00247E16"/>
    <w:rsid w:val="002943BE"/>
    <w:rsid w:val="00404847"/>
    <w:rsid w:val="00660FCC"/>
    <w:rsid w:val="007115C5"/>
    <w:rsid w:val="00A347B1"/>
    <w:rsid w:val="00D54D5A"/>
    <w:rsid w:val="00F21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186EB5"/>
  <w15:chartTrackingRefBased/>
  <w15:docId w15:val="{1975860C-6E18-4078-B160-6B2F2A16A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1079"/>
    <w:pPr>
      <w:keepNext/>
      <w:keepLines/>
      <w:numPr>
        <w:numId w:val="1"/>
      </w:numPr>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21079"/>
    <w:pPr>
      <w:keepNext/>
      <w:keepLines/>
      <w:numPr>
        <w:ilvl w:val="1"/>
        <w:numId w:val="1"/>
      </w:numPr>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21079"/>
    <w:pPr>
      <w:keepNext/>
      <w:keepLines/>
      <w:numPr>
        <w:ilvl w:val="2"/>
        <w:numId w:val="1"/>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1079"/>
    <w:pPr>
      <w:keepNext/>
      <w:keepLines/>
      <w:numPr>
        <w:ilvl w:val="3"/>
        <w:numId w:val="1"/>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1079"/>
    <w:pPr>
      <w:keepNext/>
      <w:keepLines/>
      <w:numPr>
        <w:ilvl w:val="4"/>
        <w:numId w:val="1"/>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1079"/>
    <w:pPr>
      <w:keepNext/>
      <w:keepLines/>
      <w:numPr>
        <w:ilvl w:val="5"/>
        <w:numId w:val="1"/>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1079"/>
    <w:pPr>
      <w:keepNext/>
      <w:keepLines/>
      <w:numPr>
        <w:ilvl w:val="6"/>
        <w:numId w:val="1"/>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1079"/>
    <w:pPr>
      <w:keepNext/>
      <w:keepLines/>
      <w:numPr>
        <w:ilvl w:val="7"/>
        <w:numId w:val="1"/>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1079"/>
    <w:pPr>
      <w:keepNext/>
      <w:keepLines/>
      <w:numPr>
        <w:ilvl w:val="8"/>
        <w:numId w:val="1"/>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10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210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210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10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10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10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10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10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1079"/>
    <w:rPr>
      <w:rFonts w:eastAsiaTheme="majorEastAsia" w:cstheme="majorBidi"/>
      <w:color w:val="272727" w:themeColor="text1" w:themeTint="D8"/>
    </w:rPr>
  </w:style>
  <w:style w:type="paragraph" w:styleId="Title">
    <w:name w:val="Title"/>
    <w:basedOn w:val="Normal"/>
    <w:next w:val="Normal"/>
    <w:link w:val="TitleChar"/>
    <w:uiPriority w:val="10"/>
    <w:qFormat/>
    <w:rsid w:val="00F210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10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10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10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1079"/>
    <w:pPr>
      <w:spacing w:before="160"/>
      <w:jc w:val="center"/>
    </w:pPr>
    <w:rPr>
      <w:i/>
      <w:iCs/>
      <w:color w:val="404040" w:themeColor="text1" w:themeTint="BF"/>
    </w:rPr>
  </w:style>
  <w:style w:type="character" w:customStyle="1" w:styleId="QuoteChar">
    <w:name w:val="Quote Char"/>
    <w:basedOn w:val="DefaultParagraphFont"/>
    <w:link w:val="Quote"/>
    <w:uiPriority w:val="29"/>
    <w:rsid w:val="00F21079"/>
    <w:rPr>
      <w:i/>
      <w:iCs/>
      <w:color w:val="404040" w:themeColor="text1" w:themeTint="BF"/>
    </w:rPr>
  </w:style>
  <w:style w:type="paragraph" w:styleId="ListParagraph">
    <w:name w:val="List Paragraph"/>
    <w:basedOn w:val="Normal"/>
    <w:uiPriority w:val="34"/>
    <w:qFormat/>
    <w:rsid w:val="00F21079"/>
    <w:pPr>
      <w:ind w:left="720"/>
      <w:contextualSpacing/>
    </w:pPr>
  </w:style>
  <w:style w:type="character" w:styleId="IntenseEmphasis">
    <w:name w:val="Intense Emphasis"/>
    <w:basedOn w:val="DefaultParagraphFont"/>
    <w:uiPriority w:val="21"/>
    <w:qFormat/>
    <w:rsid w:val="00F21079"/>
    <w:rPr>
      <w:i/>
      <w:iCs/>
      <w:color w:val="0F4761" w:themeColor="accent1" w:themeShade="BF"/>
    </w:rPr>
  </w:style>
  <w:style w:type="paragraph" w:styleId="IntenseQuote">
    <w:name w:val="Intense Quote"/>
    <w:basedOn w:val="Normal"/>
    <w:next w:val="Normal"/>
    <w:link w:val="IntenseQuoteChar"/>
    <w:uiPriority w:val="30"/>
    <w:qFormat/>
    <w:rsid w:val="00F210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1079"/>
    <w:rPr>
      <w:i/>
      <w:iCs/>
      <w:color w:val="0F4761" w:themeColor="accent1" w:themeShade="BF"/>
    </w:rPr>
  </w:style>
  <w:style w:type="character" w:styleId="IntenseReference">
    <w:name w:val="Intense Reference"/>
    <w:basedOn w:val="DefaultParagraphFont"/>
    <w:uiPriority w:val="32"/>
    <w:qFormat/>
    <w:rsid w:val="00F21079"/>
    <w:rPr>
      <w:b/>
      <w:bCs/>
      <w:smallCaps/>
      <w:color w:val="0F4761" w:themeColor="accent1" w:themeShade="BF"/>
      <w:spacing w:val="5"/>
    </w:rPr>
  </w:style>
  <w:style w:type="paragraph" w:styleId="NoSpacing">
    <w:name w:val="No Spacing"/>
    <w:link w:val="NoSpacingChar"/>
    <w:uiPriority w:val="1"/>
    <w:qFormat/>
    <w:rsid w:val="00F21079"/>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1079"/>
    <w:rPr>
      <w:rFonts w:eastAsiaTheme="minorEastAsia"/>
      <w:kern w:val="0"/>
      <w:sz w:val="22"/>
      <w:szCs w:val="22"/>
      <w:lang w:val="en-US"/>
      <w14:ligatures w14:val="none"/>
    </w:rPr>
  </w:style>
  <w:style w:type="paragraph" w:styleId="Header">
    <w:name w:val="header"/>
    <w:basedOn w:val="Normal"/>
    <w:link w:val="HeaderChar"/>
    <w:uiPriority w:val="99"/>
    <w:unhideWhenUsed/>
    <w:rsid w:val="00F210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1079"/>
  </w:style>
  <w:style w:type="paragraph" w:styleId="Footer">
    <w:name w:val="footer"/>
    <w:basedOn w:val="Normal"/>
    <w:link w:val="FooterChar"/>
    <w:uiPriority w:val="99"/>
    <w:unhideWhenUsed/>
    <w:rsid w:val="00F210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1079"/>
  </w:style>
  <w:style w:type="paragraph" w:styleId="TOCHeading">
    <w:name w:val="TOC Heading"/>
    <w:basedOn w:val="Heading1"/>
    <w:next w:val="Normal"/>
    <w:uiPriority w:val="39"/>
    <w:unhideWhenUsed/>
    <w:qFormat/>
    <w:rsid w:val="00F21079"/>
    <w:pPr>
      <w:spacing w:before="240" w:after="0" w:line="259" w:lineRule="auto"/>
      <w:outlineLvl w:val="9"/>
    </w:pPr>
    <w:rPr>
      <w:kern w:val="0"/>
      <w:sz w:val="32"/>
      <w:szCs w:val="32"/>
      <w:lang w:val="en-US"/>
      <w14:ligatures w14:val="none"/>
    </w:rPr>
  </w:style>
  <w:style w:type="table" w:styleId="TableGrid">
    <w:name w:val="Table Grid"/>
    <w:basedOn w:val="TableNormal"/>
    <w:uiPriority w:val="39"/>
    <w:rsid w:val="00F210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247E16"/>
    <w:pPr>
      <w:spacing w:after="100"/>
    </w:pPr>
  </w:style>
  <w:style w:type="paragraph" w:styleId="TOC2">
    <w:name w:val="toc 2"/>
    <w:basedOn w:val="Normal"/>
    <w:next w:val="Normal"/>
    <w:autoRedefine/>
    <w:uiPriority w:val="39"/>
    <w:unhideWhenUsed/>
    <w:rsid w:val="00247E16"/>
    <w:pPr>
      <w:spacing w:after="100"/>
      <w:ind w:left="240"/>
    </w:pPr>
  </w:style>
  <w:style w:type="character" w:styleId="Hyperlink">
    <w:name w:val="Hyperlink"/>
    <w:basedOn w:val="DefaultParagraphFont"/>
    <w:uiPriority w:val="99"/>
    <w:unhideWhenUsed/>
    <w:rsid w:val="00247E1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Bethan Moyle (1707952)
</Abstract>
  <CompanyAddress/>
  <CompanyPhone/>
  <CompanyFax/>
  <CompanyEmail>1707952@student.uwtsd.ac.uk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6E418B-A415-4F6E-A8D9-328B1752C2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14</Pages>
  <Words>8839</Words>
  <Characters>50387</Characters>
  <Application>Microsoft Office Word</Application>
  <DocSecurity>0</DocSecurity>
  <Lines>419</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real-life scenario</dc:title>
  <dc:subject>Networks and Cyber Security Essentials</dc:subject>
  <dc:creator>Bethan Moyle (1707952)</dc:creator>
  <cp:keywords/>
  <dc:description/>
  <cp:lastModifiedBy>Bethan Moyle (1707952)</cp:lastModifiedBy>
  <cp:revision>3</cp:revision>
  <dcterms:created xsi:type="dcterms:W3CDTF">2026-05-21T22:08:00Z</dcterms:created>
  <dcterms:modified xsi:type="dcterms:W3CDTF">2026-05-21T23:00:00Z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6th/7th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12th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4th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9th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d2fec2b3-54ca-362e-bc4a-db495d0b13d1</vt:lpwstr>
  </property>
  <property fmtid="{D5CDD505-2E9C-101B-9397-08002B2CF9AE}" pid="24" name="Mendeley Citation Style_1">
    <vt:lpwstr>http://www.zotero.org/styles/ieee</vt:lpwstr>
  </property>
</Properties>
</file>