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655" w:rsidRPr="00221C13" w:rsidRDefault="00097655" w:rsidP="00097655">
      <w:pPr>
        <w:ind w:firstLine="720"/>
        <w:jc w:val="center"/>
        <w:rPr>
          <w:rFonts w:ascii="Arial" w:hAnsi="Arial" w:cs="Arial"/>
          <w:b/>
          <w:sz w:val="24"/>
          <w:szCs w:val="24"/>
          <w:u w:val="single"/>
        </w:rPr>
      </w:pPr>
      <w:bookmarkStart w:id="0" w:name="_GoBack"/>
      <w:bookmarkEnd w:id="0"/>
      <w:r w:rsidRPr="00221C13">
        <w:rPr>
          <w:rFonts w:ascii="Arial" w:hAnsi="Arial" w:cs="Arial"/>
          <w:b/>
          <w:sz w:val="24"/>
          <w:szCs w:val="24"/>
          <w:u w:val="single"/>
        </w:rPr>
        <w:t>CIPD Postgraduate Diploma in HRM</w:t>
      </w:r>
    </w:p>
    <w:p w:rsidR="00097655" w:rsidRPr="00221C13" w:rsidRDefault="00097655" w:rsidP="00097655">
      <w:pPr>
        <w:ind w:firstLine="720"/>
        <w:jc w:val="center"/>
        <w:rPr>
          <w:rFonts w:ascii="Arial" w:hAnsi="Arial" w:cs="Arial"/>
          <w:b/>
          <w:sz w:val="24"/>
          <w:szCs w:val="24"/>
          <w:u w:val="single"/>
        </w:rPr>
      </w:pPr>
      <w:r w:rsidRPr="00221C13">
        <w:rPr>
          <w:rFonts w:ascii="Arial" w:hAnsi="Arial" w:cs="Arial"/>
          <w:b/>
          <w:sz w:val="24"/>
          <w:szCs w:val="24"/>
          <w:u w:val="single"/>
        </w:rPr>
        <w:t>HRM in Context (BMHR7004)</w:t>
      </w:r>
    </w:p>
    <w:p w:rsidR="00097655" w:rsidRPr="00221C13" w:rsidRDefault="00097655" w:rsidP="00097655">
      <w:pPr>
        <w:rPr>
          <w:rFonts w:ascii="Arial" w:hAnsi="Arial" w:cs="Arial"/>
          <w:sz w:val="24"/>
          <w:szCs w:val="24"/>
        </w:rPr>
      </w:pPr>
      <w:r w:rsidRPr="00221C13">
        <w:rPr>
          <w:rFonts w:ascii="Arial" w:hAnsi="Arial" w:cs="Arial"/>
          <w:b/>
          <w:sz w:val="24"/>
          <w:szCs w:val="24"/>
        </w:rPr>
        <w:t>Name:</w:t>
      </w:r>
      <w:r w:rsidRPr="00221C13">
        <w:rPr>
          <w:rFonts w:ascii="Arial" w:hAnsi="Arial" w:cs="Arial"/>
          <w:sz w:val="24"/>
          <w:szCs w:val="24"/>
        </w:rPr>
        <w:t xml:space="preserve"> David Rees</w:t>
      </w:r>
    </w:p>
    <w:p w:rsidR="00097655" w:rsidRPr="00221C13" w:rsidRDefault="00097655" w:rsidP="00097655">
      <w:pPr>
        <w:rPr>
          <w:rFonts w:ascii="Arial" w:hAnsi="Arial" w:cs="Arial"/>
          <w:sz w:val="24"/>
          <w:szCs w:val="24"/>
        </w:rPr>
      </w:pPr>
      <w:r w:rsidRPr="00221C13">
        <w:rPr>
          <w:rFonts w:ascii="Arial" w:hAnsi="Arial" w:cs="Arial"/>
          <w:b/>
          <w:sz w:val="24"/>
          <w:szCs w:val="24"/>
        </w:rPr>
        <w:t>CIPD Membership Number:</w:t>
      </w:r>
      <w:r w:rsidRPr="00221C13">
        <w:rPr>
          <w:rFonts w:ascii="Arial" w:hAnsi="Arial" w:cs="Arial"/>
          <w:sz w:val="24"/>
          <w:szCs w:val="24"/>
        </w:rPr>
        <w:t xml:space="preserve"> 44081837</w:t>
      </w:r>
    </w:p>
    <w:p w:rsidR="00097655" w:rsidRPr="00221C13" w:rsidRDefault="00097655" w:rsidP="00097655">
      <w:pPr>
        <w:rPr>
          <w:rFonts w:ascii="Arial" w:hAnsi="Arial" w:cs="Arial"/>
          <w:sz w:val="24"/>
          <w:szCs w:val="24"/>
        </w:rPr>
      </w:pPr>
      <w:r w:rsidRPr="00221C13">
        <w:rPr>
          <w:rFonts w:ascii="Arial" w:hAnsi="Arial" w:cs="Arial"/>
          <w:b/>
          <w:sz w:val="24"/>
          <w:szCs w:val="24"/>
        </w:rPr>
        <w:t>Date:</w:t>
      </w:r>
      <w:r w:rsidRPr="00221C13">
        <w:rPr>
          <w:rFonts w:ascii="Arial" w:hAnsi="Arial" w:cs="Arial"/>
          <w:sz w:val="24"/>
          <w:szCs w:val="24"/>
        </w:rPr>
        <w:t xml:space="preserve"> </w:t>
      </w:r>
      <w:r>
        <w:rPr>
          <w:rFonts w:ascii="Arial" w:hAnsi="Arial" w:cs="Arial"/>
          <w:sz w:val="24"/>
          <w:szCs w:val="24"/>
        </w:rPr>
        <w:t>09</w:t>
      </w:r>
      <w:r w:rsidRPr="00221C13">
        <w:rPr>
          <w:rFonts w:ascii="Arial" w:hAnsi="Arial" w:cs="Arial"/>
          <w:sz w:val="24"/>
          <w:szCs w:val="24"/>
        </w:rPr>
        <w:t>/12/2017</w:t>
      </w:r>
    </w:p>
    <w:tbl>
      <w:tblPr>
        <w:tblStyle w:val="TableGrid"/>
        <w:tblW w:w="0" w:type="auto"/>
        <w:tblInd w:w="108" w:type="dxa"/>
        <w:tblLook w:val="04A0" w:firstRow="1" w:lastRow="0" w:firstColumn="1" w:lastColumn="0" w:noHBand="0" w:noVBand="1"/>
      </w:tblPr>
      <w:tblGrid>
        <w:gridCol w:w="4435"/>
        <w:gridCol w:w="4473"/>
      </w:tblGrid>
      <w:tr w:rsidR="00097655" w:rsidRPr="00221C13" w:rsidTr="00626A99">
        <w:tc>
          <w:tcPr>
            <w:tcW w:w="8908" w:type="dxa"/>
            <w:gridSpan w:val="2"/>
            <w:vAlign w:val="center"/>
          </w:tcPr>
          <w:p w:rsidR="00097655" w:rsidRPr="00221C13" w:rsidRDefault="00097655" w:rsidP="00626A99">
            <w:pPr>
              <w:jc w:val="center"/>
              <w:rPr>
                <w:rFonts w:ascii="Arial" w:hAnsi="Arial" w:cs="Arial"/>
                <w:b/>
                <w:sz w:val="24"/>
                <w:szCs w:val="24"/>
              </w:rPr>
            </w:pPr>
            <w:r w:rsidRPr="00221C13">
              <w:rPr>
                <w:rFonts w:ascii="Arial" w:hAnsi="Arial" w:cs="Arial"/>
                <w:b/>
                <w:sz w:val="24"/>
                <w:szCs w:val="24"/>
              </w:rPr>
              <w:t>Word Count</w:t>
            </w:r>
          </w:p>
        </w:tc>
      </w:tr>
      <w:tr w:rsidR="00097655" w:rsidRPr="00221C13" w:rsidTr="00626A99">
        <w:tc>
          <w:tcPr>
            <w:tcW w:w="4435" w:type="dxa"/>
          </w:tcPr>
          <w:p w:rsidR="00097655" w:rsidRPr="00221C13" w:rsidRDefault="00097655" w:rsidP="00626A99">
            <w:pPr>
              <w:rPr>
                <w:rFonts w:ascii="Arial" w:hAnsi="Arial" w:cs="Arial"/>
                <w:b/>
                <w:sz w:val="24"/>
                <w:szCs w:val="24"/>
              </w:rPr>
            </w:pPr>
            <w:r w:rsidRPr="00221C13">
              <w:rPr>
                <w:rFonts w:ascii="Arial" w:hAnsi="Arial" w:cs="Arial"/>
                <w:b/>
                <w:sz w:val="24"/>
                <w:szCs w:val="24"/>
              </w:rPr>
              <w:t>Word Count Limit</w:t>
            </w:r>
          </w:p>
        </w:tc>
        <w:tc>
          <w:tcPr>
            <w:tcW w:w="4473" w:type="dxa"/>
          </w:tcPr>
          <w:p w:rsidR="00097655" w:rsidRPr="00221C13" w:rsidRDefault="00097655" w:rsidP="00626A99">
            <w:pPr>
              <w:rPr>
                <w:rFonts w:ascii="Arial" w:hAnsi="Arial" w:cs="Arial"/>
                <w:sz w:val="24"/>
                <w:szCs w:val="24"/>
              </w:rPr>
            </w:pPr>
            <w:r w:rsidRPr="00221C13">
              <w:rPr>
                <w:rFonts w:ascii="Arial" w:hAnsi="Arial" w:cs="Arial"/>
                <w:sz w:val="24"/>
                <w:szCs w:val="24"/>
              </w:rPr>
              <w:t>2,000 (+ 10% = 2,200)</w:t>
            </w:r>
          </w:p>
        </w:tc>
      </w:tr>
      <w:tr w:rsidR="00097655" w:rsidRPr="00221C13" w:rsidTr="00626A99">
        <w:tc>
          <w:tcPr>
            <w:tcW w:w="4435" w:type="dxa"/>
          </w:tcPr>
          <w:p w:rsidR="00097655" w:rsidRPr="00221C13" w:rsidRDefault="00097655" w:rsidP="00626A99">
            <w:pPr>
              <w:rPr>
                <w:rFonts w:ascii="Arial" w:hAnsi="Arial" w:cs="Arial"/>
                <w:b/>
                <w:sz w:val="24"/>
                <w:szCs w:val="24"/>
              </w:rPr>
            </w:pPr>
            <w:r w:rsidRPr="00221C13">
              <w:rPr>
                <w:rFonts w:ascii="Arial" w:hAnsi="Arial" w:cs="Arial"/>
                <w:b/>
                <w:sz w:val="24"/>
                <w:szCs w:val="24"/>
              </w:rPr>
              <w:t>Word Count</w:t>
            </w:r>
          </w:p>
          <w:p w:rsidR="00097655" w:rsidRPr="00221C13" w:rsidRDefault="00097655" w:rsidP="00626A99">
            <w:pPr>
              <w:rPr>
                <w:rFonts w:ascii="Arial" w:hAnsi="Arial" w:cs="Arial"/>
                <w:b/>
                <w:sz w:val="24"/>
                <w:szCs w:val="24"/>
              </w:rPr>
            </w:pPr>
            <w:r w:rsidRPr="00221C13">
              <w:rPr>
                <w:rFonts w:ascii="Arial" w:hAnsi="Arial" w:cs="Arial"/>
                <w:sz w:val="24"/>
                <w:szCs w:val="24"/>
              </w:rPr>
              <w:t>(</w:t>
            </w:r>
            <w:r w:rsidRPr="00221C13">
              <w:rPr>
                <w:rFonts w:ascii="Arial" w:hAnsi="Arial" w:cs="Arial"/>
                <w:b/>
                <w:sz w:val="24"/>
                <w:szCs w:val="24"/>
              </w:rPr>
              <w:t>*</w:t>
            </w:r>
            <w:r w:rsidRPr="00221C13">
              <w:rPr>
                <w:rFonts w:ascii="Arial" w:hAnsi="Arial" w:cs="Arial"/>
                <w:sz w:val="24"/>
                <w:szCs w:val="24"/>
              </w:rPr>
              <w:t>Based on the removal of:</w:t>
            </w:r>
          </w:p>
          <w:p w:rsidR="00097655" w:rsidRPr="00221C13" w:rsidRDefault="00097655" w:rsidP="00097655">
            <w:pPr>
              <w:pStyle w:val="ListParagraph"/>
              <w:numPr>
                <w:ilvl w:val="0"/>
                <w:numId w:val="1"/>
              </w:numPr>
              <w:jc w:val="both"/>
              <w:rPr>
                <w:rFonts w:ascii="Arial" w:eastAsia="Times New Roman" w:hAnsi="Arial" w:cs="Arial"/>
                <w:sz w:val="24"/>
                <w:szCs w:val="24"/>
              </w:rPr>
            </w:pPr>
            <w:r w:rsidRPr="00221C13">
              <w:rPr>
                <w:rFonts w:ascii="Arial" w:eastAsia="Times New Roman" w:hAnsi="Arial" w:cs="Arial"/>
                <w:sz w:val="24"/>
                <w:szCs w:val="24"/>
              </w:rPr>
              <w:t>Abstract/Executive Summary</w:t>
            </w:r>
          </w:p>
          <w:p w:rsidR="00097655" w:rsidRPr="00221C13" w:rsidRDefault="00097655" w:rsidP="00097655">
            <w:pPr>
              <w:pStyle w:val="ListParagraph"/>
              <w:numPr>
                <w:ilvl w:val="0"/>
                <w:numId w:val="1"/>
              </w:numPr>
              <w:jc w:val="both"/>
              <w:rPr>
                <w:rFonts w:ascii="Arial" w:eastAsia="Times New Roman" w:hAnsi="Arial" w:cs="Arial"/>
                <w:sz w:val="24"/>
                <w:szCs w:val="24"/>
              </w:rPr>
            </w:pPr>
            <w:r w:rsidRPr="00221C13">
              <w:rPr>
                <w:rFonts w:ascii="Arial" w:eastAsia="Times New Roman" w:hAnsi="Arial" w:cs="Arial"/>
                <w:sz w:val="24"/>
                <w:szCs w:val="24"/>
              </w:rPr>
              <w:t>Title</w:t>
            </w:r>
          </w:p>
          <w:p w:rsidR="00097655" w:rsidRPr="00221C13" w:rsidRDefault="00097655" w:rsidP="00097655">
            <w:pPr>
              <w:pStyle w:val="ListParagraph"/>
              <w:numPr>
                <w:ilvl w:val="0"/>
                <w:numId w:val="1"/>
              </w:numPr>
              <w:jc w:val="both"/>
              <w:rPr>
                <w:rFonts w:ascii="Arial" w:eastAsia="Times New Roman" w:hAnsi="Arial" w:cs="Arial"/>
                <w:sz w:val="24"/>
                <w:szCs w:val="24"/>
              </w:rPr>
            </w:pPr>
            <w:r w:rsidRPr="00221C13">
              <w:rPr>
                <w:rFonts w:ascii="Arial" w:eastAsia="Times New Roman" w:hAnsi="Arial" w:cs="Arial"/>
                <w:sz w:val="24"/>
                <w:szCs w:val="24"/>
              </w:rPr>
              <w:t>Contents page</w:t>
            </w:r>
          </w:p>
          <w:p w:rsidR="00097655" w:rsidRPr="00221C13" w:rsidRDefault="00097655" w:rsidP="00097655">
            <w:pPr>
              <w:pStyle w:val="ListParagraph"/>
              <w:numPr>
                <w:ilvl w:val="0"/>
                <w:numId w:val="1"/>
              </w:numPr>
              <w:jc w:val="both"/>
              <w:rPr>
                <w:rFonts w:ascii="Arial" w:eastAsia="Times New Roman" w:hAnsi="Arial" w:cs="Arial"/>
                <w:sz w:val="24"/>
                <w:szCs w:val="24"/>
              </w:rPr>
            </w:pPr>
            <w:r w:rsidRPr="00221C13">
              <w:rPr>
                <w:rFonts w:ascii="Arial" w:eastAsia="Times New Roman" w:hAnsi="Arial" w:cs="Arial"/>
                <w:sz w:val="24"/>
                <w:szCs w:val="24"/>
              </w:rPr>
              <w:t>References</w:t>
            </w:r>
          </w:p>
          <w:p w:rsidR="00097655" w:rsidRPr="00221C13" w:rsidRDefault="00097655" w:rsidP="00097655">
            <w:pPr>
              <w:pStyle w:val="ListParagraph"/>
              <w:numPr>
                <w:ilvl w:val="0"/>
                <w:numId w:val="1"/>
              </w:numPr>
              <w:jc w:val="both"/>
              <w:rPr>
                <w:rFonts w:ascii="Arial" w:eastAsia="Times New Roman" w:hAnsi="Arial" w:cs="Arial"/>
                <w:sz w:val="24"/>
                <w:szCs w:val="24"/>
              </w:rPr>
            </w:pPr>
            <w:r w:rsidRPr="00221C13">
              <w:rPr>
                <w:rFonts w:ascii="Arial" w:eastAsia="Times New Roman" w:hAnsi="Arial" w:cs="Arial"/>
                <w:sz w:val="24"/>
                <w:szCs w:val="24"/>
              </w:rPr>
              <w:t>Reference list</w:t>
            </w:r>
          </w:p>
          <w:p w:rsidR="00097655" w:rsidRPr="00221C13" w:rsidRDefault="00097655" w:rsidP="00097655">
            <w:pPr>
              <w:pStyle w:val="ListParagraph"/>
              <w:numPr>
                <w:ilvl w:val="0"/>
                <w:numId w:val="1"/>
              </w:numPr>
              <w:jc w:val="both"/>
              <w:rPr>
                <w:rFonts w:ascii="Arial" w:eastAsia="Times New Roman" w:hAnsi="Arial" w:cs="Arial"/>
                <w:sz w:val="24"/>
                <w:szCs w:val="24"/>
              </w:rPr>
            </w:pPr>
            <w:r w:rsidRPr="00221C13">
              <w:rPr>
                <w:rFonts w:ascii="Arial" w:eastAsia="Times New Roman" w:hAnsi="Arial" w:cs="Arial"/>
                <w:sz w:val="24"/>
                <w:szCs w:val="24"/>
              </w:rPr>
              <w:t>Bibliography</w:t>
            </w:r>
          </w:p>
          <w:p w:rsidR="00097655" w:rsidRPr="00221C13" w:rsidRDefault="00097655" w:rsidP="00097655">
            <w:pPr>
              <w:pStyle w:val="ListParagraph"/>
              <w:numPr>
                <w:ilvl w:val="0"/>
                <w:numId w:val="1"/>
              </w:numPr>
              <w:jc w:val="both"/>
              <w:rPr>
                <w:rFonts w:ascii="Arial" w:eastAsia="Times New Roman" w:hAnsi="Arial" w:cs="Arial"/>
                <w:sz w:val="24"/>
                <w:szCs w:val="24"/>
              </w:rPr>
            </w:pPr>
            <w:r w:rsidRPr="00221C13">
              <w:rPr>
                <w:rFonts w:ascii="Arial" w:eastAsia="Times New Roman" w:hAnsi="Arial" w:cs="Arial"/>
                <w:sz w:val="24"/>
                <w:szCs w:val="24"/>
              </w:rPr>
              <w:t>Footnotes</w:t>
            </w:r>
          </w:p>
          <w:p w:rsidR="00097655" w:rsidRPr="00221C13" w:rsidRDefault="00097655" w:rsidP="00097655">
            <w:pPr>
              <w:pStyle w:val="ListParagraph"/>
              <w:numPr>
                <w:ilvl w:val="0"/>
                <w:numId w:val="1"/>
              </w:numPr>
              <w:jc w:val="both"/>
              <w:rPr>
                <w:rFonts w:ascii="Arial" w:hAnsi="Arial" w:cs="Arial"/>
                <w:sz w:val="24"/>
                <w:szCs w:val="24"/>
              </w:rPr>
            </w:pPr>
            <w:r w:rsidRPr="00221C13">
              <w:rPr>
                <w:rFonts w:ascii="Arial" w:eastAsia="Times New Roman" w:hAnsi="Arial" w:cs="Arial"/>
                <w:sz w:val="24"/>
                <w:szCs w:val="24"/>
              </w:rPr>
              <w:t>Appendices</w:t>
            </w:r>
          </w:p>
          <w:p w:rsidR="00097655" w:rsidRPr="00221C13" w:rsidRDefault="00097655" w:rsidP="00097655">
            <w:pPr>
              <w:pStyle w:val="ListParagraph"/>
              <w:numPr>
                <w:ilvl w:val="0"/>
                <w:numId w:val="1"/>
              </w:numPr>
              <w:jc w:val="both"/>
              <w:rPr>
                <w:rFonts w:ascii="Arial" w:hAnsi="Arial" w:cs="Arial"/>
                <w:b/>
                <w:sz w:val="24"/>
                <w:szCs w:val="24"/>
              </w:rPr>
            </w:pPr>
            <w:r w:rsidRPr="00221C13">
              <w:rPr>
                <w:rFonts w:ascii="Arial" w:eastAsia="Times New Roman" w:hAnsi="Arial" w:cs="Arial"/>
                <w:sz w:val="24"/>
                <w:szCs w:val="24"/>
              </w:rPr>
              <w:t>Words used in tables, graphs and other forms of data presentation</w:t>
            </w:r>
          </w:p>
          <w:p w:rsidR="00097655" w:rsidRPr="00221C13" w:rsidRDefault="00097655" w:rsidP="00097655">
            <w:pPr>
              <w:pStyle w:val="ListParagraph"/>
              <w:numPr>
                <w:ilvl w:val="0"/>
                <w:numId w:val="1"/>
              </w:numPr>
              <w:jc w:val="both"/>
              <w:rPr>
                <w:rFonts w:ascii="Arial" w:hAnsi="Arial" w:cs="Arial"/>
                <w:b/>
                <w:sz w:val="24"/>
                <w:szCs w:val="24"/>
              </w:rPr>
            </w:pPr>
            <w:r w:rsidRPr="00221C13">
              <w:rPr>
                <w:rFonts w:ascii="Arial" w:eastAsia="Times New Roman" w:hAnsi="Arial" w:cs="Arial"/>
                <w:sz w:val="24"/>
                <w:szCs w:val="24"/>
              </w:rPr>
              <w:t>Equations</w:t>
            </w:r>
          </w:p>
        </w:tc>
        <w:tc>
          <w:tcPr>
            <w:tcW w:w="4473" w:type="dxa"/>
          </w:tcPr>
          <w:p w:rsidR="00097655" w:rsidRPr="00221C13" w:rsidRDefault="00097655" w:rsidP="00626A99">
            <w:pPr>
              <w:rPr>
                <w:rFonts w:ascii="Arial" w:hAnsi="Arial" w:cs="Arial"/>
                <w:sz w:val="24"/>
                <w:szCs w:val="24"/>
              </w:rPr>
            </w:pPr>
            <w:r w:rsidRPr="00221C13">
              <w:rPr>
                <w:rFonts w:ascii="Arial" w:hAnsi="Arial" w:cs="Arial"/>
                <w:sz w:val="24"/>
                <w:szCs w:val="24"/>
              </w:rPr>
              <w:t>1,925</w:t>
            </w:r>
          </w:p>
        </w:tc>
      </w:tr>
    </w:tbl>
    <w:p w:rsidR="00097655" w:rsidRPr="00221C13" w:rsidRDefault="00097655" w:rsidP="00097655">
      <w:pPr>
        <w:jc w:val="both"/>
        <w:rPr>
          <w:rFonts w:ascii="Arial" w:hAnsi="Arial" w:cs="Arial"/>
          <w:sz w:val="24"/>
          <w:szCs w:val="24"/>
        </w:rPr>
      </w:pPr>
    </w:p>
    <w:p w:rsidR="00097655" w:rsidRPr="00221C13" w:rsidRDefault="00097655" w:rsidP="00097655">
      <w:pPr>
        <w:jc w:val="both"/>
        <w:rPr>
          <w:rFonts w:ascii="Arial" w:hAnsi="Arial" w:cs="Arial"/>
          <w:sz w:val="24"/>
          <w:szCs w:val="24"/>
        </w:rPr>
      </w:pPr>
      <w:r w:rsidRPr="00221C13">
        <w:rPr>
          <w:rFonts w:ascii="Arial" w:hAnsi="Arial" w:cs="Arial"/>
          <w:sz w:val="24"/>
          <w:szCs w:val="24"/>
        </w:rPr>
        <w:t>I declare that this assignment is my own work and that any information obtained from books and other sources have been appropriately referenced.</w:t>
      </w:r>
    </w:p>
    <w:p w:rsidR="00097655" w:rsidRPr="00221C13" w:rsidRDefault="00097655" w:rsidP="00097655">
      <w:pPr>
        <w:rPr>
          <w:rFonts w:ascii="Arial" w:hAnsi="Arial" w:cs="Arial"/>
          <w:sz w:val="24"/>
          <w:szCs w:val="24"/>
        </w:rPr>
      </w:pPr>
    </w:p>
    <w:p w:rsidR="00097655" w:rsidRPr="00221C13" w:rsidRDefault="00097655" w:rsidP="00097655">
      <w:pPr>
        <w:rPr>
          <w:rFonts w:ascii="Arial" w:hAnsi="Arial" w:cs="Arial"/>
          <w:sz w:val="24"/>
          <w:szCs w:val="24"/>
        </w:rPr>
      </w:pPr>
      <w:r w:rsidRPr="00221C13">
        <w:rPr>
          <w:rFonts w:ascii="Arial" w:hAnsi="Arial" w:cs="Arial"/>
          <w:sz w:val="24"/>
          <w:szCs w:val="24"/>
        </w:rPr>
        <w:t>Signed: David Rees</w:t>
      </w:r>
      <w:r w:rsidRPr="00221C13">
        <w:rPr>
          <w:rFonts w:ascii="Arial" w:hAnsi="Arial" w:cs="Arial"/>
          <w:sz w:val="24"/>
          <w:szCs w:val="24"/>
        </w:rPr>
        <w:tab/>
      </w:r>
      <w:r w:rsidRPr="00221C13">
        <w:rPr>
          <w:rFonts w:ascii="Arial" w:hAnsi="Arial" w:cs="Arial"/>
          <w:sz w:val="24"/>
          <w:szCs w:val="24"/>
        </w:rPr>
        <w:tab/>
      </w:r>
      <w:r w:rsidRPr="00221C13">
        <w:rPr>
          <w:rFonts w:ascii="Arial" w:hAnsi="Arial" w:cs="Arial"/>
          <w:sz w:val="24"/>
          <w:szCs w:val="24"/>
        </w:rPr>
        <w:tab/>
      </w:r>
      <w:r w:rsidRPr="00221C13">
        <w:rPr>
          <w:rFonts w:ascii="Arial" w:hAnsi="Arial" w:cs="Arial"/>
          <w:sz w:val="24"/>
          <w:szCs w:val="24"/>
        </w:rPr>
        <w:tab/>
        <w:t xml:space="preserve">Date: </w:t>
      </w:r>
      <w:r>
        <w:rPr>
          <w:rFonts w:ascii="Arial" w:hAnsi="Arial" w:cs="Arial"/>
          <w:sz w:val="24"/>
          <w:szCs w:val="24"/>
        </w:rPr>
        <w:t>09</w:t>
      </w:r>
      <w:r w:rsidRPr="00221C13">
        <w:rPr>
          <w:rFonts w:ascii="Arial" w:hAnsi="Arial" w:cs="Arial"/>
          <w:sz w:val="24"/>
          <w:szCs w:val="24"/>
        </w:rPr>
        <w:t>/12/2017</w:t>
      </w:r>
    </w:p>
    <w:p w:rsidR="00097655" w:rsidRPr="00221C13" w:rsidRDefault="00097655" w:rsidP="00097655">
      <w:pPr>
        <w:spacing w:after="0" w:line="240" w:lineRule="auto"/>
        <w:rPr>
          <w:rFonts w:ascii="Arial" w:hAnsi="Arial" w:cs="Arial"/>
          <w:sz w:val="24"/>
          <w:szCs w:val="24"/>
        </w:rPr>
      </w:pPr>
    </w:p>
    <w:p w:rsidR="00097655" w:rsidRPr="00221C13" w:rsidRDefault="00097655" w:rsidP="00097655">
      <w:pPr>
        <w:spacing w:after="0" w:line="240" w:lineRule="auto"/>
        <w:rPr>
          <w:rFonts w:ascii="Arial" w:hAnsi="Arial" w:cs="Arial"/>
          <w:sz w:val="24"/>
          <w:szCs w:val="24"/>
        </w:rPr>
      </w:pPr>
    </w:p>
    <w:p w:rsidR="00097655" w:rsidRPr="00221C13" w:rsidRDefault="00097655" w:rsidP="00097655">
      <w:pPr>
        <w:spacing w:after="0" w:line="240" w:lineRule="auto"/>
        <w:rPr>
          <w:rFonts w:ascii="Arial" w:hAnsi="Arial" w:cs="Arial"/>
          <w:sz w:val="24"/>
          <w:szCs w:val="24"/>
        </w:rPr>
      </w:pPr>
    </w:p>
    <w:p w:rsidR="00097655" w:rsidRPr="00221C13" w:rsidRDefault="00097655" w:rsidP="00097655">
      <w:pPr>
        <w:spacing w:after="0" w:line="240" w:lineRule="auto"/>
        <w:rPr>
          <w:rFonts w:ascii="Arial" w:hAnsi="Arial" w:cs="Arial"/>
          <w:sz w:val="24"/>
          <w:szCs w:val="24"/>
        </w:rPr>
      </w:pPr>
    </w:p>
    <w:p w:rsidR="00097655" w:rsidRPr="00221C13" w:rsidRDefault="00097655" w:rsidP="00097655">
      <w:pPr>
        <w:rPr>
          <w:rFonts w:ascii="Arial" w:hAnsi="Arial" w:cs="Arial"/>
          <w:sz w:val="24"/>
          <w:szCs w:val="24"/>
        </w:rPr>
      </w:pPr>
      <w:r w:rsidRPr="00221C13">
        <w:rPr>
          <w:rFonts w:ascii="Arial" w:hAnsi="Arial" w:cs="Arial"/>
          <w:sz w:val="24"/>
          <w:szCs w:val="24"/>
        </w:rPr>
        <w:br w:type="page"/>
      </w:r>
    </w:p>
    <w:sdt>
      <w:sdtPr>
        <w:rPr>
          <w:rFonts w:ascii="Arial" w:eastAsiaTheme="minorHAnsi" w:hAnsi="Arial" w:cs="Arial"/>
          <w:b w:val="0"/>
          <w:bCs w:val="0"/>
          <w:color w:val="auto"/>
          <w:sz w:val="24"/>
          <w:szCs w:val="24"/>
          <w:lang w:val="en-GB" w:eastAsia="en-US"/>
        </w:rPr>
        <w:id w:val="1803415713"/>
        <w:docPartObj>
          <w:docPartGallery w:val="Table of Contents"/>
          <w:docPartUnique/>
        </w:docPartObj>
      </w:sdtPr>
      <w:sdtEndPr>
        <w:rPr>
          <w:noProof/>
        </w:rPr>
      </w:sdtEndPr>
      <w:sdtContent>
        <w:p w:rsidR="00097655" w:rsidRPr="00221C13" w:rsidRDefault="00097655" w:rsidP="00097655">
          <w:pPr>
            <w:pStyle w:val="TOCHeading"/>
            <w:rPr>
              <w:rFonts w:ascii="Arial" w:hAnsi="Arial" w:cs="Arial"/>
              <w:sz w:val="24"/>
              <w:szCs w:val="24"/>
            </w:rPr>
          </w:pPr>
          <w:r w:rsidRPr="00221C13">
            <w:rPr>
              <w:rFonts w:ascii="Arial" w:hAnsi="Arial" w:cs="Arial"/>
              <w:sz w:val="24"/>
              <w:szCs w:val="24"/>
            </w:rPr>
            <w:t>Contents</w:t>
          </w:r>
        </w:p>
        <w:p w:rsidR="00097655" w:rsidRDefault="00097655" w:rsidP="00097655">
          <w:pPr>
            <w:pStyle w:val="TOC1"/>
            <w:tabs>
              <w:tab w:val="right" w:leader="dot" w:pos="9016"/>
            </w:tabs>
            <w:rPr>
              <w:rFonts w:eastAsiaTheme="minorEastAsia"/>
              <w:noProof/>
              <w:lang w:eastAsia="en-GB"/>
            </w:rPr>
          </w:pPr>
          <w:r w:rsidRPr="00221C13">
            <w:rPr>
              <w:rFonts w:ascii="Arial" w:hAnsi="Arial" w:cs="Arial"/>
              <w:sz w:val="24"/>
              <w:szCs w:val="24"/>
            </w:rPr>
            <w:fldChar w:fldCharType="begin"/>
          </w:r>
          <w:r w:rsidRPr="00221C13">
            <w:rPr>
              <w:rFonts w:ascii="Arial" w:hAnsi="Arial" w:cs="Arial"/>
              <w:sz w:val="24"/>
              <w:szCs w:val="24"/>
            </w:rPr>
            <w:instrText xml:space="preserve"> TOC \o "1-3" \h \z \u </w:instrText>
          </w:r>
          <w:r w:rsidRPr="00221C13">
            <w:rPr>
              <w:rFonts w:ascii="Arial" w:hAnsi="Arial" w:cs="Arial"/>
              <w:sz w:val="24"/>
              <w:szCs w:val="24"/>
            </w:rPr>
            <w:fldChar w:fldCharType="separate"/>
          </w:r>
          <w:hyperlink w:anchor="_Toc500517860" w:history="1">
            <w:r w:rsidRPr="00D038F5">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_Toc500517860 \h </w:instrText>
            </w:r>
            <w:r>
              <w:rPr>
                <w:noProof/>
                <w:webHidden/>
              </w:rPr>
            </w:r>
            <w:r>
              <w:rPr>
                <w:noProof/>
                <w:webHidden/>
              </w:rPr>
              <w:fldChar w:fldCharType="separate"/>
            </w:r>
            <w:r>
              <w:rPr>
                <w:noProof/>
                <w:webHidden/>
              </w:rPr>
              <w:t>2</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61" w:history="1">
            <w:r w:rsidRPr="00D038F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_Toc500517861 \h </w:instrText>
            </w:r>
            <w:r>
              <w:rPr>
                <w:noProof/>
                <w:webHidden/>
              </w:rPr>
            </w:r>
            <w:r>
              <w:rPr>
                <w:noProof/>
                <w:webHidden/>
              </w:rPr>
              <w:fldChar w:fldCharType="separate"/>
            </w:r>
            <w:r>
              <w:rPr>
                <w:noProof/>
                <w:webHidden/>
              </w:rPr>
              <w:t>3</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62" w:history="1">
            <w:r w:rsidRPr="00D038F5">
              <w:rPr>
                <w:rStyle w:val="Hyperlink"/>
                <w:rFonts w:ascii="Arial" w:hAnsi="Arial" w:cs="Arial"/>
                <w:noProof/>
              </w:rPr>
              <w:t>Methodology</w:t>
            </w:r>
            <w:r>
              <w:rPr>
                <w:noProof/>
                <w:webHidden/>
              </w:rPr>
              <w:tab/>
            </w:r>
            <w:r>
              <w:rPr>
                <w:noProof/>
                <w:webHidden/>
              </w:rPr>
              <w:fldChar w:fldCharType="begin"/>
            </w:r>
            <w:r>
              <w:rPr>
                <w:noProof/>
                <w:webHidden/>
              </w:rPr>
              <w:instrText xml:space="preserve"> PAGEREF _Toc500517862 \h </w:instrText>
            </w:r>
            <w:r>
              <w:rPr>
                <w:noProof/>
                <w:webHidden/>
              </w:rPr>
            </w:r>
            <w:r>
              <w:rPr>
                <w:noProof/>
                <w:webHidden/>
              </w:rPr>
              <w:fldChar w:fldCharType="separate"/>
            </w:r>
            <w:r>
              <w:rPr>
                <w:noProof/>
                <w:webHidden/>
              </w:rPr>
              <w:t>3</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63" w:history="1">
            <w:r w:rsidRPr="00D038F5">
              <w:rPr>
                <w:rStyle w:val="Hyperlink"/>
                <w:rFonts w:ascii="Arial" w:hAnsi="Arial" w:cs="Arial"/>
                <w:noProof/>
              </w:rPr>
              <w:t>Findings</w:t>
            </w:r>
            <w:r>
              <w:rPr>
                <w:noProof/>
                <w:webHidden/>
              </w:rPr>
              <w:tab/>
            </w:r>
            <w:r>
              <w:rPr>
                <w:noProof/>
                <w:webHidden/>
              </w:rPr>
              <w:fldChar w:fldCharType="begin"/>
            </w:r>
            <w:r>
              <w:rPr>
                <w:noProof/>
                <w:webHidden/>
              </w:rPr>
              <w:instrText xml:space="preserve"> PAGEREF _Toc500517863 \h </w:instrText>
            </w:r>
            <w:r>
              <w:rPr>
                <w:noProof/>
                <w:webHidden/>
              </w:rPr>
            </w:r>
            <w:r>
              <w:rPr>
                <w:noProof/>
                <w:webHidden/>
              </w:rPr>
              <w:fldChar w:fldCharType="separate"/>
            </w:r>
            <w:r>
              <w:rPr>
                <w:noProof/>
                <w:webHidden/>
              </w:rPr>
              <w:t>5</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64" w:history="1">
            <w:r w:rsidRPr="00D038F5">
              <w:rPr>
                <w:rStyle w:val="Hyperlink"/>
                <w:rFonts w:ascii="Arial" w:hAnsi="Arial" w:cs="Arial"/>
                <w:noProof/>
              </w:rPr>
              <w:t>Conclusions</w:t>
            </w:r>
            <w:r>
              <w:rPr>
                <w:noProof/>
                <w:webHidden/>
              </w:rPr>
              <w:tab/>
            </w:r>
            <w:r>
              <w:rPr>
                <w:noProof/>
                <w:webHidden/>
              </w:rPr>
              <w:fldChar w:fldCharType="begin"/>
            </w:r>
            <w:r>
              <w:rPr>
                <w:noProof/>
                <w:webHidden/>
              </w:rPr>
              <w:instrText xml:space="preserve"> PAGEREF _Toc500517864 \h </w:instrText>
            </w:r>
            <w:r>
              <w:rPr>
                <w:noProof/>
                <w:webHidden/>
              </w:rPr>
            </w:r>
            <w:r>
              <w:rPr>
                <w:noProof/>
                <w:webHidden/>
              </w:rPr>
              <w:fldChar w:fldCharType="separate"/>
            </w:r>
            <w:r>
              <w:rPr>
                <w:noProof/>
                <w:webHidden/>
              </w:rPr>
              <w:t>13</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65" w:history="1">
            <w:r w:rsidRPr="00D038F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_Toc500517865 \h </w:instrText>
            </w:r>
            <w:r>
              <w:rPr>
                <w:noProof/>
                <w:webHidden/>
              </w:rPr>
            </w:r>
            <w:r>
              <w:rPr>
                <w:noProof/>
                <w:webHidden/>
              </w:rPr>
              <w:fldChar w:fldCharType="separate"/>
            </w:r>
            <w:r>
              <w:rPr>
                <w:noProof/>
                <w:webHidden/>
              </w:rPr>
              <w:t>14</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66" w:history="1">
            <w:r w:rsidRPr="00D038F5">
              <w:rPr>
                <w:rStyle w:val="Hyperlink"/>
                <w:rFonts w:ascii="Arial" w:hAnsi="Arial" w:cs="Arial"/>
                <w:noProof/>
                <w:lang w:eastAsia="en-GB"/>
              </w:rPr>
              <w:t>Bibliography</w:t>
            </w:r>
            <w:r>
              <w:rPr>
                <w:noProof/>
                <w:webHidden/>
              </w:rPr>
              <w:tab/>
            </w:r>
            <w:r>
              <w:rPr>
                <w:noProof/>
                <w:webHidden/>
              </w:rPr>
              <w:fldChar w:fldCharType="begin"/>
            </w:r>
            <w:r>
              <w:rPr>
                <w:noProof/>
                <w:webHidden/>
              </w:rPr>
              <w:instrText xml:space="preserve"> PAGEREF _Toc500517866 \h </w:instrText>
            </w:r>
            <w:r>
              <w:rPr>
                <w:noProof/>
                <w:webHidden/>
              </w:rPr>
            </w:r>
            <w:r>
              <w:rPr>
                <w:noProof/>
                <w:webHidden/>
              </w:rPr>
              <w:fldChar w:fldCharType="separate"/>
            </w:r>
            <w:r>
              <w:rPr>
                <w:noProof/>
                <w:webHidden/>
              </w:rPr>
              <w:t>17</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67" w:history="1">
            <w:r w:rsidRPr="00D038F5">
              <w:rPr>
                <w:rStyle w:val="Hyperlink"/>
                <w:rFonts w:ascii="Arial" w:hAnsi="Arial" w:cs="Arial"/>
                <w:noProof/>
              </w:rPr>
              <w:t>Appendix 1: Perthyn PESTLE</w:t>
            </w:r>
            <w:r>
              <w:rPr>
                <w:noProof/>
                <w:webHidden/>
              </w:rPr>
              <w:tab/>
            </w:r>
            <w:r>
              <w:rPr>
                <w:noProof/>
                <w:webHidden/>
              </w:rPr>
              <w:fldChar w:fldCharType="begin"/>
            </w:r>
            <w:r>
              <w:rPr>
                <w:noProof/>
                <w:webHidden/>
              </w:rPr>
              <w:instrText xml:space="preserve"> PAGEREF _Toc500517867 \h </w:instrText>
            </w:r>
            <w:r>
              <w:rPr>
                <w:noProof/>
                <w:webHidden/>
              </w:rPr>
            </w:r>
            <w:r>
              <w:rPr>
                <w:noProof/>
                <w:webHidden/>
              </w:rPr>
              <w:fldChar w:fldCharType="separate"/>
            </w:r>
            <w:r>
              <w:rPr>
                <w:noProof/>
                <w:webHidden/>
              </w:rPr>
              <w:t>26</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68" w:history="1">
            <w:r w:rsidRPr="00D038F5">
              <w:rPr>
                <w:rStyle w:val="Hyperlink"/>
                <w:rFonts w:ascii="Arial" w:hAnsi="Arial" w:cs="Arial"/>
                <w:noProof/>
              </w:rPr>
              <w:t>Appendix 2: Perthyn SWOT</w:t>
            </w:r>
            <w:r>
              <w:rPr>
                <w:noProof/>
                <w:webHidden/>
              </w:rPr>
              <w:tab/>
            </w:r>
            <w:r>
              <w:rPr>
                <w:noProof/>
                <w:webHidden/>
              </w:rPr>
              <w:fldChar w:fldCharType="begin"/>
            </w:r>
            <w:r>
              <w:rPr>
                <w:noProof/>
                <w:webHidden/>
              </w:rPr>
              <w:instrText xml:space="preserve"> PAGEREF _Toc500517868 \h </w:instrText>
            </w:r>
            <w:r>
              <w:rPr>
                <w:noProof/>
                <w:webHidden/>
              </w:rPr>
            </w:r>
            <w:r>
              <w:rPr>
                <w:noProof/>
                <w:webHidden/>
              </w:rPr>
              <w:fldChar w:fldCharType="separate"/>
            </w:r>
            <w:r>
              <w:rPr>
                <w:noProof/>
                <w:webHidden/>
              </w:rPr>
              <w:t>40</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69" w:history="1">
            <w:r w:rsidRPr="00D038F5">
              <w:rPr>
                <w:rStyle w:val="Hyperlink"/>
                <w:rFonts w:ascii="Arial" w:hAnsi="Arial" w:cs="Arial"/>
                <w:noProof/>
              </w:rPr>
              <w:t>Appendix 3: Distinctions within the VUCA framework</w:t>
            </w:r>
            <w:r>
              <w:rPr>
                <w:noProof/>
                <w:webHidden/>
              </w:rPr>
              <w:tab/>
            </w:r>
            <w:r>
              <w:rPr>
                <w:noProof/>
                <w:webHidden/>
              </w:rPr>
              <w:fldChar w:fldCharType="begin"/>
            </w:r>
            <w:r>
              <w:rPr>
                <w:noProof/>
                <w:webHidden/>
              </w:rPr>
              <w:instrText xml:space="preserve"> PAGEREF _Toc500517869 \h </w:instrText>
            </w:r>
            <w:r>
              <w:rPr>
                <w:noProof/>
                <w:webHidden/>
              </w:rPr>
            </w:r>
            <w:r>
              <w:rPr>
                <w:noProof/>
                <w:webHidden/>
              </w:rPr>
              <w:fldChar w:fldCharType="separate"/>
            </w:r>
            <w:r>
              <w:rPr>
                <w:noProof/>
                <w:webHidden/>
              </w:rPr>
              <w:t>47</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70" w:history="1">
            <w:r w:rsidRPr="00D038F5">
              <w:rPr>
                <w:rStyle w:val="Hyperlink"/>
                <w:rFonts w:ascii="Arial" w:hAnsi="Arial" w:cs="Arial"/>
                <w:noProof/>
              </w:rPr>
              <w:t>Appendix 4: Perthyn’s Strategic Process and Governance</w:t>
            </w:r>
            <w:r>
              <w:rPr>
                <w:noProof/>
                <w:webHidden/>
              </w:rPr>
              <w:tab/>
            </w:r>
            <w:r>
              <w:rPr>
                <w:noProof/>
                <w:webHidden/>
              </w:rPr>
              <w:fldChar w:fldCharType="begin"/>
            </w:r>
            <w:r>
              <w:rPr>
                <w:noProof/>
                <w:webHidden/>
              </w:rPr>
              <w:instrText xml:space="preserve"> PAGEREF _Toc500517870 \h </w:instrText>
            </w:r>
            <w:r>
              <w:rPr>
                <w:noProof/>
                <w:webHidden/>
              </w:rPr>
            </w:r>
            <w:r>
              <w:rPr>
                <w:noProof/>
                <w:webHidden/>
              </w:rPr>
              <w:fldChar w:fldCharType="separate"/>
            </w:r>
            <w:r>
              <w:rPr>
                <w:noProof/>
                <w:webHidden/>
              </w:rPr>
              <w:t>48</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71" w:history="1">
            <w:r w:rsidRPr="00D038F5">
              <w:rPr>
                <w:rStyle w:val="Hyperlink"/>
                <w:rFonts w:ascii="Arial" w:hAnsi="Arial" w:cs="Arial"/>
                <w:noProof/>
              </w:rPr>
              <w:t>Appendix 5: Models of the HRM function</w:t>
            </w:r>
            <w:r>
              <w:rPr>
                <w:noProof/>
                <w:webHidden/>
              </w:rPr>
              <w:tab/>
            </w:r>
            <w:r>
              <w:rPr>
                <w:noProof/>
                <w:webHidden/>
              </w:rPr>
              <w:fldChar w:fldCharType="begin"/>
            </w:r>
            <w:r>
              <w:rPr>
                <w:noProof/>
                <w:webHidden/>
              </w:rPr>
              <w:instrText xml:space="preserve"> PAGEREF _Toc500517871 \h </w:instrText>
            </w:r>
            <w:r>
              <w:rPr>
                <w:noProof/>
                <w:webHidden/>
              </w:rPr>
            </w:r>
            <w:r>
              <w:rPr>
                <w:noProof/>
                <w:webHidden/>
              </w:rPr>
              <w:fldChar w:fldCharType="separate"/>
            </w:r>
            <w:r>
              <w:rPr>
                <w:noProof/>
                <w:webHidden/>
              </w:rPr>
              <w:t>49</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72" w:history="1">
            <w:r w:rsidRPr="00D038F5">
              <w:rPr>
                <w:rStyle w:val="Hyperlink"/>
                <w:rFonts w:ascii="Arial" w:hAnsi="Arial" w:cs="Arial"/>
                <w:noProof/>
              </w:rPr>
              <w:t>Appendix 6: Strategy approaches</w:t>
            </w:r>
            <w:r>
              <w:rPr>
                <w:noProof/>
                <w:webHidden/>
              </w:rPr>
              <w:tab/>
            </w:r>
            <w:r>
              <w:rPr>
                <w:noProof/>
                <w:webHidden/>
              </w:rPr>
              <w:fldChar w:fldCharType="begin"/>
            </w:r>
            <w:r>
              <w:rPr>
                <w:noProof/>
                <w:webHidden/>
              </w:rPr>
              <w:instrText xml:space="preserve"> PAGEREF _Toc500517872 \h </w:instrText>
            </w:r>
            <w:r>
              <w:rPr>
                <w:noProof/>
                <w:webHidden/>
              </w:rPr>
            </w:r>
            <w:r>
              <w:rPr>
                <w:noProof/>
                <w:webHidden/>
              </w:rPr>
              <w:fldChar w:fldCharType="separate"/>
            </w:r>
            <w:r>
              <w:rPr>
                <w:noProof/>
                <w:webHidden/>
              </w:rPr>
              <w:t>50</w:t>
            </w:r>
            <w:r>
              <w:rPr>
                <w:noProof/>
                <w:webHidden/>
              </w:rPr>
              <w:fldChar w:fldCharType="end"/>
            </w:r>
          </w:hyperlink>
        </w:p>
        <w:p w:rsidR="00097655" w:rsidRDefault="00097655" w:rsidP="00097655">
          <w:pPr>
            <w:pStyle w:val="TOC1"/>
            <w:tabs>
              <w:tab w:val="right" w:leader="dot" w:pos="9016"/>
            </w:tabs>
            <w:rPr>
              <w:rFonts w:eastAsiaTheme="minorEastAsia"/>
              <w:noProof/>
              <w:lang w:eastAsia="en-GB"/>
            </w:rPr>
          </w:pPr>
          <w:hyperlink w:anchor="_Toc500517873" w:history="1">
            <w:r w:rsidRPr="00D038F5">
              <w:rPr>
                <w:rStyle w:val="Hyperlink"/>
                <w:rFonts w:ascii="Arial" w:hAnsi="Arial" w:cs="Arial"/>
                <w:noProof/>
              </w:rPr>
              <w:t>Appendix 7: Carval functions</w:t>
            </w:r>
            <w:r>
              <w:rPr>
                <w:noProof/>
                <w:webHidden/>
              </w:rPr>
              <w:tab/>
            </w:r>
            <w:r>
              <w:rPr>
                <w:noProof/>
                <w:webHidden/>
              </w:rPr>
              <w:fldChar w:fldCharType="begin"/>
            </w:r>
            <w:r>
              <w:rPr>
                <w:noProof/>
                <w:webHidden/>
              </w:rPr>
              <w:instrText xml:space="preserve"> PAGEREF _Toc500517873 \h </w:instrText>
            </w:r>
            <w:r>
              <w:rPr>
                <w:noProof/>
                <w:webHidden/>
              </w:rPr>
            </w:r>
            <w:r>
              <w:rPr>
                <w:noProof/>
                <w:webHidden/>
              </w:rPr>
              <w:fldChar w:fldCharType="separate"/>
            </w:r>
            <w:r>
              <w:rPr>
                <w:noProof/>
                <w:webHidden/>
              </w:rPr>
              <w:t>51</w:t>
            </w:r>
            <w:r>
              <w:rPr>
                <w:noProof/>
                <w:webHidden/>
              </w:rPr>
              <w:fldChar w:fldCharType="end"/>
            </w:r>
          </w:hyperlink>
        </w:p>
        <w:p w:rsidR="00097655" w:rsidRPr="00221C13" w:rsidRDefault="00097655" w:rsidP="00097655">
          <w:pPr>
            <w:rPr>
              <w:rFonts w:ascii="Arial" w:hAnsi="Arial" w:cs="Arial"/>
              <w:sz w:val="24"/>
              <w:szCs w:val="24"/>
            </w:rPr>
          </w:pPr>
          <w:r w:rsidRPr="00221C13">
            <w:rPr>
              <w:rFonts w:ascii="Arial" w:hAnsi="Arial" w:cs="Arial"/>
              <w:b/>
              <w:bCs/>
              <w:noProof/>
              <w:sz w:val="24"/>
              <w:szCs w:val="24"/>
            </w:rPr>
            <w:fldChar w:fldCharType="end"/>
          </w:r>
        </w:p>
      </w:sdtContent>
    </w:sdt>
    <w:p w:rsidR="00097655" w:rsidRPr="00221C13" w:rsidRDefault="00097655" w:rsidP="00097655">
      <w:pPr>
        <w:pStyle w:val="Heading1"/>
        <w:rPr>
          <w:rFonts w:ascii="Arial" w:hAnsi="Arial" w:cs="Arial"/>
          <w:sz w:val="24"/>
          <w:szCs w:val="24"/>
        </w:rPr>
      </w:pPr>
      <w:bookmarkStart w:id="1" w:name="_Toc500517860"/>
      <w:r w:rsidRPr="00221C13">
        <w:rPr>
          <w:rFonts w:ascii="Arial" w:hAnsi="Arial" w:cs="Arial"/>
          <w:sz w:val="24"/>
          <w:szCs w:val="24"/>
        </w:rPr>
        <w:t>Executive Summary</w:t>
      </w:r>
      <w:bookmarkEnd w:id="1"/>
    </w:p>
    <w:p w:rsidR="00097655" w:rsidRPr="00221C13" w:rsidRDefault="00097655" w:rsidP="00097655">
      <w:pPr>
        <w:spacing w:after="0" w:line="360" w:lineRule="auto"/>
        <w:jc w:val="both"/>
        <w:rPr>
          <w:rFonts w:ascii="Arial" w:hAnsi="Arial" w:cs="Arial"/>
          <w:szCs w:val="24"/>
        </w:rPr>
      </w:pPr>
      <w:r w:rsidRPr="00221C13">
        <w:rPr>
          <w:rFonts w:ascii="Arial" w:hAnsi="Arial" w:cs="Arial"/>
          <w:szCs w:val="24"/>
        </w:rPr>
        <w:t xml:space="preserve">This report considers the external environment that Perthyn is currently operating within, whilst analysing the organisation’s internal strengths and weaknesses to maximise opportunities and limit threats. This report recommends that Perthyn focus on employee engagement to meet the short and long-term requirements of the organisation. </w:t>
      </w:r>
    </w:p>
    <w:p w:rsidR="00097655" w:rsidRPr="00221C13" w:rsidRDefault="00097655" w:rsidP="00097655">
      <w:pPr>
        <w:spacing w:after="0" w:line="360" w:lineRule="auto"/>
        <w:jc w:val="both"/>
        <w:rPr>
          <w:rFonts w:ascii="Arial" w:hAnsi="Arial" w:cs="Arial"/>
          <w:szCs w:val="24"/>
        </w:rPr>
      </w:pPr>
    </w:p>
    <w:p w:rsidR="00097655" w:rsidRDefault="00097655" w:rsidP="00097655">
      <w:pPr>
        <w:spacing w:after="0" w:line="360" w:lineRule="auto"/>
        <w:jc w:val="both"/>
        <w:rPr>
          <w:rFonts w:ascii="Arial" w:hAnsi="Arial" w:cs="Arial"/>
          <w:szCs w:val="24"/>
        </w:rPr>
      </w:pPr>
      <w:r w:rsidRPr="00221C13">
        <w:rPr>
          <w:rFonts w:ascii="Arial" w:hAnsi="Arial" w:cs="Arial"/>
          <w:szCs w:val="24"/>
        </w:rPr>
        <w:t xml:space="preserve">Perthyn are a person-centred organisation and the theme of employee engagement is one of great prevalence in all political, economic, sociological, technological, legal and environment considerations. Employee engagement can improve individual health and wellbeing, reduced sickness absence and turnover, higher levels of productivity, performance, innovation, customer service, commitment and job satisfaction (Truss et al, 2012, p.227). Many organisations have improved their employee engagement through initiatives, and at the heart of these initiatives are the employees themselves, with organisations ensuring that goal alignment occurs at every level of the organisation and is well-communicated (Harvard Business Review, p.2). </w:t>
      </w:r>
    </w:p>
    <w:p w:rsidR="00097655" w:rsidRPr="00221C13" w:rsidRDefault="00097655" w:rsidP="00097655">
      <w:pPr>
        <w:spacing w:after="0" w:line="360" w:lineRule="auto"/>
        <w:jc w:val="both"/>
        <w:rPr>
          <w:rFonts w:ascii="Arial" w:hAnsi="Arial" w:cs="Arial"/>
          <w:szCs w:val="24"/>
        </w:rPr>
      </w:pPr>
    </w:p>
    <w:p w:rsidR="00097655" w:rsidRPr="00221C13" w:rsidRDefault="00097655" w:rsidP="00097655">
      <w:pPr>
        <w:spacing w:after="0" w:line="360" w:lineRule="auto"/>
        <w:jc w:val="both"/>
        <w:rPr>
          <w:rFonts w:ascii="Arial" w:hAnsi="Arial" w:cs="Arial"/>
          <w:szCs w:val="24"/>
        </w:rPr>
      </w:pPr>
      <w:r w:rsidRPr="00221C13">
        <w:rPr>
          <w:rFonts w:ascii="Arial" w:hAnsi="Arial" w:cs="Arial"/>
          <w:szCs w:val="24"/>
        </w:rPr>
        <w:t>This report concludes and recommends that Perthyn develop an employee engagement strategy through employee workshops, improving the employer brand, ensuring employees have access to existing technology and encouraging flexible working policies for all.</w:t>
      </w:r>
    </w:p>
    <w:p w:rsidR="00097655" w:rsidRPr="00221C13" w:rsidRDefault="00097655" w:rsidP="00097655">
      <w:pPr>
        <w:pStyle w:val="Heading1"/>
        <w:rPr>
          <w:rFonts w:ascii="Arial" w:hAnsi="Arial" w:cs="Arial"/>
          <w:sz w:val="24"/>
          <w:szCs w:val="24"/>
        </w:rPr>
      </w:pPr>
      <w:bookmarkStart w:id="2" w:name="_Toc500517861"/>
      <w:r w:rsidRPr="00221C13">
        <w:rPr>
          <w:rFonts w:ascii="Arial" w:hAnsi="Arial" w:cs="Arial"/>
          <w:sz w:val="24"/>
          <w:szCs w:val="24"/>
        </w:rPr>
        <w:lastRenderedPageBreak/>
        <w:t>Introduction</w:t>
      </w:r>
      <w:bookmarkEnd w:id="2"/>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This report will analyse the significant environmental factors currently impacting on Perthyn, and will make recommendations for HR strategy to inform Perthyn’s Strategic Plan in the short term.</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Perthyn, a medium size organisation with 800 employees, provides care and support to 200 individuals in England and in Wales. Perthyn are a third sector charity and have built strong relationships with 8 local authority areas and UNISION (Perthyn, 2017).</w:t>
      </w:r>
    </w:p>
    <w:p w:rsidR="00097655" w:rsidRPr="00221C13" w:rsidRDefault="00097655" w:rsidP="00097655">
      <w:pPr>
        <w:pStyle w:val="Heading1"/>
        <w:rPr>
          <w:rFonts w:ascii="Arial" w:hAnsi="Arial" w:cs="Arial"/>
          <w:sz w:val="24"/>
          <w:szCs w:val="24"/>
        </w:rPr>
      </w:pPr>
      <w:bookmarkStart w:id="3" w:name="_Toc500517862"/>
      <w:r w:rsidRPr="00221C13">
        <w:rPr>
          <w:rFonts w:ascii="Arial" w:hAnsi="Arial" w:cs="Arial"/>
          <w:sz w:val="24"/>
          <w:szCs w:val="24"/>
        </w:rPr>
        <w:t>Methodology</w:t>
      </w:r>
      <w:bookmarkEnd w:id="3"/>
      <w:r w:rsidRPr="00221C13">
        <w:rPr>
          <w:rFonts w:ascii="Arial" w:hAnsi="Arial" w:cs="Arial"/>
          <w:sz w:val="24"/>
          <w:szCs w:val="24"/>
        </w:rPr>
        <w:t xml:space="preserve"> </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 xml:space="preserve">The report is informed by current, relevant and reliable secondary sources of information and data, including ACAS, CIPD, peer-reviewed journals, case studies and textbooks. Conclusions and recommendations will be made from findings based on models and theories, relevant legislation, best practice and organisational examples. </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 xml:space="preserve">An organisation will achieve congruence when its environment, resources and values are mutually reinforcing (Kew and Stredwick, 2012, p.32). The main areas requiring strategic environmental analyses are socio-cultural, technological, economic, environmental, political, legal and ethical contexts (Farnham, 2015, p.139). There are several tools which can be used to analyse business environments, and this report is informed by a PESTLE analysis (Appendix 1) and SWOT analysis, within which a PRIMO-F approach is applied (Appendix 2). </w:t>
      </w:r>
    </w:p>
    <w:p w:rsidR="00097655" w:rsidRPr="00221C13" w:rsidRDefault="00097655" w:rsidP="00097655">
      <w:pPr>
        <w:spacing w:line="360" w:lineRule="auto"/>
        <w:jc w:val="both"/>
        <w:rPr>
          <w:rFonts w:ascii="Arial" w:hAnsi="Arial" w:cs="Arial"/>
          <w:bCs/>
          <w:sz w:val="24"/>
          <w:szCs w:val="24"/>
        </w:rPr>
      </w:pPr>
      <w:r w:rsidRPr="00221C13">
        <w:rPr>
          <w:rFonts w:ascii="Arial" w:hAnsi="Arial" w:cs="Arial"/>
          <w:sz w:val="24"/>
          <w:szCs w:val="24"/>
        </w:rPr>
        <w:t>A PESTLE analysis is an appropriate framework and activity to use in a range of business planning situations, which can encompass strategic business planning, workforce planning, marketing planning, product development, organisational change and HR strategy, reports and projects (CIPD, 2017i).</w:t>
      </w:r>
    </w:p>
    <w:p w:rsidR="00097655" w:rsidRPr="00221C13" w:rsidRDefault="00097655" w:rsidP="00097655">
      <w:pPr>
        <w:spacing w:line="360" w:lineRule="auto"/>
        <w:jc w:val="both"/>
        <w:rPr>
          <w:rFonts w:ascii="Arial" w:hAnsi="Arial" w:cs="Arial"/>
          <w:sz w:val="24"/>
          <w:szCs w:val="24"/>
          <w:u w:val="single"/>
        </w:rPr>
      </w:pPr>
      <w:r w:rsidRPr="00221C13">
        <w:rPr>
          <w:rFonts w:ascii="Arial" w:hAnsi="Arial" w:cs="Arial"/>
          <w:sz w:val="24"/>
          <w:szCs w:val="24"/>
        </w:rPr>
        <w:t xml:space="preserve">A SWOT analysis considers internal and internal factors which can impact on an organisation, namely strengths, weaknesses, opportunities and threats. It's a model for matching an organisation's goals, programmes and capacities to the social environment in which it operates (CIPD, 2015a). It provides a useful way of screening strategic options, where options maximising ‘strengths’ or opportunities’ are preferable to those that are not (Farnham, 2015, p.148), whilst PRIMO-F is a </w:t>
      </w:r>
      <w:r w:rsidRPr="00221C13">
        <w:rPr>
          <w:rFonts w:ascii="Arial" w:hAnsi="Arial" w:cs="Arial"/>
          <w:sz w:val="24"/>
          <w:szCs w:val="24"/>
        </w:rPr>
        <w:lastRenderedPageBreak/>
        <w:t xml:space="preserve">simplified way of showing strengths and weaknesses in the relevant areas (RapidBi, 2011). </w:t>
      </w:r>
    </w:p>
    <w:p w:rsidR="00097655" w:rsidRPr="00221C13" w:rsidRDefault="00097655" w:rsidP="00097655">
      <w:pPr>
        <w:spacing w:line="360" w:lineRule="auto"/>
        <w:jc w:val="both"/>
        <w:rPr>
          <w:rFonts w:ascii="Arial" w:hAnsi="Arial" w:cs="Arial"/>
          <w:bCs/>
          <w:sz w:val="24"/>
          <w:szCs w:val="24"/>
          <w:u w:val="single"/>
        </w:rPr>
      </w:pPr>
      <w:r w:rsidRPr="00221C13">
        <w:rPr>
          <w:rFonts w:ascii="Arial" w:hAnsi="Arial" w:cs="Arial"/>
          <w:bCs/>
          <w:sz w:val="24"/>
          <w:szCs w:val="24"/>
          <w:u w:val="single"/>
        </w:rPr>
        <w:t>PESTLE and SWOT Comparison</w:t>
      </w:r>
    </w:p>
    <w:p w:rsidR="00097655" w:rsidRPr="00221C13" w:rsidRDefault="00097655" w:rsidP="00097655">
      <w:pPr>
        <w:spacing w:line="360" w:lineRule="auto"/>
        <w:jc w:val="both"/>
        <w:rPr>
          <w:rFonts w:ascii="Arial" w:hAnsi="Arial" w:cs="Arial"/>
          <w:bCs/>
          <w:sz w:val="24"/>
          <w:szCs w:val="24"/>
        </w:rPr>
      </w:pPr>
      <w:r w:rsidRPr="00221C13">
        <w:rPr>
          <w:rFonts w:ascii="Arial" w:hAnsi="Arial" w:cs="Arial"/>
          <w:bCs/>
          <w:sz w:val="24"/>
          <w:szCs w:val="24"/>
        </w:rPr>
        <w:t>Although similar, there are some differences between a PESTLE analysis and SWOT analysis</w:t>
      </w:r>
    </w:p>
    <w:tbl>
      <w:tblPr>
        <w:tblStyle w:val="LightShading-Accent5"/>
        <w:tblW w:w="9072" w:type="dxa"/>
        <w:tblInd w:w="108" w:type="dxa"/>
        <w:tblLayout w:type="fixed"/>
        <w:tblLook w:val="04A0" w:firstRow="1" w:lastRow="0" w:firstColumn="1" w:lastColumn="0" w:noHBand="0" w:noVBand="1"/>
      </w:tblPr>
      <w:tblGrid>
        <w:gridCol w:w="5812"/>
        <w:gridCol w:w="1630"/>
        <w:gridCol w:w="1630"/>
      </w:tblGrid>
      <w:tr w:rsidR="00097655" w:rsidRPr="00DC4FF2" w:rsidTr="00626A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tcPr>
          <w:p w:rsidR="00097655" w:rsidRPr="00DC4FF2" w:rsidRDefault="00097655" w:rsidP="00626A99">
            <w:pPr>
              <w:spacing w:line="360" w:lineRule="auto"/>
              <w:jc w:val="center"/>
              <w:rPr>
                <w:rFonts w:ascii="Arial" w:hAnsi="Arial" w:cs="Arial"/>
                <w:bCs w:val="0"/>
                <w:color w:val="auto"/>
                <w:szCs w:val="24"/>
              </w:rPr>
            </w:pPr>
            <w:r w:rsidRPr="00DC4FF2">
              <w:rPr>
                <w:rFonts w:ascii="Arial" w:hAnsi="Arial" w:cs="Arial"/>
                <w:bCs w:val="0"/>
                <w:color w:val="auto"/>
                <w:szCs w:val="24"/>
              </w:rPr>
              <w:t>Advantage / Disadvantage</w:t>
            </w:r>
          </w:p>
        </w:tc>
        <w:tc>
          <w:tcPr>
            <w:tcW w:w="1630" w:type="dxa"/>
            <w:vAlign w:val="center"/>
          </w:tcPr>
          <w:p w:rsidR="00097655" w:rsidRPr="00DC4FF2" w:rsidRDefault="00097655" w:rsidP="00626A9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auto"/>
                <w:szCs w:val="24"/>
              </w:rPr>
            </w:pPr>
            <w:r w:rsidRPr="00DC4FF2">
              <w:rPr>
                <w:rFonts w:ascii="Arial" w:hAnsi="Arial" w:cs="Arial"/>
                <w:bCs w:val="0"/>
                <w:color w:val="auto"/>
                <w:szCs w:val="24"/>
              </w:rPr>
              <w:t>PESTLE</w:t>
            </w:r>
          </w:p>
        </w:tc>
        <w:tc>
          <w:tcPr>
            <w:tcW w:w="1630" w:type="dxa"/>
            <w:vAlign w:val="center"/>
          </w:tcPr>
          <w:p w:rsidR="00097655" w:rsidRPr="00DC4FF2" w:rsidRDefault="00097655" w:rsidP="00626A99">
            <w:pPr>
              <w:tabs>
                <w:tab w:val="left" w:pos="555"/>
                <w:tab w:val="center" w:pos="1401"/>
              </w:tabs>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Cs w:val="0"/>
                <w:color w:val="auto"/>
                <w:szCs w:val="24"/>
              </w:rPr>
            </w:pPr>
            <w:r w:rsidRPr="00DC4FF2">
              <w:rPr>
                <w:rFonts w:ascii="Arial" w:hAnsi="Arial" w:cs="Arial"/>
                <w:bCs w:val="0"/>
                <w:color w:val="auto"/>
                <w:szCs w:val="24"/>
              </w:rPr>
              <w:t>SWOT</w:t>
            </w:r>
          </w:p>
        </w:tc>
      </w:tr>
      <w:tr w:rsidR="00097655" w:rsidRPr="00DC4FF2"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Simple framework</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auto"/>
                <w:szCs w:val="24"/>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auto"/>
                <w:szCs w:val="24"/>
                <w:u w:val="single"/>
              </w:rPr>
            </w:pPr>
            <w:r w:rsidRPr="00DC4FF2">
              <w:rPr>
                <w:rFonts w:ascii="Segoe UI Symbol" w:eastAsia="MS Gothic" w:hAnsi="Segoe UI Symbol" w:cs="Segoe UI Symbol"/>
                <w:bCs/>
                <w:color w:val="auto"/>
                <w:szCs w:val="24"/>
              </w:rPr>
              <w:t>✓</w:t>
            </w:r>
          </w:p>
        </w:tc>
      </w:tr>
      <w:tr w:rsidR="00097655" w:rsidRPr="00DC4FF2" w:rsidTr="00626A99">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Facilitates understanding of wider business environment</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auto"/>
                <w:szCs w:val="24"/>
                <w:u w:val="single"/>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auto"/>
                <w:szCs w:val="24"/>
                <w:u w:val="single"/>
              </w:rPr>
            </w:pPr>
          </w:p>
        </w:tc>
      </w:tr>
      <w:tr w:rsidR="00097655" w:rsidRPr="00DC4FF2"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Analyses strengths and weaknesses of an organisation</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auto"/>
                <w:szCs w:val="24"/>
                <w:u w:val="single"/>
              </w:rPr>
            </w:pP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auto"/>
                <w:szCs w:val="24"/>
                <w:u w:val="single"/>
              </w:rPr>
            </w:pPr>
            <w:r w:rsidRPr="00DC4FF2">
              <w:rPr>
                <w:rFonts w:ascii="Segoe UI Symbol" w:eastAsia="MS Gothic" w:hAnsi="Segoe UI Symbol" w:cs="Segoe UI Symbol"/>
                <w:bCs/>
                <w:color w:val="auto"/>
                <w:szCs w:val="24"/>
              </w:rPr>
              <w:t>✓</w:t>
            </w:r>
          </w:p>
        </w:tc>
      </w:tr>
      <w:tr w:rsidR="00097655" w:rsidRPr="00DC4FF2" w:rsidTr="00626A99">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Encourages external and strategic thinking</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auto"/>
                <w:szCs w:val="24"/>
                <w:u w:val="single"/>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auto"/>
                <w:szCs w:val="24"/>
                <w:u w:val="single"/>
              </w:rPr>
            </w:pPr>
            <w:r w:rsidRPr="00DC4FF2">
              <w:rPr>
                <w:rFonts w:ascii="Segoe UI Symbol" w:eastAsia="MS Gothic" w:hAnsi="Segoe UI Symbol" w:cs="Segoe UI Symbol"/>
                <w:bCs/>
                <w:color w:val="auto"/>
                <w:szCs w:val="24"/>
              </w:rPr>
              <w:t>✓</w:t>
            </w:r>
          </w:p>
        </w:tc>
      </w:tr>
      <w:tr w:rsidR="00097655" w:rsidRPr="00DC4FF2"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Supports the anticipation of future business threats</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auto"/>
                <w:szCs w:val="24"/>
                <w:u w:val="single"/>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Cs/>
                <w:color w:val="auto"/>
                <w:szCs w:val="24"/>
                <w:u w:val="single"/>
              </w:rPr>
            </w:pPr>
            <w:r w:rsidRPr="00DC4FF2">
              <w:rPr>
                <w:rFonts w:ascii="Segoe UI Symbol" w:eastAsia="MS Gothic" w:hAnsi="Segoe UI Symbol" w:cs="Segoe UI Symbol"/>
                <w:bCs/>
                <w:color w:val="auto"/>
                <w:szCs w:val="24"/>
              </w:rPr>
              <w:t>✓</w:t>
            </w:r>
          </w:p>
        </w:tc>
      </w:tr>
      <w:tr w:rsidR="00097655" w:rsidRPr="00DC4FF2" w:rsidTr="00626A99">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 xml:space="preserve">Enables organisations to explore opportunities </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auto"/>
                <w:szCs w:val="24"/>
                <w:u w:val="single"/>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Cs/>
                <w:color w:val="auto"/>
                <w:szCs w:val="24"/>
                <w:u w:val="single"/>
              </w:rPr>
            </w:pPr>
            <w:r w:rsidRPr="00DC4FF2">
              <w:rPr>
                <w:rFonts w:ascii="Segoe UI Symbol" w:eastAsia="MS Gothic" w:hAnsi="Segoe UI Symbol" w:cs="Segoe UI Symbol"/>
                <w:bCs/>
                <w:color w:val="auto"/>
                <w:szCs w:val="24"/>
              </w:rPr>
              <w:t>✓</w:t>
            </w:r>
          </w:p>
        </w:tc>
      </w:tr>
      <w:tr w:rsidR="00097655" w:rsidRPr="00DC4FF2"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 xml:space="preserve">A flexible analysis tool </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r w:rsidR="00097655" w:rsidRPr="00DC4FF2" w:rsidTr="00626A99">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 xml:space="preserve">Process must be completed on a regular basis  </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r w:rsidR="00097655" w:rsidRPr="00DC4FF2"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Users can over-simplify the amount of data used</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r w:rsidR="00097655" w:rsidRPr="00DC4FF2" w:rsidTr="00626A99">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 xml:space="preserve">Resource heavy; the best reviews require different perspectives and input </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r w:rsidR="00097655" w:rsidRPr="00DC4FF2"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Access to quality internal data sources can be time consuming and politically difficult </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r w:rsidR="00097655" w:rsidRPr="00DC4FF2" w:rsidTr="00626A99">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Access to quality, external data sources can be time consuming and costly</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r w:rsidR="00097655" w:rsidRPr="00DC4FF2"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Difficult to fully anticipate developments that may affect an organisation in the future</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r w:rsidR="00097655" w:rsidRPr="00DC4FF2" w:rsidTr="00626A99">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Capturing too much data may cause difficulties in itself</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r w:rsidR="00097655" w:rsidRPr="00DC4FF2"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Data used in the analysis may be based on assumptions</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c>
          <w:tcPr>
            <w:tcW w:w="1630" w:type="dxa"/>
            <w:vAlign w:val="center"/>
          </w:tcPr>
          <w:p w:rsidR="00097655" w:rsidRPr="00DC4FF2" w:rsidRDefault="00097655" w:rsidP="00626A9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r w:rsidR="00097655" w:rsidRPr="00DC4FF2" w:rsidTr="00626A99">
        <w:tc>
          <w:tcPr>
            <w:cnfStyle w:val="001000000000" w:firstRow="0" w:lastRow="0" w:firstColumn="1" w:lastColumn="0" w:oddVBand="0" w:evenVBand="0" w:oddHBand="0" w:evenHBand="0" w:firstRowFirstColumn="0" w:firstRowLastColumn="0" w:lastRowFirstColumn="0" w:lastRowLastColumn="0"/>
            <w:tcW w:w="5812" w:type="dxa"/>
            <w:vAlign w:val="center"/>
          </w:tcPr>
          <w:p w:rsidR="00097655" w:rsidRPr="00DC4FF2" w:rsidRDefault="00097655" w:rsidP="00626A99">
            <w:pPr>
              <w:spacing w:line="360" w:lineRule="auto"/>
              <w:jc w:val="both"/>
              <w:rPr>
                <w:rFonts w:ascii="Arial" w:hAnsi="Arial" w:cs="Arial"/>
                <w:b w:val="0"/>
                <w:bCs w:val="0"/>
                <w:color w:val="auto"/>
                <w:szCs w:val="24"/>
              </w:rPr>
            </w:pPr>
            <w:r w:rsidRPr="00DC4FF2">
              <w:rPr>
                <w:rFonts w:ascii="Arial" w:hAnsi="Arial" w:cs="Arial"/>
                <w:b w:val="0"/>
                <w:bCs w:val="0"/>
                <w:color w:val="auto"/>
                <w:szCs w:val="24"/>
              </w:rPr>
              <w:t>Lacks detailed structure, so key elements may get missed.</w:t>
            </w: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p>
        </w:tc>
        <w:tc>
          <w:tcPr>
            <w:tcW w:w="1630" w:type="dxa"/>
            <w:vAlign w:val="center"/>
          </w:tcPr>
          <w:p w:rsidR="00097655" w:rsidRPr="00DC4FF2" w:rsidRDefault="00097655" w:rsidP="00626A9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MS Gothic" w:hAnsi="Arial" w:cs="Arial"/>
                <w:bCs/>
                <w:color w:val="auto"/>
                <w:szCs w:val="24"/>
              </w:rPr>
            </w:pPr>
            <w:r w:rsidRPr="00DC4FF2">
              <w:rPr>
                <w:rFonts w:ascii="Segoe UI Symbol" w:eastAsia="MS Gothic" w:hAnsi="Segoe UI Symbol" w:cs="Segoe UI Symbol"/>
                <w:bCs/>
                <w:color w:val="auto"/>
                <w:szCs w:val="24"/>
              </w:rPr>
              <w:t>✓</w:t>
            </w:r>
          </w:p>
        </w:tc>
      </w:tr>
    </w:tbl>
    <w:p w:rsidR="00097655" w:rsidRPr="00221C13" w:rsidRDefault="00097655" w:rsidP="00097655">
      <w:pPr>
        <w:spacing w:line="360" w:lineRule="auto"/>
        <w:jc w:val="right"/>
        <w:rPr>
          <w:rFonts w:ascii="Arial" w:hAnsi="Arial" w:cs="Arial"/>
          <w:bCs/>
          <w:sz w:val="24"/>
          <w:szCs w:val="24"/>
        </w:rPr>
      </w:pPr>
      <w:r w:rsidRPr="00221C13">
        <w:rPr>
          <w:rFonts w:ascii="Arial" w:hAnsi="Arial" w:cs="Arial"/>
          <w:bCs/>
          <w:sz w:val="24"/>
          <w:szCs w:val="24"/>
        </w:rPr>
        <w:t>(Adapted from CIPD, 2015a and CIPD, 2017i)</w:t>
      </w:r>
    </w:p>
    <w:p w:rsidR="00097655" w:rsidRPr="00221C13" w:rsidRDefault="00097655" w:rsidP="00097655">
      <w:pPr>
        <w:spacing w:line="360" w:lineRule="auto"/>
        <w:jc w:val="both"/>
        <w:rPr>
          <w:rFonts w:ascii="Arial" w:hAnsi="Arial" w:cs="Arial"/>
          <w:b/>
          <w:bCs/>
          <w:sz w:val="24"/>
          <w:szCs w:val="24"/>
        </w:rPr>
      </w:pPr>
      <w:r w:rsidRPr="00221C13">
        <w:rPr>
          <w:rFonts w:ascii="Arial" w:hAnsi="Arial" w:cs="Arial"/>
          <w:bCs/>
          <w:sz w:val="24"/>
          <w:szCs w:val="24"/>
        </w:rPr>
        <w:t xml:space="preserve">Used effectively with a PESTLE analysis, the PRIMO-F can provide a structure to completing a SWOT analysis. Together they form a very powerful diagnostic suite (RapidBI, 2011). The optimum PESTLE approach is through collaboration as </w:t>
      </w:r>
      <w:r w:rsidRPr="00221C13">
        <w:rPr>
          <w:rFonts w:ascii="Arial" w:hAnsi="Arial" w:cs="Arial"/>
          <w:bCs/>
          <w:sz w:val="24"/>
          <w:szCs w:val="24"/>
        </w:rPr>
        <w:lastRenderedPageBreak/>
        <w:t xml:space="preserve">multiple perspectives will deliver a better outcome (CIPD, 2017i), therefore this report may be limited in its breadth of analysis. </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Other approaches include Porter’s 1980 Five Forces Framework (Dobb’s, 2014, p.32), Choo’s 2001 two-dimensional model of environmental scanning (Kew and Stredwick, 2016, p.12), Johnson et al’s 2011 scanning approach (Kew and Stredwick, 2016, p.13) and Armstrong’s six step guide to HR strategy formation (Armstrong, 2016, p.75). However, the combined detailed PESTLE and SWOT analysis is sufficient to meet the requirement this report.</w:t>
      </w:r>
    </w:p>
    <w:p w:rsidR="00097655" w:rsidRPr="00221C13" w:rsidRDefault="00097655" w:rsidP="00097655">
      <w:pPr>
        <w:pStyle w:val="Heading1"/>
        <w:spacing w:line="360" w:lineRule="auto"/>
        <w:rPr>
          <w:rFonts w:ascii="Arial" w:hAnsi="Arial" w:cs="Arial"/>
          <w:sz w:val="24"/>
          <w:szCs w:val="24"/>
        </w:rPr>
      </w:pPr>
      <w:bookmarkStart w:id="4" w:name="_Toc500517863"/>
      <w:r w:rsidRPr="00221C13">
        <w:rPr>
          <w:rFonts w:ascii="Arial" w:hAnsi="Arial" w:cs="Arial"/>
          <w:sz w:val="24"/>
          <w:szCs w:val="24"/>
        </w:rPr>
        <w:t>Findings</w:t>
      </w:r>
      <w:bookmarkEnd w:id="4"/>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 xml:space="preserve">As indicated (Appendix 1 and 2), there are several factors which will have a high impact on Perthyn within the short term. Due to the limited scope of this report, it will analyse the most critical and actionable factor which can improve organisational performance based on environmental trends. Therefore, the focus of this report is </w:t>
      </w:r>
      <w:r w:rsidRPr="00221C13">
        <w:rPr>
          <w:rFonts w:ascii="Arial" w:hAnsi="Arial" w:cs="Arial"/>
          <w:b/>
          <w:sz w:val="24"/>
          <w:szCs w:val="24"/>
        </w:rPr>
        <w:t>employee experience</w:t>
      </w:r>
      <w:r w:rsidRPr="00221C13">
        <w:rPr>
          <w:rFonts w:ascii="Arial" w:hAnsi="Arial" w:cs="Arial"/>
          <w:sz w:val="24"/>
          <w:szCs w:val="24"/>
        </w:rPr>
        <w:t>,</w:t>
      </w:r>
      <w:r w:rsidRPr="00221C13">
        <w:rPr>
          <w:rFonts w:ascii="Arial" w:hAnsi="Arial" w:cs="Arial"/>
          <w:b/>
          <w:sz w:val="24"/>
          <w:szCs w:val="24"/>
        </w:rPr>
        <w:t xml:space="preserve"> </w:t>
      </w:r>
      <w:r w:rsidRPr="00221C13">
        <w:rPr>
          <w:rFonts w:ascii="Arial" w:hAnsi="Arial" w:cs="Arial"/>
          <w:sz w:val="24"/>
          <w:szCs w:val="24"/>
        </w:rPr>
        <w:t>which is interconnected with technological progress, demographics, agility and talent acquisition. As an organisation which focuses on people, family, community and society (Perthyn, 2014, p.3), it is critical that Perthyn’s biggest cost and asset, its staff, are productive, engaged and content.</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Agility is a key focus of the modern, competitive company. New technologies, changing customer demands, demographic shifts and globalisation have changed the world of work significantly (Cannon, 2017). Indeed, pundits and leaders alike have asserted that we now live in a VUCA world (Bennett, 2014), with the uncertainty surround Brexit (CIPD, 2017b) evidencing this. Bennet (2014) indicates that addressing agility “is key to coping with volatility” (Appendix 3), and this can be achieved through resources being aggressively directed toward building slack and creating the potential for future flexibility. Perthyn’s biggest resource is its people, and therefore creating an excellent employee experience</w:t>
      </w:r>
      <w:r w:rsidRPr="00221C13">
        <w:rPr>
          <w:rFonts w:ascii="Arial" w:hAnsi="Arial" w:cs="Arial"/>
          <w:b/>
          <w:sz w:val="24"/>
          <w:szCs w:val="24"/>
        </w:rPr>
        <w:t xml:space="preserve"> </w:t>
      </w:r>
      <w:r w:rsidRPr="00221C13">
        <w:rPr>
          <w:rFonts w:ascii="Arial" w:hAnsi="Arial" w:cs="Arial"/>
          <w:sz w:val="24"/>
          <w:szCs w:val="24"/>
        </w:rPr>
        <w:t>can meet Perthyn’s strategic aim to “attract, retain and train high calibre staff” (Appendix 4).</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How this can be achieved will be influenced heavily by current trends. These include:</w:t>
      </w:r>
    </w:p>
    <w:p w:rsidR="00097655" w:rsidRPr="00221C13" w:rsidRDefault="00097655" w:rsidP="00097655">
      <w:pPr>
        <w:pStyle w:val="ListParagraph"/>
        <w:numPr>
          <w:ilvl w:val="0"/>
          <w:numId w:val="2"/>
        </w:numPr>
        <w:spacing w:line="360" w:lineRule="auto"/>
        <w:jc w:val="both"/>
        <w:rPr>
          <w:rFonts w:ascii="Arial" w:hAnsi="Arial" w:cs="Arial"/>
          <w:sz w:val="24"/>
          <w:szCs w:val="24"/>
        </w:rPr>
      </w:pPr>
      <w:r w:rsidRPr="00221C13">
        <w:rPr>
          <w:rFonts w:ascii="Arial" w:hAnsi="Arial" w:cs="Arial"/>
          <w:sz w:val="24"/>
          <w:szCs w:val="24"/>
        </w:rPr>
        <w:t>79% of organisations consider employee experience an important trend (Deloitte, 2017b, p.6)</w:t>
      </w:r>
    </w:p>
    <w:p w:rsidR="00097655" w:rsidRPr="00221C13" w:rsidRDefault="00097655" w:rsidP="00097655">
      <w:pPr>
        <w:pStyle w:val="ListParagraph"/>
        <w:numPr>
          <w:ilvl w:val="0"/>
          <w:numId w:val="2"/>
        </w:numPr>
        <w:spacing w:line="360" w:lineRule="auto"/>
        <w:jc w:val="both"/>
        <w:rPr>
          <w:rFonts w:ascii="Arial" w:hAnsi="Arial" w:cs="Arial"/>
          <w:sz w:val="24"/>
          <w:szCs w:val="24"/>
        </w:rPr>
      </w:pPr>
      <w:r w:rsidRPr="00221C13">
        <w:rPr>
          <w:rFonts w:ascii="Arial" w:hAnsi="Arial" w:cs="Arial"/>
          <w:sz w:val="24"/>
          <w:szCs w:val="24"/>
        </w:rPr>
        <w:lastRenderedPageBreak/>
        <w:t>Only 4.3% of the UK are currently unemployed (ONS, 2017)</w:t>
      </w:r>
    </w:p>
    <w:p w:rsidR="00097655" w:rsidRPr="00221C13" w:rsidRDefault="00097655" w:rsidP="00097655">
      <w:pPr>
        <w:pStyle w:val="ListParagraph"/>
        <w:numPr>
          <w:ilvl w:val="0"/>
          <w:numId w:val="2"/>
        </w:numPr>
        <w:spacing w:line="360" w:lineRule="auto"/>
        <w:jc w:val="both"/>
        <w:rPr>
          <w:rFonts w:ascii="Arial" w:hAnsi="Arial" w:cs="Arial"/>
          <w:sz w:val="24"/>
          <w:szCs w:val="24"/>
        </w:rPr>
      </w:pPr>
      <w:r w:rsidRPr="00221C13">
        <w:rPr>
          <w:rFonts w:ascii="Arial" w:hAnsi="Arial" w:cs="Arial"/>
          <w:sz w:val="24"/>
          <w:szCs w:val="24"/>
        </w:rPr>
        <w:t>By 2030, the care sector may need between 350,000 and 700,000 new jobs. (Griffiths et al, 2017, p.3)</w:t>
      </w:r>
    </w:p>
    <w:p w:rsidR="00097655" w:rsidRPr="00221C13" w:rsidRDefault="00097655" w:rsidP="00097655">
      <w:pPr>
        <w:pStyle w:val="ListParagraph"/>
        <w:numPr>
          <w:ilvl w:val="0"/>
          <w:numId w:val="2"/>
        </w:numPr>
        <w:spacing w:line="360" w:lineRule="auto"/>
        <w:jc w:val="both"/>
        <w:rPr>
          <w:rFonts w:ascii="Arial" w:hAnsi="Arial" w:cs="Arial"/>
          <w:sz w:val="24"/>
          <w:szCs w:val="24"/>
        </w:rPr>
      </w:pPr>
      <w:r w:rsidRPr="00221C13">
        <w:rPr>
          <w:rFonts w:ascii="Arial" w:hAnsi="Arial" w:cs="Arial"/>
          <w:sz w:val="24"/>
          <w:szCs w:val="24"/>
        </w:rPr>
        <w:t>Adult social care is a growing sector that, in 2016, had around 20,300 organisations, 40,400 care providing locations and a workforce of around 1.58 million jobs.  (Griffiths et al, 2017, p.4)</w:t>
      </w:r>
    </w:p>
    <w:p w:rsidR="00097655" w:rsidRPr="00221C13" w:rsidRDefault="00097655" w:rsidP="00097655">
      <w:pPr>
        <w:pStyle w:val="ListParagraph"/>
        <w:numPr>
          <w:ilvl w:val="0"/>
          <w:numId w:val="2"/>
        </w:numPr>
        <w:spacing w:line="360" w:lineRule="auto"/>
        <w:jc w:val="both"/>
        <w:rPr>
          <w:rFonts w:ascii="Arial" w:hAnsi="Arial" w:cs="Arial"/>
          <w:sz w:val="24"/>
          <w:szCs w:val="24"/>
        </w:rPr>
      </w:pPr>
      <w:r w:rsidRPr="00221C13">
        <w:rPr>
          <w:rFonts w:ascii="Arial" w:hAnsi="Arial" w:cs="Arial"/>
          <w:sz w:val="24"/>
          <w:szCs w:val="24"/>
        </w:rPr>
        <w:t>One million more older people need to be in work by 2022 (CIPDg, 2017)</w:t>
      </w:r>
    </w:p>
    <w:p w:rsidR="00097655" w:rsidRPr="00221C13" w:rsidRDefault="00097655" w:rsidP="00097655">
      <w:pPr>
        <w:pStyle w:val="ListParagraph"/>
        <w:numPr>
          <w:ilvl w:val="0"/>
          <w:numId w:val="2"/>
        </w:numPr>
        <w:spacing w:line="360" w:lineRule="auto"/>
        <w:ind w:left="714" w:hanging="357"/>
        <w:jc w:val="both"/>
        <w:rPr>
          <w:rFonts w:ascii="Arial" w:hAnsi="Arial" w:cs="Arial"/>
          <w:sz w:val="24"/>
          <w:szCs w:val="24"/>
        </w:rPr>
      </w:pPr>
      <w:r w:rsidRPr="00221C13">
        <w:rPr>
          <w:rFonts w:ascii="Arial" w:hAnsi="Arial" w:cs="Arial"/>
          <w:sz w:val="24"/>
          <w:szCs w:val="24"/>
        </w:rPr>
        <w:t>In the next ten years, 75% of the workplace will be millennials (Kruse, 2017)</w:t>
      </w:r>
    </w:p>
    <w:p w:rsidR="00097655" w:rsidRPr="00221C13" w:rsidRDefault="00097655" w:rsidP="00097655">
      <w:pPr>
        <w:pStyle w:val="ListParagraph"/>
        <w:numPr>
          <w:ilvl w:val="0"/>
          <w:numId w:val="2"/>
        </w:numPr>
        <w:spacing w:line="360" w:lineRule="auto"/>
        <w:ind w:left="714" w:hanging="357"/>
        <w:jc w:val="both"/>
        <w:rPr>
          <w:rFonts w:ascii="Arial" w:hAnsi="Arial" w:cs="Arial"/>
          <w:sz w:val="24"/>
          <w:szCs w:val="24"/>
        </w:rPr>
      </w:pPr>
      <w:r w:rsidRPr="00221C13">
        <w:rPr>
          <w:rFonts w:ascii="Arial" w:hAnsi="Arial" w:cs="Arial"/>
          <w:sz w:val="24"/>
          <w:szCs w:val="24"/>
        </w:rPr>
        <w:t xml:space="preserve">Almost </w:t>
      </w:r>
      <w:r w:rsidRPr="00221C13">
        <w:rPr>
          <w:rFonts w:ascii="Arial" w:hAnsi="Arial" w:cs="Arial"/>
          <w:bCs/>
          <w:sz w:val="24"/>
          <w:szCs w:val="24"/>
        </w:rPr>
        <w:t>three quarters of UK businesses surveyed</w:t>
      </w:r>
      <w:r w:rsidRPr="00221C13">
        <w:rPr>
          <w:rFonts w:ascii="Arial" w:hAnsi="Arial" w:cs="Arial"/>
          <w:sz w:val="24"/>
          <w:szCs w:val="24"/>
        </w:rPr>
        <w:t xml:space="preserve"> say that they will employ more people (net) in future and most </w:t>
      </w:r>
      <w:r w:rsidRPr="00221C13">
        <w:rPr>
          <w:rFonts w:ascii="Arial" w:hAnsi="Arial" w:cs="Arial"/>
          <w:bCs/>
          <w:sz w:val="24"/>
          <w:szCs w:val="24"/>
        </w:rPr>
        <w:t xml:space="preserve">think that technology will have a significant or very significant impact </w:t>
      </w:r>
      <w:r w:rsidRPr="00221C13">
        <w:rPr>
          <w:rFonts w:ascii="Arial" w:hAnsi="Arial" w:cs="Arial"/>
          <w:sz w:val="24"/>
          <w:szCs w:val="24"/>
        </w:rPr>
        <w:t>on their businesses (Deloitte, 2015, p.2)</w:t>
      </w:r>
    </w:p>
    <w:p w:rsidR="00097655" w:rsidRPr="00221C13" w:rsidRDefault="00097655" w:rsidP="00097655">
      <w:pPr>
        <w:pStyle w:val="ListParagraph"/>
        <w:numPr>
          <w:ilvl w:val="0"/>
          <w:numId w:val="2"/>
        </w:numPr>
        <w:spacing w:line="360" w:lineRule="auto"/>
        <w:ind w:left="714" w:hanging="357"/>
        <w:jc w:val="both"/>
        <w:rPr>
          <w:rFonts w:ascii="Arial" w:hAnsi="Arial" w:cs="Arial"/>
          <w:sz w:val="24"/>
          <w:szCs w:val="24"/>
        </w:rPr>
      </w:pPr>
      <w:r w:rsidRPr="00221C13">
        <w:rPr>
          <w:rFonts w:ascii="Arial" w:hAnsi="Arial" w:cs="Arial"/>
          <w:sz w:val="24"/>
          <w:szCs w:val="24"/>
        </w:rPr>
        <w:t>New CIPD research shows 4% of UK working adults aged between 18 and 70 are working in the ‘gig economy’ (Willmott, 2017), however there have been a larger number of workers wanting to work more hours in recent years (Taylor, 2017, p. 20)</w:t>
      </w:r>
    </w:p>
    <w:p w:rsidR="00097655" w:rsidRPr="00221C13" w:rsidRDefault="00097655" w:rsidP="00097655">
      <w:pPr>
        <w:pStyle w:val="ListParagraph"/>
        <w:numPr>
          <w:ilvl w:val="0"/>
          <w:numId w:val="2"/>
        </w:numPr>
        <w:jc w:val="both"/>
        <w:rPr>
          <w:rFonts w:ascii="Arial" w:hAnsi="Arial" w:cs="Arial"/>
          <w:sz w:val="24"/>
          <w:szCs w:val="24"/>
        </w:rPr>
      </w:pPr>
      <w:r w:rsidRPr="00221C13">
        <w:rPr>
          <w:rFonts w:ascii="Arial" w:hAnsi="Arial" w:cs="Arial"/>
          <w:sz w:val="24"/>
          <w:szCs w:val="24"/>
        </w:rPr>
        <w:t>Flexibility does work for many people; an agile labour market is good for protecting employment (Taylor, M., 2017, p. 26)</w:t>
      </w:r>
    </w:p>
    <w:p w:rsidR="00097655" w:rsidRPr="00221C13" w:rsidRDefault="00097655" w:rsidP="00097655">
      <w:pPr>
        <w:pStyle w:val="ListParagraph"/>
        <w:numPr>
          <w:ilvl w:val="0"/>
          <w:numId w:val="2"/>
        </w:numPr>
        <w:jc w:val="both"/>
        <w:rPr>
          <w:rFonts w:ascii="Arial" w:hAnsi="Arial" w:cs="Arial"/>
          <w:sz w:val="24"/>
          <w:szCs w:val="24"/>
        </w:rPr>
      </w:pPr>
      <w:r w:rsidRPr="00221C13">
        <w:rPr>
          <w:rFonts w:ascii="Arial" w:hAnsi="Arial" w:cs="Arial"/>
          <w:sz w:val="24"/>
          <w:szCs w:val="24"/>
        </w:rPr>
        <w:t>By the end of this financial year, £6 billion will have been cut from councils’ adult social care budgets since 2010 – with need for services growing all that time (Dennis and Stevenson, 2017)</w:t>
      </w:r>
    </w:p>
    <w:p w:rsidR="00097655" w:rsidRPr="00221C13" w:rsidRDefault="00097655" w:rsidP="00097655">
      <w:pPr>
        <w:pStyle w:val="ListParagraph"/>
        <w:numPr>
          <w:ilvl w:val="0"/>
          <w:numId w:val="2"/>
        </w:numPr>
        <w:jc w:val="both"/>
        <w:rPr>
          <w:rFonts w:ascii="Arial" w:hAnsi="Arial" w:cs="Arial"/>
          <w:sz w:val="24"/>
          <w:szCs w:val="24"/>
        </w:rPr>
      </w:pPr>
      <w:r w:rsidRPr="00221C13">
        <w:rPr>
          <w:rFonts w:ascii="Arial" w:hAnsi="Arial" w:cs="Arial"/>
          <w:sz w:val="24"/>
          <w:szCs w:val="24"/>
        </w:rPr>
        <w:t xml:space="preserve">Less than half of us feel our job is just a way of making money (Taylor, 2017, p11) </w:t>
      </w:r>
    </w:p>
    <w:p w:rsidR="00097655" w:rsidRPr="00221C13" w:rsidRDefault="00097655" w:rsidP="00097655">
      <w:pPr>
        <w:jc w:val="both"/>
        <w:rPr>
          <w:rFonts w:ascii="Arial" w:hAnsi="Arial" w:cs="Arial"/>
          <w:sz w:val="24"/>
          <w:szCs w:val="24"/>
        </w:rPr>
      </w:pPr>
      <w:r w:rsidRPr="00221C13">
        <w:rPr>
          <w:rFonts w:ascii="Arial" w:hAnsi="Arial" w:cs="Arial"/>
          <w:sz w:val="24"/>
          <w:szCs w:val="24"/>
        </w:rPr>
        <w:t>Care providers will shortly consist of a five-generation workforce, in a growing industry which is expected to do more with less, whilst managing the impact of legalisation such as NMW increases and the Apprentiship Levy. Employees are now demanding more flexibility as evidenced with the gig economy, which is becoming a critical hygiene factor as employees of all ages demand flexibility for a variety of reasons, such as caring, lifestyle choices, other employment and education, and therefore employers need to be more open to flexible flexibility (Makoff, 2017b). Employees now look at everything that happens at work as an integrated experience that impacts daily life in and outside the workplace, including physical, emotional, professional and financial well-being (Deloitte, 2017b, p.54). As a result, new organisational rules need to be developed:</w:t>
      </w:r>
    </w:p>
    <w:p w:rsidR="00097655" w:rsidRPr="00221C13" w:rsidRDefault="00097655" w:rsidP="00097655">
      <w:pPr>
        <w:jc w:val="center"/>
        <w:rPr>
          <w:rFonts w:ascii="Arial" w:hAnsi="Arial" w:cs="Arial"/>
          <w:sz w:val="24"/>
          <w:szCs w:val="24"/>
        </w:rPr>
      </w:pPr>
      <w:r w:rsidRPr="00221C13">
        <w:rPr>
          <w:rFonts w:ascii="Arial" w:hAnsi="Arial" w:cs="Arial"/>
          <w:noProof/>
          <w:sz w:val="24"/>
          <w:szCs w:val="24"/>
        </w:rPr>
        <w:lastRenderedPageBreak/>
        <w:drawing>
          <wp:inline distT="0" distB="0" distL="0" distR="0" wp14:anchorId="275A24AB" wp14:editId="483D748F">
            <wp:extent cx="5792589" cy="4810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6424" t="13891" r="22059" b="10024"/>
                    <a:stretch/>
                  </pic:blipFill>
                  <pic:spPr bwMode="auto">
                    <a:xfrm>
                      <a:off x="0" y="0"/>
                      <a:ext cx="5838815" cy="4848511"/>
                    </a:xfrm>
                    <a:prstGeom prst="rect">
                      <a:avLst/>
                    </a:prstGeom>
                    <a:ln>
                      <a:noFill/>
                    </a:ln>
                    <a:extLst>
                      <a:ext uri="{53640926-AAD7-44D8-BBD7-CCE9431645EC}">
                        <a14:shadowObscured xmlns:a14="http://schemas.microsoft.com/office/drawing/2010/main"/>
                      </a:ext>
                    </a:extLst>
                  </pic:spPr>
                </pic:pic>
              </a:graphicData>
            </a:graphic>
          </wp:inline>
        </w:drawing>
      </w:r>
    </w:p>
    <w:p w:rsidR="00097655" w:rsidRPr="00221C13" w:rsidRDefault="00097655" w:rsidP="00097655">
      <w:pPr>
        <w:jc w:val="right"/>
        <w:rPr>
          <w:rFonts w:ascii="Arial" w:hAnsi="Arial" w:cs="Arial"/>
          <w:sz w:val="24"/>
          <w:szCs w:val="24"/>
        </w:rPr>
      </w:pPr>
      <w:r w:rsidRPr="00221C13">
        <w:rPr>
          <w:rFonts w:ascii="Arial" w:hAnsi="Arial" w:cs="Arial"/>
          <w:sz w:val="24"/>
          <w:szCs w:val="24"/>
        </w:rPr>
        <w:t>(Deloitte, 2017b, p.60)</w:t>
      </w:r>
    </w:p>
    <w:p w:rsidR="00097655" w:rsidRPr="00221C13" w:rsidRDefault="00097655" w:rsidP="00097655">
      <w:pPr>
        <w:spacing w:line="360" w:lineRule="auto"/>
        <w:jc w:val="right"/>
        <w:rPr>
          <w:rFonts w:ascii="Arial" w:hAnsi="Arial" w:cs="Arial"/>
          <w:sz w:val="24"/>
          <w:szCs w:val="24"/>
        </w:rPr>
      </w:pPr>
    </w:p>
    <w:p w:rsidR="00097655" w:rsidRPr="00221C13" w:rsidRDefault="00097655" w:rsidP="00097655">
      <w:pPr>
        <w:spacing w:line="360" w:lineRule="auto"/>
        <w:jc w:val="right"/>
        <w:rPr>
          <w:rFonts w:ascii="Arial" w:hAnsi="Arial" w:cs="Arial"/>
          <w:sz w:val="24"/>
          <w:szCs w:val="24"/>
        </w:rPr>
      </w:pPr>
    </w:p>
    <w:p w:rsidR="00097655" w:rsidRPr="00221C13" w:rsidRDefault="00097655" w:rsidP="00097655">
      <w:pPr>
        <w:jc w:val="right"/>
        <w:rPr>
          <w:rFonts w:ascii="Arial" w:hAnsi="Arial" w:cs="Arial"/>
          <w:sz w:val="24"/>
          <w:szCs w:val="24"/>
        </w:rPr>
      </w:pPr>
      <w:r w:rsidRPr="00221C13">
        <w:rPr>
          <w:rFonts w:ascii="Arial" w:hAnsi="Arial" w:cs="Arial"/>
          <w:noProof/>
          <w:sz w:val="24"/>
          <w:szCs w:val="24"/>
        </w:rPr>
        <w:drawing>
          <wp:anchor distT="0" distB="0" distL="114300" distR="114300" simplePos="0" relativeHeight="251659264" behindDoc="1" locked="0" layoutInCell="1" allowOverlap="1" wp14:anchorId="78AD73E1" wp14:editId="31436817">
            <wp:simplePos x="0" y="0"/>
            <wp:positionH relativeFrom="margin">
              <wp:posOffset>1000125</wp:posOffset>
            </wp:positionH>
            <wp:positionV relativeFrom="paragraph">
              <wp:posOffset>-694055</wp:posOffset>
            </wp:positionV>
            <wp:extent cx="3429000" cy="2774315"/>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6590" t="15960" r="23720" b="12512"/>
                    <a:stretch/>
                  </pic:blipFill>
                  <pic:spPr bwMode="auto">
                    <a:xfrm>
                      <a:off x="0" y="0"/>
                      <a:ext cx="3429000" cy="2774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97655" w:rsidRPr="00221C13" w:rsidRDefault="00097655" w:rsidP="00097655">
      <w:pPr>
        <w:jc w:val="right"/>
        <w:rPr>
          <w:rFonts w:ascii="Arial" w:hAnsi="Arial" w:cs="Arial"/>
          <w:sz w:val="24"/>
          <w:szCs w:val="24"/>
        </w:rPr>
      </w:pPr>
    </w:p>
    <w:p w:rsidR="00097655" w:rsidRPr="00221C13" w:rsidRDefault="00097655" w:rsidP="00097655">
      <w:pPr>
        <w:jc w:val="right"/>
        <w:rPr>
          <w:rFonts w:ascii="Arial" w:hAnsi="Arial" w:cs="Arial"/>
          <w:sz w:val="24"/>
          <w:szCs w:val="24"/>
        </w:rPr>
      </w:pPr>
    </w:p>
    <w:p w:rsidR="00097655" w:rsidRPr="00221C13" w:rsidRDefault="00097655" w:rsidP="00097655">
      <w:pPr>
        <w:jc w:val="right"/>
        <w:rPr>
          <w:rFonts w:ascii="Arial" w:hAnsi="Arial" w:cs="Arial"/>
          <w:sz w:val="24"/>
          <w:szCs w:val="24"/>
        </w:rPr>
      </w:pPr>
    </w:p>
    <w:p w:rsidR="00097655" w:rsidRPr="00221C13" w:rsidRDefault="00097655" w:rsidP="00097655">
      <w:pPr>
        <w:jc w:val="right"/>
        <w:rPr>
          <w:rFonts w:ascii="Arial" w:hAnsi="Arial" w:cs="Arial"/>
          <w:sz w:val="24"/>
          <w:szCs w:val="24"/>
        </w:rPr>
      </w:pPr>
    </w:p>
    <w:p w:rsidR="00097655" w:rsidRPr="00221C13" w:rsidRDefault="00097655" w:rsidP="00097655">
      <w:pPr>
        <w:jc w:val="right"/>
        <w:rPr>
          <w:rFonts w:ascii="Arial" w:hAnsi="Arial" w:cs="Arial"/>
          <w:sz w:val="24"/>
          <w:szCs w:val="24"/>
        </w:rPr>
      </w:pPr>
    </w:p>
    <w:p w:rsidR="00097655" w:rsidRPr="00221C13" w:rsidRDefault="00097655" w:rsidP="00097655">
      <w:pPr>
        <w:jc w:val="right"/>
        <w:rPr>
          <w:rFonts w:ascii="Arial" w:hAnsi="Arial" w:cs="Arial"/>
          <w:sz w:val="24"/>
          <w:szCs w:val="24"/>
        </w:rPr>
      </w:pPr>
    </w:p>
    <w:p w:rsidR="00097655" w:rsidRPr="00221C13" w:rsidRDefault="00097655" w:rsidP="00097655">
      <w:pPr>
        <w:jc w:val="right"/>
        <w:rPr>
          <w:rFonts w:ascii="Arial" w:hAnsi="Arial" w:cs="Arial"/>
          <w:sz w:val="24"/>
          <w:szCs w:val="24"/>
        </w:rPr>
      </w:pPr>
      <w:r w:rsidRPr="00221C13">
        <w:rPr>
          <w:rFonts w:ascii="Arial" w:hAnsi="Arial" w:cs="Arial"/>
          <w:sz w:val="24"/>
          <w:szCs w:val="24"/>
        </w:rPr>
        <w:t xml:space="preserve">  Deloitte (2017b, p.55)</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lastRenderedPageBreak/>
        <w:t xml:space="preserve">By strengthening the employee experience, this can increase innovation, productivity, and bottom-line performance while reducing costs related to hiring and retention in highly competitive talent markets (Harvard Business Review, 2013, p.1) ensuring that the organisation can positively respond to the volatile external environment.  Two models exist which indicate how Perthyn could approach this strategy. </w:t>
      </w:r>
    </w:p>
    <w:p w:rsidR="00097655" w:rsidRPr="00221C13" w:rsidRDefault="00097655" w:rsidP="00097655">
      <w:pPr>
        <w:spacing w:line="360" w:lineRule="auto"/>
        <w:jc w:val="both"/>
        <w:rPr>
          <w:rFonts w:ascii="Arial" w:hAnsi="Arial" w:cs="Arial"/>
          <w:b/>
          <w:sz w:val="24"/>
          <w:szCs w:val="24"/>
        </w:rPr>
      </w:pPr>
      <w:r w:rsidRPr="00221C13">
        <w:rPr>
          <w:rFonts w:ascii="Arial" w:hAnsi="Arial" w:cs="Arial"/>
          <w:b/>
          <w:sz w:val="24"/>
          <w:szCs w:val="24"/>
        </w:rPr>
        <w:t>Higgs’ model (Taylor, 2010, p.439)</w:t>
      </w:r>
    </w:p>
    <w:tbl>
      <w:tblPr>
        <w:tblStyle w:val="GridTable1Light-Accent5"/>
        <w:tblW w:w="0" w:type="auto"/>
        <w:tblBorders>
          <w:top w:val="thinThickSmallGap" w:sz="48" w:space="0" w:color="4F81BD"/>
          <w:left w:val="thinThickSmallGap" w:sz="48" w:space="0" w:color="4F81BD"/>
          <w:bottom w:val="thinThickSmallGap" w:sz="48" w:space="0" w:color="4F81BD"/>
          <w:right w:val="thinThickSmallGap" w:sz="48" w:space="0" w:color="4F81BD"/>
          <w:insideH w:val="thinThickSmallGap" w:sz="48" w:space="0" w:color="4F81BD"/>
          <w:insideV w:val="thinThickSmallGap" w:sz="48" w:space="0" w:color="4F81BD"/>
        </w:tblBorders>
        <w:tblLook w:val="04A0" w:firstRow="1" w:lastRow="0" w:firstColumn="1" w:lastColumn="0" w:noHBand="0" w:noVBand="1"/>
      </w:tblPr>
      <w:tblGrid>
        <w:gridCol w:w="4508"/>
        <w:gridCol w:w="4508"/>
      </w:tblGrid>
      <w:tr w:rsidR="00097655" w:rsidRPr="00221C13" w:rsidTr="00626A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thinThickSmallGap" w:sz="18" w:space="0" w:color="4F81BD"/>
              <w:left w:val="thinThickSmallGap" w:sz="18" w:space="0" w:color="4F81BD"/>
              <w:bottom w:val="thinThickSmallGap" w:sz="18" w:space="0" w:color="4F81BD"/>
              <w:right w:val="thinThickSmallGap" w:sz="18" w:space="0" w:color="4F81BD"/>
            </w:tcBorders>
          </w:tcPr>
          <w:p w:rsidR="00097655" w:rsidRPr="00221C13" w:rsidRDefault="00097655" w:rsidP="00626A99">
            <w:pPr>
              <w:spacing w:line="360" w:lineRule="auto"/>
              <w:jc w:val="both"/>
              <w:rPr>
                <w:rFonts w:ascii="Arial" w:hAnsi="Arial" w:cs="Arial"/>
                <w:b w:val="0"/>
                <w:bCs w:val="0"/>
                <w:sz w:val="24"/>
                <w:szCs w:val="24"/>
              </w:rPr>
            </w:pPr>
            <w:r w:rsidRPr="00221C13">
              <w:rPr>
                <w:rFonts w:ascii="Arial" w:hAnsi="Arial" w:cs="Arial"/>
                <w:b w:val="0"/>
                <w:sz w:val="24"/>
                <w:szCs w:val="24"/>
              </w:rPr>
              <w:t>High Rewards</w:t>
            </w:r>
          </w:p>
          <w:p w:rsidR="00097655" w:rsidRPr="00221C13" w:rsidRDefault="00097655" w:rsidP="00626A99">
            <w:pPr>
              <w:spacing w:line="360" w:lineRule="auto"/>
              <w:jc w:val="both"/>
              <w:rPr>
                <w:rFonts w:ascii="Arial" w:hAnsi="Arial" w:cs="Arial"/>
                <w:b w:val="0"/>
                <w:bCs w:val="0"/>
                <w:sz w:val="24"/>
                <w:szCs w:val="24"/>
              </w:rPr>
            </w:pPr>
            <w:r w:rsidRPr="00221C13">
              <w:rPr>
                <w:rFonts w:ascii="Arial" w:hAnsi="Arial" w:cs="Arial"/>
                <w:b w:val="0"/>
                <w:sz w:val="24"/>
                <w:szCs w:val="24"/>
              </w:rPr>
              <w:t>Low Culture</w:t>
            </w:r>
          </w:p>
          <w:p w:rsidR="00097655" w:rsidRPr="00221C13" w:rsidRDefault="00097655" w:rsidP="00626A99">
            <w:pPr>
              <w:spacing w:line="360" w:lineRule="auto"/>
              <w:jc w:val="right"/>
              <w:rPr>
                <w:rFonts w:ascii="Arial" w:hAnsi="Arial" w:cs="Arial"/>
                <w:sz w:val="24"/>
                <w:szCs w:val="24"/>
              </w:rPr>
            </w:pPr>
            <w:r w:rsidRPr="00221C13">
              <w:rPr>
                <w:rFonts w:ascii="Arial" w:hAnsi="Arial" w:cs="Arial"/>
                <w:sz w:val="24"/>
                <w:szCs w:val="24"/>
              </w:rPr>
              <w:t>Employer of Cash</w:t>
            </w:r>
          </w:p>
        </w:tc>
        <w:tc>
          <w:tcPr>
            <w:tcW w:w="4508" w:type="dxa"/>
            <w:tcBorders>
              <w:top w:val="thinThickSmallGap" w:sz="18" w:space="0" w:color="4F81BD"/>
              <w:left w:val="thinThickSmallGap" w:sz="18" w:space="0" w:color="4F81BD"/>
              <w:bottom w:val="thinThickSmallGap" w:sz="18" w:space="0" w:color="4F81BD"/>
              <w:right w:val="thinThickSmallGap" w:sz="18" w:space="0" w:color="4F81BD"/>
            </w:tcBorders>
          </w:tcPr>
          <w:p w:rsidR="00097655" w:rsidRPr="00221C13" w:rsidRDefault="00097655" w:rsidP="00626A99">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221C13">
              <w:rPr>
                <w:rFonts w:ascii="Arial" w:hAnsi="Arial" w:cs="Arial"/>
                <w:b w:val="0"/>
                <w:sz w:val="24"/>
                <w:szCs w:val="24"/>
              </w:rPr>
              <w:t xml:space="preserve">High Rewards </w:t>
            </w:r>
          </w:p>
          <w:p w:rsidR="00097655" w:rsidRPr="00221C13" w:rsidRDefault="00097655" w:rsidP="00626A99">
            <w:pPr>
              <w:spacing w:line="360" w:lineRule="auto"/>
              <w:jc w:val="right"/>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221C13">
              <w:rPr>
                <w:rFonts w:ascii="Arial" w:hAnsi="Arial" w:cs="Arial"/>
                <w:b w:val="0"/>
                <w:sz w:val="24"/>
                <w:szCs w:val="24"/>
              </w:rPr>
              <w:t>High Culture</w:t>
            </w:r>
          </w:p>
          <w:p w:rsidR="00097655" w:rsidRPr="00221C13" w:rsidRDefault="00097655" w:rsidP="00626A9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221C13">
              <w:rPr>
                <w:rFonts w:ascii="Arial" w:hAnsi="Arial" w:cs="Arial"/>
                <w:sz w:val="24"/>
                <w:szCs w:val="24"/>
              </w:rPr>
              <w:t>Employer of Choice</w:t>
            </w:r>
          </w:p>
        </w:tc>
      </w:tr>
      <w:tr w:rsidR="00097655" w:rsidRPr="00221C13" w:rsidTr="00626A99">
        <w:tc>
          <w:tcPr>
            <w:cnfStyle w:val="001000000000" w:firstRow="0" w:lastRow="0" w:firstColumn="1" w:lastColumn="0" w:oddVBand="0" w:evenVBand="0" w:oddHBand="0" w:evenHBand="0" w:firstRowFirstColumn="0" w:firstRowLastColumn="0" w:lastRowFirstColumn="0" w:lastRowLastColumn="0"/>
            <w:tcW w:w="4508" w:type="dxa"/>
            <w:tcBorders>
              <w:top w:val="thinThickSmallGap" w:sz="18" w:space="0" w:color="4F81BD"/>
              <w:left w:val="thinThickSmallGap" w:sz="18" w:space="0" w:color="4F81BD"/>
              <w:bottom w:val="thinThickSmallGap" w:sz="18" w:space="0" w:color="4F81BD"/>
              <w:right w:val="thinThickSmallGap" w:sz="18" w:space="0" w:color="4F81BD"/>
            </w:tcBorders>
          </w:tcPr>
          <w:p w:rsidR="00097655" w:rsidRPr="00221C13" w:rsidRDefault="00097655" w:rsidP="00626A99">
            <w:pPr>
              <w:spacing w:line="360" w:lineRule="auto"/>
              <w:jc w:val="right"/>
              <w:rPr>
                <w:rFonts w:ascii="Arial" w:hAnsi="Arial" w:cs="Arial"/>
                <w:b w:val="0"/>
                <w:bCs w:val="0"/>
                <w:sz w:val="24"/>
                <w:szCs w:val="24"/>
              </w:rPr>
            </w:pPr>
            <w:r w:rsidRPr="00221C13">
              <w:rPr>
                <w:rFonts w:ascii="Arial" w:hAnsi="Arial" w:cs="Arial"/>
                <w:sz w:val="24"/>
                <w:szCs w:val="24"/>
              </w:rPr>
              <w:t>Employer of Churn</w:t>
            </w:r>
          </w:p>
          <w:p w:rsidR="00097655" w:rsidRPr="00221C13" w:rsidRDefault="00097655" w:rsidP="00626A99">
            <w:pPr>
              <w:spacing w:line="360" w:lineRule="auto"/>
              <w:rPr>
                <w:rFonts w:ascii="Arial" w:hAnsi="Arial" w:cs="Arial"/>
                <w:b w:val="0"/>
                <w:bCs w:val="0"/>
                <w:sz w:val="24"/>
                <w:szCs w:val="24"/>
              </w:rPr>
            </w:pPr>
            <w:r w:rsidRPr="00221C13">
              <w:rPr>
                <w:rFonts w:ascii="Arial" w:hAnsi="Arial" w:cs="Arial"/>
                <w:b w:val="0"/>
                <w:sz w:val="24"/>
                <w:szCs w:val="24"/>
              </w:rPr>
              <w:t>Low Rewards</w:t>
            </w:r>
          </w:p>
          <w:p w:rsidR="00097655" w:rsidRPr="00221C13" w:rsidRDefault="00097655" w:rsidP="00626A99">
            <w:pPr>
              <w:spacing w:line="360" w:lineRule="auto"/>
              <w:rPr>
                <w:rFonts w:ascii="Arial" w:hAnsi="Arial" w:cs="Arial"/>
                <w:sz w:val="24"/>
                <w:szCs w:val="24"/>
              </w:rPr>
            </w:pPr>
            <w:r w:rsidRPr="00221C13">
              <w:rPr>
                <w:rFonts w:ascii="Arial" w:hAnsi="Arial" w:cs="Arial"/>
                <w:b w:val="0"/>
                <w:sz w:val="24"/>
                <w:szCs w:val="24"/>
              </w:rPr>
              <w:t>Low Culture</w:t>
            </w:r>
          </w:p>
        </w:tc>
        <w:tc>
          <w:tcPr>
            <w:tcW w:w="4508" w:type="dxa"/>
            <w:tcBorders>
              <w:top w:val="thinThickSmallGap" w:sz="18" w:space="0" w:color="4F81BD"/>
              <w:left w:val="thinThickSmallGap" w:sz="18" w:space="0" w:color="4F81BD"/>
              <w:bottom w:val="thinThickSmallGap" w:sz="18" w:space="0" w:color="4F81BD"/>
              <w:right w:val="thinThickSmallGap" w:sz="18" w:space="0" w:color="4F81BD"/>
            </w:tcBorders>
          </w:tcPr>
          <w:p w:rsidR="00097655" w:rsidRPr="00221C13" w:rsidRDefault="00097655" w:rsidP="00626A9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221C13">
              <w:rPr>
                <w:rFonts w:ascii="Arial" w:hAnsi="Arial" w:cs="Arial"/>
                <w:b/>
                <w:sz w:val="24"/>
                <w:szCs w:val="24"/>
              </w:rPr>
              <w:t>Employer of Values</w:t>
            </w:r>
          </w:p>
          <w:p w:rsidR="00097655" w:rsidRPr="00221C13" w:rsidRDefault="00097655" w:rsidP="00626A99">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21C13">
              <w:rPr>
                <w:rFonts w:ascii="Arial" w:hAnsi="Arial" w:cs="Arial"/>
                <w:sz w:val="24"/>
                <w:szCs w:val="24"/>
              </w:rPr>
              <w:t>Low Rewards</w:t>
            </w:r>
          </w:p>
          <w:p w:rsidR="00097655" w:rsidRPr="00221C13" w:rsidRDefault="00097655" w:rsidP="00626A99">
            <w:pPr>
              <w:spacing w:line="360" w:lineRule="auto"/>
              <w:jc w:val="right"/>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221C13">
              <w:rPr>
                <w:rFonts w:ascii="Arial" w:hAnsi="Arial" w:cs="Arial"/>
                <w:sz w:val="24"/>
                <w:szCs w:val="24"/>
              </w:rPr>
              <w:t>High Culture</w:t>
            </w:r>
          </w:p>
        </w:tc>
      </w:tr>
    </w:tbl>
    <w:p w:rsidR="00097655" w:rsidRPr="00221C13" w:rsidRDefault="00097655" w:rsidP="00097655">
      <w:pPr>
        <w:spacing w:line="360" w:lineRule="auto"/>
        <w:jc w:val="both"/>
        <w:rPr>
          <w:rFonts w:ascii="Arial" w:hAnsi="Arial" w:cs="Arial"/>
          <w:sz w:val="24"/>
          <w:szCs w:val="24"/>
        </w:rPr>
      </w:pPr>
    </w:p>
    <w:p w:rsidR="00097655" w:rsidRPr="00221C13" w:rsidRDefault="00097655" w:rsidP="00097655">
      <w:pPr>
        <w:spacing w:line="360" w:lineRule="auto"/>
        <w:jc w:val="both"/>
        <w:rPr>
          <w:rFonts w:ascii="Arial" w:hAnsi="Arial" w:cs="Arial"/>
          <w:b/>
          <w:sz w:val="24"/>
          <w:szCs w:val="24"/>
        </w:rPr>
      </w:pPr>
      <w:r w:rsidRPr="00221C13">
        <w:rPr>
          <w:rFonts w:ascii="Arial" w:hAnsi="Arial" w:cs="Arial"/>
          <w:b/>
          <w:sz w:val="24"/>
          <w:szCs w:val="24"/>
        </w:rPr>
        <w:t>Taylor’s model (Taylor, 2010, p.440)</w:t>
      </w:r>
    </w:p>
    <w:tbl>
      <w:tblPr>
        <w:tblStyle w:val="GridTable1Light-Accent5"/>
        <w:tblW w:w="0" w:type="auto"/>
        <w:tblLook w:val="04A0" w:firstRow="1" w:lastRow="0" w:firstColumn="1" w:lastColumn="0" w:noHBand="0" w:noVBand="1"/>
      </w:tblPr>
      <w:tblGrid>
        <w:gridCol w:w="4508"/>
        <w:gridCol w:w="4508"/>
      </w:tblGrid>
      <w:tr w:rsidR="00097655" w:rsidRPr="00221C13" w:rsidTr="00626A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Borders>
              <w:top w:val="thinThickSmallGap" w:sz="18" w:space="0" w:color="4F81BD"/>
              <w:left w:val="thinThickSmallGap" w:sz="18" w:space="0" w:color="4F81BD"/>
              <w:bottom w:val="thinThickSmallGap" w:sz="18" w:space="0" w:color="4F81BD"/>
              <w:right w:val="thinThickSmallGap" w:sz="18" w:space="0" w:color="4F81BD"/>
            </w:tcBorders>
          </w:tcPr>
          <w:p w:rsidR="00097655" w:rsidRPr="00221C13" w:rsidRDefault="00097655" w:rsidP="00626A99">
            <w:pPr>
              <w:spacing w:line="360" w:lineRule="auto"/>
              <w:jc w:val="both"/>
              <w:rPr>
                <w:rFonts w:ascii="Arial" w:hAnsi="Arial" w:cs="Arial"/>
                <w:b w:val="0"/>
                <w:bCs w:val="0"/>
                <w:sz w:val="24"/>
                <w:szCs w:val="24"/>
              </w:rPr>
            </w:pPr>
            <w:r w:rsidRPr="00221C13">
              <w:rPr>
                <w:rFonts w:ascii="Arial" w:hAnsi="Arial" w:cs="Arial"/>
                <w:b w:val="0"/>
                <w:sz w:val="24"/>
                <w:szCs w:val="24"/>
              </w:rPr>
              <w:t>Tight market/career opportunities</w:t>
            </w:r>
          </w:p>
          <w:p w:rsidR="00097655" w:rsidRPr="00221C13" w:rsidRDefault="00097655" w:rsidP="00626A99">
            <w:pPr>
              <w:spacing w:line="360" w:lineRule="auto"/>
              <w:jc w:val="right"/>
              <w:rPr>
                <w:rFonts w:ascii="Arial" w:hAnsi="Arial" w:cs="Arial"/>
                <w:sz w:val="24"/>
                <w:szCs w:val="24"/>
              </w:rPr>
            </w:pPr>
            <w:r w:rsidRPr="00221C13">
              <w:rPr>
                <w:rFonts w:ascii="Arial" w:hAnsi="Arial" w:cs="Arial"/>
                <w:sz w:val="24"/>
                <w:szCs w:val="24"/>
              </w:rPr>
              <w:t>Developers</w:t>
            </w:r>
          </w:p>
        </w:tc>
        <w:tc>
          <w:tcPr>
            <w:tcW w:w="4508" w:type="dxa"/>
            <w:tcBorders>
              <w:top w:val="thinThickSmallGap" w:sz="18" w:space="0" w:color="4F81BD"/>
              <w:left w:val="thinThickSmallGap" w:sz="18" w:space="0" w:color="4F81BD"/>
              <w:bottom w:val="thinThickSmallGap" w:sz="18" w:space="0" w:color="4F81BD"/>
              <w:right w:val="thinThickSmallGap" w:sz="18" w:space="0" w:color="4F81BD"/>
            </w:tcBorders>
          </w:tcPr>
          <w:p w:rsidR="00097655" w:rsidRPr="00221C13" w:rsidRDefault="00097655" w:rsidP="00626A9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Cs w:val="0"/>
                <w:sz w:val="24"/>
                <w:szCs w:val="24"/>
              </w:rPr>
            </w:pPr>
            <w:r w:rsidRPr="00221C13">
              <w:rPr>
                <w:rFonts w:ascii="Arial" w:hAnsi="Arial" w:cs="Arial"/>
                <w:b w:val="0"/>
                <w:sz w:val="24"/>
                <w:szCs w:val="24"/>
              </w:rPr>
              <w:t>Tight market/few career opportunities</w:t>
            </w:r>
          </w:p>
          <w:p w:rsidR="00097655" w:rsidRPr="00221C13" w:rsidRDefault="00097655" w:rsidP="00626A9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221C13">
              <w:rPr>
                <w:rFonts w:ascii="Arial" w:hAnsi="Arial" w:cs="Arial"/>
                <w:sz w:val="24"/>
                <w:szCs w:val="24"/>
              </w:rPr>
              <w:t>High Payers</w:t>
            </w:r>
          </w:p>
        </w:tc>
      </w:tr>
      <w:tr w:rsidR="00097655" w:rsidRPr="00221C13" w:rsidTr="00626A99">
        <w:trPr>
          <w:trHeight w:val="645"/>
        </w:trPr>
        <w:tc>
          <w:tcPr>
            <w:cnfStyle w:val="001000000000" w:firstRow="0" w:lastRow="0" w:firstColumn="1" w:lastColumn="0" w:oddVBand="0" w:evenVBand="0" w:oddHBand="0" w:evenHBand="0" w:firstRowFirstColumn="0" w:firstRowLastColumn="0" w:lastRowFirstColumn="0" w:lastRowLastColumn="0"/>
            <w:tcW w:w="4508" w:type="dxa"/>
            <w:tcBorders>
              <w:top w:val="thinThickSmallGap" w:sz="18" w:space="0" w:color="4F81BD"/>
              <w:left w:val="thinThickSmallGap" w:sz="18" w:space="0" w:color="4F81BD"/>
              <w:bottom w:val="thinThickSmallGap" w:sz="18" w:space="0" w:color="4F81BD"/>
              <w:right w:val="thinThickSmallGap" w:sz="18" w:space="0" w:color="4F81BD"/>
            </w:tcBorders>
          </w:tcPr>
          <w:p w:rsidR="00097655" w:rsidRPr="00221C13" w:rsidRDefault="00097655" w:rsidP="00626A99">
            <w:pPr>
              <w:spacing w:line="360" w:lineRule="auto"/>
              <w:jc w:val="right"/>
              <w:rPr>
                <w:rFonts w:ascii="Arial" w:hAnsi="Arial" w:cs="Arial"/>
                <w:b w:val="0"/>
                <w:bCs w:val="0"/>
                <w:sz w:val="24"/>
                <w:szCs w:val="24"/>
              </w:rPr>
            </w:pPr>
            <w:r w:rsidRPr="00221C13">
              <w:rPr>
                <w:rFonts w:ascii="Arial" w:hAnsi="Arial" w:cs="Arial"/>
                <w:sz w:val="24"/>
                <w:szCs w:val="24"/>
              </w:rPr>
              <w:t>Selectors</w:t>
            </w:r>
          </w:p>
          <w:p w:rsidR="00097655" w:rsidRPr="00221C13" w:rsidRDefault="00097655" w:rsidP="00626A99">
            <w:pPr>
              <w:spacing w:line="360" w:lineRule="auto"/>
              <w:rPr>
                <w:rFonts w:ascii="Arial" w:hAnsi="Arial" w:cs="Arial"/>
                <w:b w:val="0"/>
                <w:sz w:val="24"/>
                <w:szCs w:val="24"/>
              </w:rPr>
            </w:pPr>
            <w:r w:rsidRPr="00221C13">
              <w:rPr>
                <w:rFonts w:ascii="Arial" w:hAnsi="Arial" w:cs="Arial"/>
                <w:b w:val="0"/>
                <w:sz w:val="24"/>
                <w:szCs w:val="24"/>
              </w:rPr>
              <w:t>Loose market/career opportunities</w:t>
            </w:r>
          </w:p>
        </w:tc>
        <w:tc>
          <w:tcPr>
            <w:tcW w:w="4508" w:type="dxa"/>
            <w:tcBorders>
              <w:top w:val="thinThickSmallGap" w:sz="18" w:space="0" w:color="4F81BD"/>
              <w:left w:val="thinThickSmallGap" w:sz="18" w:space="0" w:color="4F81BD"/>
              <w:bottom w:val="thinThickSmallGap" w:sz="18" w:space="0" w:color="4F81BD"/>
              <w:right w:val="thinThickSmallGap" w:sz="18" w:space="0" w:color="4F81BD"/>
            </w:tcBorders>
          </w:tcPr>
          <w:p w:rsidR="00097655" w:rsidRPr="00221C13" w:rsidRDefault="00097655" w:rsidP="00626A9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221C13">
              <w:rPr>
                <w:rFonts w:ascii="Arial" w:hAnsi="Arial" w:cs="Arial"/>
                <w:b/>
                <w:sz w:val="24"/>
                <w:szCs w:val="24"/>
              </w:rPr>
              <w:t>Involvers</w:t>
            </w:r>
          </w:p>
          <w:p w:rsidR="00097655" w:rsidRPr="00221C13" w:rsidRDefault="00097655" w:rsidP="00626A9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21C13">
              <w:rPr>
                <w:rFonts w:ascii="Arial" w:hAnsi="Arial" w:cs="Arial"/>
                <w:sz w:val="24"/>
                <w:szCs w:val="24"/>
              </w:rPr>
              <w:t xml:space="preserve">Loose market/few career opportunities </w:t>
            </w:r>
          </w:p>
        </w:tc>
      </w:tr>
    </w:tbl>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br/>
        <w:t xml:space="preserve">As HR strategies should vary based on contextual factors, firms should aim to develop a relatively consistent style (Boxall and Purcell, 2011, p.70), Perthyn’s short and long strategy therefore should be aligned to their values and mission. Unless funding dramatically changes, there will always be low rewards in the care sector, therefore Perthyn must maximise their culture to maintain a position as an </w:t>
      </w:r>
      <w:r w:rsidRPr="00221C13">
        <w:rPr>
          <w:rFonts w:ascii="Arial" w:hAnsi="Arial" w:cs="Arial"/>
          <w:b/>
          <w:sz w:val="24"/>
          <w:szCs w:val="24"/>
        </w:rPr>
        <w:t>employer of value</w:t>
      </w:r>
      <w:r w:rsidRPr="00221C13">
        <w:rPr>
          <w:rFonts w:ascii="Arial" w:hAnsi="Arial" w:cs="Arial"/>
          <w:sz w:val="24"/>
          <w:szCs w:val="24"/>
        </w:rPr>
        <w:t xml:space="preserve"> and </w:t>
      </w:r>
      <w:r w:rsidRPr="00221C13">
        <w:rPr>
          <w:rFonts w:ascii="Arial" w:hAnsi="Arial" w:cs="Arial"/>
          <w:b/>
          <w:sz w:val="24"/>
          <w:szCs w:val="24"/>
        </w:rPr>
        <w:t>developers</w:t>
      </w:r>
      <w:r w:rsidRPr="00221C13">
        <w:rPr>
          <w:rFonts w:ascii="Arial" w:hAnsi="Arial" w:cs="Arial"/>
          <w:sz w:val="24"/>
          <w:szCs w:val="24"/>
        </w:rPr>
        <w:t xml:space="preserve"> within this continually tight labour market. </w:t>
      </w:r>
    </w:p>
    <w:p w:rsidR="00097655" w:rsidRPr="00221C13" w:rsidRDefault="00097655" w:rsidP="00097655">
      <w:pPr>
        <w:spacing w:after="0" w:line="360" w:lineRule="auto"/>
        <w:jc w:val="both"/>
        <w:rPr>
          <w:rFonts w:ascii="Arial" w:hAnsi="Arial" w:cs="Arial"/>
          <w:b/>
          <w:i/>
          <w:color w:val="000000" w:themeColor="text1"/>
          <w:sz w:val="24"/>
          <w:szCs w:val="24"/>
        </w:rPr>
      </w:pPr>
      <w:r w:rsidRPr="00221C13">
        <w:rPr>
          <w:rFonts w:ascii="Arial" w:hAnsi="Arial" w:cs="Arial"/>
          <w:color w:val="000000" w:themeColor="text1"/>
          <w:sz w:val="24"/>
          <w:szCs w:val="24"/>
        </w:rPr>
        <w:t xml:space="preserve">Employer branding is a useful tool to help organisations differentiate what they have to offer in the labour market, and recruit, retain and engage the people they need to succeed (CIPD, 2010). </w:t>
      </w:r>
    </w:p>
    <w:p w:rsidR="00097655" w:rsidRPr="00221C13" w:rsidRDefault="00097655" w:rsidP="00097655">
      <w:pPr>
        <w:spacing w:after="0" w:line="240" w:lineRule="auto"/>
        <w:jc w:val="center"/>
        <w:rPr>
          <w:rFonts w:ascii="Arial" w:hAnsi="Arial" w:cs="Arial"/>
          <w:color w:val="000000" w:themeColor="text1"/>
          <w:sz w:val="24"/>
          <w:szCs w:val="24"/>
        </w:rPr>
      </w:pPr>
      <w:r w:rsidRPr="00221C13">
        <w:rPr>
          <w:rFonts w:ascii="Arial" w:hAnsi="Arial" w:cs="Arial"/>
          <w:noProof/>
          <w:sz w:val="24"/>
          <w:szCs w:val="24"/>
          <w:lang w:eastAsia="en-GB"/>
        </w:rPr>
        <w:lastRenderedPageBreak/>
        <w:drawing>
          <wp:inline distT="0" distB="0" distL="0" distR="0" wp14:anchorId="01FCFCD2" wp14:editId="617BBC2F">
            <wp:extent cx="4752975" cy="32236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7776" t="31657" r="27102" b="13906"/>
                    <a:stretch/>
                  </pic:blipFill>
                  <pic:spPr bwMode="auto">
                    <a:xfrm>
                      <a:off x="0" y="0"/>
                      <a:ext cx="4769085" cy="3234624"/>
                    </a:xfrm>
                    <a:prstGeom prst="rect">
                      <a:avLst/>
                    </a:prstGeom>
                    <a:ln>
                      <a:noFill/>
                    </a:ln>
                    <a:extLst>
                      <a:ext uri="{53640926-AAD7-44D8-BBD7-CCE9431645EC}">
                        <a14:shadowObscured xmlns:a14="http://schemas.microsoft.com/office/drawing/2010/main"/>
                      </a:ext>
                    </a:extLst>
                  </pic:spPr>
                </pic:pic>
              </a:graphicData>
            </a:graphic>
          </wp:inline>
        </w:drawing>
      </w:r>
    </w:p>
    <w:p w:rsidR="00097655" w:rsidRPr="00221C13" w:rsidRDefault="00097655" w:rsidP="00097655">
      <w:pPr>
        <w:spacing w:after="0" w:line="240" w:lineRule="auto"/>
        <w:jc w:val="right"/>
        <w:rPr>
          <w:rFonts w:ascii="Arial" w:hAnsi="Arial" w:cs="Arial"/>
          <w:color w:val="000000" w:themeColor="text1"/>
          <w:sz w:val="24"/>
          <w:szCs w:val="24"/>
        </w:rPr>
      </w:pPr>
      <w:r w:rsidRPr="00221C13">
        <w:rPr>
          <w:rFonts w:ascii="Arial" w:hAnsi="Arial" w:cs="Arial"/>
          <w:color w:val="000000" w:themeColor="text1"/>
          <w:sz w:val="24"/>
          <w:szCs w:val="24"/>
        </w:rPr>
        <w:t>(CIPD)</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br/>
        <w:t xml:space="preserve">Developing a positive organisational culture will inform the employer brand and reputation, which can be used to attract and retain staff. Perthyn’s human resource department can support this strategy development. HRM has been defined as Boxall and Purcell (2011, p.1) as “all those activities associated with the management of work and people in organisations.” </w:t>
      </w:r>
    </w:p>
    <w:p w:rsidR="00097655" w:rsidRPr="00221C13" w:rsidRDefault="00097655" w:rsidP="00097655">
      <w:pPr>
        <w:spacing w:line="360" w:lineRule="auto"/>
        <w:jc w:val="both"/>
        <w:rPr>
          <w:rFonts w:ascii="Arial" w:hAnsi="Arial" w:cs="Arial"/>
          <w:sz w:val="24"/>
          <w:szCs w:val="24"/>
        </w:rPr>
      </w:pPr>
      <w:r w:rsidRPr="00221C13">
        <w:rPr>
          <w:rFonts w:ascii="Arial" w:hAnsi="Arial" w:cs="Arial"/>
          <w:noProof/>
          <w:sz w:val="24"/>
          <w:szCs w:val="24"/>
        </w:rPr>
        <w:drawing>
          <wp:anchor distT="0" distB="0" distL="114300" distR="114300" simplePos="0" relativeHeight="251660288" behindDoc="1" locked="0" layoutInCell="1" allowOverlap="1" wp14:anchorId="62EF443F" wp14:editId="101A0852">
            <wp:simplePos x="0" y="0"/>
            <wp:positionH relativeFrom="margin">
              <wp:posOffset>571499</wp:posOffset>
            </wp:positionH>
            <wp:positionV relativeFrom="paragraph">
              <wp:posOffset>1269365</wp:posOffset>
            </wp:positionV>
            <wp:extent cx="4868109" cy="2209800"/>
            <wp:effectExtent l="0" t="0" r="8890" b="0"/>
            <wp:wrapNone/>
            <wp:docPr id="4" name="Picture 4" descr="http://www.hrmagazine.co.uk/article-images/image-library/138/Harvard%20model,%20september%20different%20sl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hrmagazine.co.uk/article-images/image-library/138/Harvard%20model,%20september%20different%20slan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0320" cy="2210804"/>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1C13">
        <w:rPr>
          <w:rFonts w:ascii="Arial" w:hAnsi="Arial" w:cs="Arial"/>
          <w:sz w:val="24"/>
          <w:szCs w:val="24"/>
        </w:rPr>
        <w:t>How an organisation should structure its HR function depends on its organisational strategy, wider organisational structure and the requirements of its customers and the organisation it is supporting (CIPD, 2015a). There are several HR models and approaches (Appendix 5), but the Harvard model (below) has been one of the most influential (Armstrong, 2016</w:t>
      </w:r>
      <w:r>
        <w:rPr>
          <w:rFonts w:ascii="Arial" w:hAnsi="Arial" w:cs="Arial"/>
          <w:sz w:val="24"/>
          <w:szCs w:val="24"/>
        </w:rPr>
        <w:t>, p.8</w:t>
      </w:r>
      <w:r w:rsidRPr="00221C13">
        <w:rPr>
          <w:rFonts w:ascii="Arial" w:hAnsi="Arial" w:cs="Arial"/>
          <w:sz w:val="24"/>
          <w:szCs w:val="24"/>
        </w:rPr>
        <w:t>)</w:t>
      </w:r>
    </w:p>
    <w:p w:rsidR="00097655" w:rsidRDefault="00097655" w:rsidP="00097655">
      <w:pPr>
        <w:spacing w:line="360" w:lineRule="auto"/>
        <w:jc w:val="center"/>
        <w:rPr>
          <w:rFonts w:ascii="Arial" w:hAnsi="Arial" w:cs="Arial"/>
          <w:sz w:val="24"/>
          <w:szCs w:val="24"/>
        </w:rPr>
      </w:pPr>
    </w:p>
    <w:p w:rsidR="00097655" w:rsidRDefault="00097655" w:rsidP="00097655">
      <w:pPr>
        <w:spacing w:line="360" w:lineRule="auto"/>
        <w:jc w:val="center"/>
        <w:rPr>
          <w:rFonts w:ascii="Arial" w:hAnsi="Arial" w:cs="Arial"/>
          <w:sz w:val="24"/>
          <w:szCs w:val="24"/>
        </w:rPr>
      </w:pPr>
    </w:p>
    <w:p w:rsidR="00097655" w:rsidRPr="00221C13" w:rsidRDefault="00097655" w:rsidP="00097655">
      <w:pPr>
        <w:spacing w:line="360" w:lineRule="auto"/>
        <w:jc w:val="center"/>
        <w:rPr>
          <w:rFonts w:ascii="Arial" w:hAnsi="Arial" w:cs="Arial"/>
          <w:sz w:val="24"/>
          <w:szCs w:val="24"/>
        </w:rPr>
      </w:pPr>
    </w:p>
    <w:p w:rsidR="00097655" w:rsidRDefault="00097655" w:rsidP="00097655">
      <w:pPr>
        <w:spacing w:line="360" w:lineRule="auto"/>
        <w:jc w:val="right"/>
        <w:rPr>
          <w:rFonts w:ascii="Arial" w:hAnsi="Arial" w:cs="Arial"/>
          <w:sz w:val="24"/>
          <w:szCs w:val="24"/>
        </w:rPr>
      </w:pPr>
      <w:r>
        <w:rPr>
          <w:rFonts w:ascii="Arial" w:hAnsi="Arial" w:cs="Arial"/>
          <w:sz w:val="24"/>
          <w:szCs w:val="24"/>
        </w:rPr>
        <w:br/>
      </w:r>
    </w:p>
    <w:p w:rsidR="00097655" w:rsidRPr="00221C13" w:rsidRDefault="00097655" w:rsidP="00097655">
      <w:pPr>
        <w:spacing w:line="360" w:lineRule="auto"/>
        <w:jc w:val="right"/>
        <w:rPr>
          <w:rFonts w:ascii="Arial" w:hAnsi="Arial" w:cs="Arial"/>
          <w:sz w:val="24"/>
          <w:szCs w:val="24"/>
        </w:rPr>
      </w:pPr>
      <w:r>
        <w:rPr>
          <w:rFonts w:ascii="Arial" w:hAnsi="Arial" w:cs="Arial"/>
          <w:sz w:val="24"/>
          <w:szCs w:val="24"/>
        </w:rPr>
        <w:br/>
        <w:t>(</w:t>
      </w:r>
      <w:r w:rsidRPr="00221C13">
        <w:rPr>
          <w:rFonts w:ascii="Arial" w:hAnsi="Arial" w:cs="Arial"/>
          <w:sz w:val="24"/>
          <w:szCs w:val="24"/>
        </w:rPr>
        <w:t>Boseilie, 2015)</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lastRenderedPageBreak/>
        <w:t>This is the approach Perthyn currently adopts, with people utilised as a potential asset rather than merely a variable cost (Armstrong, 2016</w:t>
      </w:r>
      <w:r>
        <w:rPr>
          <w:rFonts w:ascii="Arial" w:hAnsi="Arial" w:cs="Arial"/>
          <w:sz w:val="24"/>
          <w:szCs w:val="24"/>
        </w:rPr>
        <w:t xml:space="preserve">, </w:t>
      </w:r>
      <w:r w:rsidRPr="00221C13">
        <w:rPr>
          <w:rFonts w:ascii="Arial" w:hAnsi="Arial" w:cs="Arial"/>
          <w:sz w:val="24"/>
          <w:szCs w:val="24"/>
        </w:rPr>
        <w:t>p. 9). There are also several approaches to effective HR strategies and improved performances (Appendix 6), however the Harvard model is the most appropriate for Perthyn as it meets the visions and values of the organisation especially within the following HR policies:</w:t>
      </w:r>
    </w:p>
    <w:tbl>
      <w:tblPr>
        <w:tblStyle w:val="GridTable2-Accent5"/>
        <w:tblW w:w="9209" w:type="dxa"/>
        <w:tblLook w:val="04A0" w:firstRow="1" w:lastRow="0" w:firstColumn="1" w:lastColumn="0" w:noHBand="0" w:noVBand="1"/>
      </w:tblPr>
      <w:tblGrid>
        <w:gridCol w:w="2254"/>
        <w:gridCol w:w="2254"/>
        <w:gridCol w:w="4701"/>
      </w:tblGrid>
      <w:tr w:rsidR="00097655" w:rsidRPr="00221C13" w:rsidTr="00626A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097655" w:rsidRPr="00463107" w:rsidRDefault="00097655" w:rsidP="00626A99">
            <w:pPr>
              <w:spacing w:line="360" w:lineRule="auto"/>
              <w:rPr>
                <w:rFonts w:ascii="Arial" w:hAnsi="Arial" w:cs="Arial"/>
                <w:szCs w:val="24"/>
              </w:rPr>
            </w:pPr>
            <w:r w:rsidRPr="00463107">
              <w:rPr>
                <w:rFonts w:ascii="Arial" w:hAnsi="Arial" w:cs="Arial"/>
                <w:szCs w:val="24"/>
              </w:rPr>
              <w:t>Implicit HR Policy</w:t>
            </w:r>
          </w:p>
        </w:tc>
        <w:tc>
          <w:tcPr>
            <w:tcW w:w="2254" w:type="dxa"/>
          </w:tcPr>
          <w:p w:rsidR="00097655" w:rsidRPr="00463107" w:rsidRDefault="00097655" w:rsidP="00626A9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szCs w:val="24"/>
              </w:rPr>
              <w:t>Element</w:t>
            </w:r>
          </w:p>
        </w:tc>
        <w:tc>
          <w:tcPr>
            <w:tcW w:w="4701" w:type="dxa"/>
          </w:tcPr>
          <w:p w:rsidR="00097655" w:rsidRPr="00463107" w:rsidRDefault="00097655" w:rsidP="00626A99">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szCs w:val="24"/>
              </w:rPr>
              <w:t>Perthyn Strategy</w:t>
            </w:r>
          </w:p>
        </w:tc>
      </w:tr>
      <w:tr w:rsidR="00097655" w:rsidRPr="00221C13"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097655" w:rsidRPr="00463107" w:rsidRDefault="00097655" w:rsidP="00626A99">
            <w:pPr>
              <w:spacing w:line="360" w:lineRule="auto"/>
              <w:rPr>
                <w:rFonts w:ascii="Arial" w:hAnsi="Arial" w:cs="Arial"/>
                <w:b w:val="0"/>
                <w:szCs w:val="24"/>
              </w:rPr>
            </w:pPr>
            <w:r w:rsidRPr="00463107">
              <w:rPr>
                <w:rFonts w:ascii="Arial" w:hAnsi="Arial" w:cs="Arial"/>
                <w:b w:val="0"/>
                <w:szCs w:val="24"/>
              </w:rPr>
              <w:t>Selection process</w:t>
            </w:r>
          </w:p>
        </w:tc>
        <w:tc>
          <w:tcPr>
            <w:tcW w:w="2254" w:type="dxa"/>
          </w:tcPr>
          <w:p w:rsidR="00097655" w:rsidRPr="00463107" w:rsidRDefault="00097655" w:rsidP="00626A9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63107">
              <w:rPr>
                <w:rFonts w:ascii="Arial" w:hAnsi="Arial" w:cs="Arial"/>
                <w:szCs w:val="24"/>
              </w:rPr>
              <w:t>Emphasis attitudes as well as skills</w:t>
            </w:r>
          </w:p>
        </w:tc>
        <w:tc>
          <w:tcPr>
            <w:tcW w:w="4701" w:type="dxa"/>
          </w:tcPr>
          <w:p w:rsidR="00097655" w:rsidRPr="00463107" w:rsidRDefault="00097655" w:rsidP="00626A9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63107">
              <w:rPr>
                <w:rFonts w:ascii="Arial" w:hAnsi="Arial" w:cs="Arial"/>
                <w:szCs w:val="24"/>
              </w:rPr>
              <w:t>Interview questions involve strength based questions as well as competency based questions. Service users involved at all levels.</w:t>
            </w:r>
          </w:p>
        </w:tc>
      </w:tr>
      <w:tr w:rsidR="00097655" w:rsidRPr="00221C13" w:rsidTr="00626A99">
        <w:tc>
          <w:tcPr>
            <w:cnfStyle w:val="001000000000" w:firstRow="0" w:lastRow="0" w:firstColumn="1" w:lastColumn="0" w:oddVBand="0" w:evenVBand="0" w:oddHBand="0" w:evenHBand="0" w:firstRowFirstColumn="0" w:firstRowLastColumn="0" w:lastRowFirstColumn="0" w:lastRowLastColumn="0"/>
            <w:tcW w:w="2254" w:type="dxa"/>
          </w:tcPr>
          <w:p w:rsidR="00097655" w:rsidRPr="00463107" w:rsidRDefault="00097655" w:rsidP="00626A99">
            <w:pPr>
              <w:spacing w:line="360" w:lineRule="auto"/>
              <w:rPr>
                <w:rFonts w:ascii="Arial" w:hAnsi="Arial" w:cs="Arial"/>
                <w:b w:val="0"/>
                <w:szCs w:val="24"/>
              </w:rPr>
            </w:pPr>
            <w:r w:rsidRPr="00463107">
              <w:rPr>
                <w:rFonts w:ascii="Arial" w:hAnsi="Arial" w:cs="Arial"/>
                <w:b w:val="0"/>
                <w:szCs w:val="24"/>
              </w:rPr>
              <w:t>Appraisal</w:t>
            </w:r>
          </w:p>
        </w:tc>
        <w:tc>
          <w:tcPr>
            <w:tcW w:w="2254" w:type="dxa"/>
          </w:tcPr>
          <w:p w:rsidR="00097655" w:rsidRPr="00463107" w:rsidRDefault="00097655" w:rsidP="00626A9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szCs w:val="24"/>
              </w:rPr>
              <w:t>Open, participative, two way feedback</w:t>
            </w:r>
          </w:p>
        </w:tc>
        <w:tc>
          <w:tcPr>
            <w:tcW w:w="4701" w:type="dxa"/>
          </w:tcPr>
          <w:p w:rsidR="00097655" w:rsidRPr="00463107" w:rsidRDefault="00097655" w:rsidP="00626A9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szCs w:val="24"/>
              </w:rPr>
              <w:t>Supervisions are quarterly and involve two-way participation with actionable outcomes for both parties</w:t>
            </w:r>
          </w:p>
        </w:tc>
      </w:tr>
      <w:tr w:rsidR="00097655" w:rsidRPr="00221C13"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rsidR="00097655" w:rsidRPr="00463107" w:rsidRDefault="00097655" w:rsidP="00626A99">
            <w:pPr>
              <w:spacing w:line="360" w:lineRule="auto"/>
              <w:rPr>
                <w:rFonts w:ascii="Arial" w:hAnsi="Arial" w:cs="Arial"/>
                <w:b w:val="0"/>
                <w:szCs w:val="24"/>
              </w:rPr>
            </w:pPr>
            <w:r w:rsidRPr="00463107">
              <w:rPr>
                <w:rFonts w:ascii="Arial" w:hAnsi="Arial" w:cs="Arial"/>
                <w:b w:val="0"/>
                <w:szCs w:val="24"/>
              </w:rPr>
              <w:t>Learning and development</w:t>
            </w:r>
          </w:p>
        </w:tc>
        <w:tc>
          <w:tcPr>
            <w:tcW w:w="2254" w:type="dxa"/>
          </w:tcPr>
          <w:p w:rsidR="00097655" w:rsidRPr="00463107" w:rsidRDefault="00097655" w:rsidP="00626A9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63107">
              <w:rPr>
                <w:rFonts w:ascii="Arial" w:hAnsi="Arial" w:cs="Arial"/>
                <w:szCs w:val="24"/>
              </w:rPr>
              <w:t>Central to model, lateral and upward career advancement.</w:t>
            </w:r>
          </w:p>
        </w:tc>
        <w:tc>
          <w:tcPr>
            <w:tcW w:w="4701" w:type="dxa"/>
          </w:tcPr>
          <w:p w:rsidR="00097655" w:rsidRPr="00463107" w:rsidRDefault="00097655" w:rsidP="00626A99">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63107">
              <w:rPr>
                <w:rFonts w:ascii="Arial" w:hAnsi="Arial" w:cs="Arial"/>
                <w:szCs w:val="24"/>
              </w:rPr>
              <w:t>Training and development department supports employees with the skills and qualifications required for current and future roles.</w:t>
            </w:r>
          </w:p>
        </w:tc>
      </w:tr>
      <w:tr w:rsidR="00097655" w:rsidRPr="00221C13" w:rsidTr="00626A99">
        <w:tc>
          <w:tcPr>
            <w:cnfStyle w:val="001000000000" w:firstRow="0" w:lastRow="0" w:firstColumn="1" w:lastColumn="0" w:oddVBand="0" w:evenVBand="0" w:oddHBand="0" w:evenHBand="0" w:firstRowFirstColumn="0" w:firstRowLastColumn="0" w:lastRowFirstColumn="0" w:lastRowLastColumn="0"/>
            <w:tcW w:w="2254" w:type="dxa"/>
          </w:tcPr>
          <w:p w:rsidR="00097655" w:rsidRPr="00463107" w:rsidRDefault="00097655" w:rsidP="00626A99">
            <w:pPr>
              <w:spacing w:line="360" w:lineRule="auto"/>
              <w:rPr>
                <w:rFonts w:ascii="Arial" w:hAnsi="Arial" w:cs="Arial"/>
                <w:b w:val="0"/>
                <w:szCs w:val="24"/>
              </w:rPr>
            </w:pPr>
            <w:r w:rsidRPr="00463107">
              <w:rPr>
                <w:rFonts w:ascii="Arial" w:hAnsi="Arial" w:cs="Arial"/>
                <w:b w:val="0"/>
                <w:szCs w:val="24"/>
              </w:rPr>
              <w:t>Participation and employee involvement</w:t>
            </w:r>
          </w:p>
        </w:tc>
        <w:tc>
          <w:tcPr>
            <w:tcW w:w="2254" w:type="dxa"/>
          </w:tcPr>
          <w:p w:rsidR="00097655" w:rsidRPr="00463107" w:rsidRDefault="00097655" w:rsidP="00626A9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szCs w:val="24"/>
              </w:rPr>
              <w:t>Two way communication, problem solving groups</w:t>
            </w:r>
          </w:p>
        </w:tc>
        <w:tc>
          <w:tcPr>
            <w:tcW w:w="4701" w:type="dxa"/>
          </w:tcPr>
          <w:p w:rsidR="00097655" w:rsidRPr="00463107" w:rsidRDefault="00097655" w:rsidP="00626A99">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szCs w:val="24"/>
              </w:rPr>
              <w:t xml:space="preserve">Team meetings, communication books and regular supervisions support open dialogue. </w:t>
            </w:r>
          </w:p>
        </w:tc>
      </w:tr>
    </w:tbl>
    <w:p w:rsidR="00097655" w:rsidRPr="00221C13" w:rsidRDefault="00097655" w:rsidP="00097655">
      <w:pPr>
        <w:spacing w:line="360" w:lineRule="auto"/>
        <w:jc w:val="right"/>
        <w:rPr>
          <w:rFonts w:ascii="Arial" w:hAnsi="Arial" w:cs="Arial"/>
          <w:sz w:val="24"/>
          <w:szCs w:val="24"/>
        </w:rPr>
      </w:pPr>
      <w:r w:rsidRPr="00221C13">
        <w:rPr>
          <w:rFonts w:ascii="Arial" w:hAnsi="Arial" w:cs="Arial"/>
          <w:sz w:val="24"/>
          <w:szCs w:val="24"/>
        </w:rPr>
        <w:t>Adapted from Farnham (2015, p.174)</w:t>
      </w:r>
    </w:p>
    <w:p w:rsidR="00097655" w:rsidRPr="00221C13" w:rsidRDefault="00097655" w:rsidP="00097655">
      <w:pPr>
        <w:spacing w:after="0" w:line="360" w:lineRule="auto"/>
        <w:jc w:val="both"/>
        <w:rPr>
          <w:rFonts w:ascii="Arial" w:hAnsi="Arial" w:cs="Arial"/>
          <w:color w:val="000000" w:themeColor="text1"/>
          <w:sz w:val="24"/>
          <w:szCs w:val="24"/>
        </w:rPr>
      </w:pPr>
      <w:r w:rsidRPr="00221C13">
        <w:rPr>
          <w:rFonts w:ascii="Arial" w:hAnsi="Arial" w:cs="Arial"/>
          <w:color w:val="000000" w:themeColor="text1"/>
          <w:sz w:val="24"/>
          <w:szCs w:val="24"/>
        </w:rPr>
        <w:t>Due to the split of the HR teams, the Ulrich three-legged stool model (Haden, 2017) is also applied by Perthyn, with HR administrators managing transactional services, HR Advisors specialising in recruitment and Senior HR Advisors, an HR manager and an HR Director who work closely with business leaders on strategy. However, only 35% of organizations worldwide employ an HR service delivery model, which is an attribute of high-performing HR functions (Mercer, 2017). This puts Perthyn at competitive advantage, although it must also invest in technology</w:t>
      </w:r>
      <w:r>
        <w:rPr>
          <w:rFonts w:ascii="Arial" w:hAnsi="Arial" w:cs="Arial"/>
          <w:color w:val="000000" w:themeColor="text1"/>
          <w:sz w:val="24"/>
          <w:szCs w:val="24"/>
        </w:rPr>
        <w:t xml:space="preserve"> (Mercer, 2017):</w:t>
      </w:r>
    </w:p>
    <w:p w:rsidR="00097655" w:rsidRPr="00221C13" w:rsidRDefault="00097655" w:rsidP="00097655">
      <w:pPr>
        <w:spacing w:after="0" w:line="240" w:lineRule="auto"/>
        <w:jc w:val="center"/>
        <w:rPr>
          <w:rFonts w:ascii="Arial" w:hAnsi="Arial" w:cs="Arial"/>
          <w:color w:val="000000" w:themeColor="text1"/>
          <w:sz w:val="24"/>
          <w:szCs w:val="24"/>
        </w:rPr>
      </w:pPr>
      <w:r w:rsidRPr="00221C13">
        <w:rPr>
          <w:rFonts w:ascii="Arial" w:hAnsi="Arial" w:cs="Arial"/>
          <w:noProof/>
          <w:sz w:val="24"/>
          <w:szCs w:val="24"/>
        </w:rPr>
        <w:lastRenderedPageBreak/>
        <w:drawing>
          <wp:inline distT="0" distB="0" distL="0" distR="0" wp14:anchorId="51BDE6B0" wp14:editId="7D47D0EA">
            <wp:extent cx="5731510" cy="1389891"/>
            <wp:effectExtent l="0" t="0" r="2540" b="1270"/>
            <wp:docPr id="7" name="Picture 7" descr="https://www.mercer.com/content/dam/mercer/assets/content-images/us-2017-hr-transformation-study-press-release-0-fig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rcer.com/content/dam/mercer/assets/content-images/us-2017-hr-transformation-study-press-release-0-figure-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389891"/>
                    </a:xfrm>
                    <a:prstGeom prst="rect">
                      <a:avLst/>
                    </a:prstGeom>
                    <a:noFill/>
                    <a:ln>
                      <a:noFill/>
                    </a:ln>
                  </pic:spPr>
                </pic:pic>
              </a:graphicData>
            </a:graphic>
          </wp:inline>
        </w:drawing>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 xml:space="preserve">Whilst there are limited resources available to develop technology, Perthyn already has a HR system which offers reporting and analytics, employee self-service and recruitment </w:t>
      </w:r>
      <w:r>
        <w:rPr>
          <w:rFonts w:ascii="Arial" w:hAnsi="Arial" w:cs="Arial"/>
          <w:sz w:val="24"/>
          <w:szCs w:val="24"/>
        </w:rPr>
        <w:t xml:space="preserve">ATS </w:t>
      </w:r>
      <w:r w:rsidRPr="00221C13">
        <w:rPr>
          <w:rFonts w:ascii="Arial" w:hAnsi="Arial" w:cs="Arial"/>
          <w:sz w:val="24"/>
          <w:szCs w:val="24"/>
        </w:rPr>
        <w:t>(Appendix 7). The former is used to produce limited reports whilst the latter two are not utilised at all. To meet the needs of future employees, service users and to be an agile organisation, Perthyn must develop existing technologies and train new and current staff.</w:t>
      </w:r>
    </w:p>
    <w:p w:rsidR="00097655" w:rsidRPr="00221C13" w:rsidRDefault="00097655" w:rsidP="00097655">
      <w:pPr>
        <w:spacing w:line="360" w:lineRule="auto"/>
        <w:jc w:val="both"/>
        <w:rPr>
          <w:rFonts w:ascii="Arial" w:hAnsi="Arial" w:cs="Arial"/>
          <w:sz w:val="24"/>
          <w:szCs w:val="24"/>
        </w:rPr>
      </w:pPr>
      <w:r w:rsidRPr="00221C13">
        <w:rPr>
          <w:rFonts w:ascii="Arial" w:hAnsi="Arial" w:cs="Arial"/>
          <w:sz w:val="24"/>
          <w:szCs w:val="24"/>
        </w:rPr>
        <w:t>Organisations in different sectors have successfully developed their employee experience, as indicated below:</w:t>
      </w:r>
    </w:p>
    <w:tbl>
      <w:tblPr>
        <w:tblStyle w:val="GridTable6Colorful-Accent5"/>
        <w:tblW w:w="0" w:type="auto"/>
        <w:tblLook w:val="04A0" w:firstRow="1" w:lastRow="0" w:firstColumn="1" w:lastColumn="0" w:noHBand="0" w:noVBand="1"/>
      </w:tblPr>
      <w:tblGrid>
        <w:gridCol w:w="2476"/>
        <w:gridCol w:w="2309"/>
        <w:gridCol w:w="4231"/>
      </w:tblGrid>
      <w:tr w:rsidR="00097655" w:rsidRPr="00221C13" w:rsidTr="00626A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6" w:type="dxa"/>
          </w:tcPr>
          <w:p w:rsidR="00097655" w:rsidRPr="00463107" w:rsidRDefault="00097655" w:rsidP="00626A99">
            <w:pPr>
              <w:jc w:val="both"/>
              <w:rPr>
                <w:rFonts w:ascii="Arial" w:hAnsi="Arial" w:cs="Arial"/>
                <w:color w:val="auto"/>
                <w:szCs w:val="24"/>
              </w:rPr>
            </w:pPr>
            <w:r w:rsidRPr="00463107">
              <w:rPr>
                <w:rFonts w:ascii="Arial" w:hAnsi="Arial" w:cs="Arial"/>
                <w:color w:val="auto"/>
                <w:szCs w:val="24"/>
              </w:rPr>
              <w:t>Organisation and Industry</w:t>
            </w:r>
          </w:p>
        </w:tc>
        <w:tc>
          <w:tcPr>
            <w:tcW w:w="2309" w:type="dxa"/>
          </w:tcPr>
          <w:p w:rsidR="00097655" w:rsidRPr="00463107" w:rsidRDefault="00097655" w:rsidP="00626A99">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Change / Action</w:t>
            </w:r>
          </w:p>
        </w:tc>
        <w:tc>
          <w:tcPr>
            <w:tcW w:w="4231" w:type="dxa"/>
          </w:tcPr>
          <w:p w:rsidR="00097655" w:rsidRPr="00463107" w:rsidRDefault="00097655" w:rsidP="00626A99">
            <w:pPr>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Outcome</w:t>
            </w:r>
          </w:p>
        </w:tc>
      </w:tr>
      <w:tr w:rsidR="00097655" w:rsidRPr="00221C13"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6" w:type="dxa"/>
          </w:tcPr>
          <w:p w:rsidR="00097655" w:rsidRPr="00463107" w:rsidRDefault="00097655" w:rsidP="00626A99">
            <w:pPr>
              <w:rPr>
                <w:rFonts w:ascii="Arial" w:hAnsi="Arial" w:cs="Arial"/>
                <w:b w:val="0"/>
                <w:bCs w:val="0"/>
                <w:color w:val="auto"/>
                <w:szCs w:val="24"/>
              </w:rPr>
            </w:pPr>
            <w:r w:rsidRPr="00463107">
              <w:rPr>
                <w:rFonts w:ascii="Arial" w:hAnsi="Arial" w:cs="Arial"/>
                <w:color w:val="auto"/>
                <w:szCs w:val="24"/>
              </w:rPr>
              <w:t>Citi Group</w:t>
            </w:r>
          </w:p>
          <w:p w:rsidR="00097655" w:rsidRPr="00463107" w:rsidRDefault="00097655" w:rsidP="00626A99">
            <w:pPr>
              <w:rPr>
                <w:rFonts w:ascii="Arial" w:hAnsi="Arial" w:cs="Arial"/>
                <w:b w:val="0"/>
                <w:color w:val="auto"/>
                <w:szCs w:val="24"/>
              </w:rPr>
            </w:pPr>
            <w:r w:rsidRPr="00463107">
              <w:rPr>
                <w:rFonts w:ascii="Arial" w:hAnsi="Arial" w:cs="Arial"/>
                <w:b w:val="0"/>
                <w:color w:val="auto"/>
                <w:szCs w:val="24"/>
              </w:rPr>
              <w:t>(Global financial services)</w:t>
            </w:r>
          </w:p>
        </w:tc>
        <w:tc>
          <w:tcPr>
            <w:tcW w:w="2309" w:type="dxa"/>
          </w:tcPr>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Incorporated a range of work settings and technology to support more active and connected work styles (Cannon, 2017)</w:t>
            </w:r>
          </w:p>
        </w:tc>
        <w:tc>
          <w:tcPr>
            <w:tcW w:w="4231" w:type="dxa"/>
          </w:tcPr>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Success factors were based on management readiness, technology, change management and providing for staff needs. (Cannon, 2017)</w:t>
            </w:r>
          </w:p>
        </w:tc>
      </w:tr>
      <w:tr w:rsidR="00097655" w:rsidRPr="00221C13" w:rsidTr="00626A99">
        <w:tc>
          <w:tcPr>
            <w:cnfStyle w:val="001000000000" w:firstRow="0" w:lastRow="0" w:firstColumn="1" w:lastColumn="0" w:oddVBand="0" w:evenVBand="0" w:oddHBand="0" w:evenHBand="0" w:firstRowFirstColumn="0" w:firstRowLastColumn="0" w:lastRowFirstColumn="0" w:lastRowLastColumn="0"/>
            <w:tcW w:w="2476" w:type="dxa"/>
          </w:tcPr>
          <w:p w:rsidR="00097655" w:rsidRPr="00463107" w:rsidRDefault="00097655" w:rsidP="00626A99">
            <w:pPr>
              <w:rPr>
                <w:rFonts w:ascii="Arial" w:hAnsi="Arial" w:cs="Arial"/>
                <w:b w:val="0"/>
                <w:bCs w:val="0"/>
                <w:color w:val="auto"/>
                <w:szCs w:val="24"/>
              </w:rPr>
            </w:pPr>
            <w:r w:rsidRPr="00463107">
              <w:rPr>
                <w:rFonts w:ascii="Arial" w:hAnsi="Arial" w:cs="Arial"/>
                <w:color w:val="auto"/>
                <w:szCs w:val="24"/>
              </w:rPr>
              <w:t xml:space="preserve">Mace </w:t>
            </w:r>
          </w:p>
          <w:p w:rsidR="00097655" w:rsidRPr="00463107" w:rsidRDefault="00097655" w:rsidP="00626A99">
            <w:pPr>
              <w:rPr>
                <w:rFonts w:ascii="Arial" w:hAnsi="Arial" w:cs="Arial"/>
                <w:b w:val="0"/>
                <w:color w:val="auto"/>
                <w:szCs w:val="24"/>
              </w:rPr>
            </w:pPr>
            <w:r w:rsidRPr="00463107">
              <w:rPr>
                <w:rFonts w:ascii="Arial" w:hAnsi="Arial" w:cs="Arial"/>
                <w:b w:val="0"/>
                <w:color w:val="auto"/>
                <w:szCs w:val="24"/>
              </w:rPr>
              <w:t>(Consultancy and Construction Company)</w:t>
            </w:r>
          </w:p>
        </w:tc>
        <w:tc>
          <w:tcPr>
            <w:tcW w:w="2309" w:type="dxa"/>
          </w:tcPr>
          <w:p w:rsidR="00097655" w:rsidRPr="00463107" w:rsidRDefault="00097655" w:rsidP="00626A99">
            <w:pP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Measured employee engagement through annual staff surveys</w:t>
            </w:r>
          </w:p>
          <w:p w:rsidR="00097655" w:rsidRPr="00463107" w:rsidRDefault="00097655" w:rsidP="00626A99">
            <w:pP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p>
          <w:p w:rsidR="00097655" w:rsidRPr="00463107" w:rsidRDefault="00097655" w:rsidP="00626A99">
            <w:pP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Participated in benchmarking survey (Truss et al, 2012, p.234)</w:t>
            </w:r>
          </w:p>
        </w:tc>
        <w:tc>
          <w:tcPr>
            <w:tcW w:w="4231" w:type="dxa"/>
          </w:tcPr>
          <w:p w:rsidR="00097655" w:rsidRPr="00463107" w:rsidRDefault="00097655" w:rsidP="00626A99">
            <w:pP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Discovered that:</w:t>
            </w:r>
          </w:p>
          <w:p w:rsidR="00097655" w:rsidRPr="00463107" w:rsidRDefault="00097655" w:rsidP="00097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 xml:space="preserve">High engagement levels existed, however, employees who worked to high pressure deadlines suffered work-life balance. </w:t>
            </w:r>
          </w:p>
          <w:p w:rsidR="00097655" w:rsidRPr="00463107" w:rsidRDefault="00097655" w:rsidP="00097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Results indicated scope which employees shared ideas and knowledge</w:t>
            </w:r>
          </w:p>
          <w:p w:rsidR="00097655" w:rsidRPr="00463107" w:rsidRDefault="00097655" w:rsidP="00097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color w:val="auto"/>
                <w:szCs w:val="24"/>
              </w:rPr>
              <w:t>Managers could benefit from management development</w:t>
            </w:r>
          </w:p>
          <w:p w:rsidR="00097655" w:rsidRPr="00463107" w:rsidRDefault="00097655" w:rsidP="00097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color w:val="auto"/>
                <w:szCs w:val="24"/>
              </w:rPr>
              <w:t>CSR approach could be enhanced</w:t>
            </w:r>
          </w:p>
          <w:p w:rsidR="00097655" w:rsidRPr="00463107" w:rsidRDefault="00097655" w:rsidP="00097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color w:val="auto"/>
                <w:szCs w:val="24"/>
              </w:rPr>
              <w:t>Appraisal process could be improved.</w:t>
            </w:r>
          </w:p>
          <w:p w:rsidR="00097655" w:rsidRPr="00463107" w:rsidRDefault="00097655" w:rsidP="00626A9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rsidR="00097655" w:rsidRPr="00463107" w:rsidRDefault="00097655" w:rsidP="00626A99">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color w:val="auto"/>
                <w:szCs w:val="24"/>
              </w:rPr>
              <w:t>An engagement model was developed as a result of the findings to meet the above needs (Truss et al, 2012, p.234)</w:t>
            </w:r>
          </w:p>
        </w:tc>
      </w:tr>
      <w:tr w:rsidR="00097655" w:rsidRPr="00221C13"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6" w:type="dxa"/>
          </w:tcPr>
          <w:p w:rsidR="00097655" w:rsidRPr="00463107" w:rsidRDefault="00097655" w:rsidP="00626A99">
            <w:pPr>
              <w:rPr>
                <w:rFonts w:ascii="Arial" w:hAnsi="Arial" w:cs="Arial"/>
                <w:color w:val="auto"/>
                <w:szCs w:val="24"/>
              </w:rPr>
            </w:pPr>
            <w:r w:rsidRPr="00463107">
              <w:rPr>
                <w:rFonts w:ascii="Arial" w:hAnsi="Arial" w:cs="Arial"/>
                <w:color w:val="auto"/>
                <w:szCs w:val="24"/>
              </w:rPr>
              <w:t xml:space="preserve">Guy’s and St Thomas’ NHS Foundation Trust </w:t>
            </w:r>
            <w:r w:rsidRPr="00463107">
              <w:rPr>
                <w:rFonts w:ascii="Arial" w:hAnsi="Arial" w:cs="Arial"/>
                <w:b w:val="0"/>
                <w:color w:val="auto"/>
                <w:szCs w:val="24"/>
              </w:rPr>
              <w:t>(Health Care)</w:t>
            </w:r>
          </w:p>
        </w:tc>
        <w:tc>
          <w:tcPr>
            <w:tcW w:w="2309" w:type="dxa"/>
          </w:tcPr>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Developed a learning agreement with the staff side (trade unions) to ensure</w:t>
            </w: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 xml:space="preserve">that the learning </w:t>
            </w:r>
            <w:r w:rsidRPr="00463107">
              <w:rPr>
                <w:rFonts w:ascii="Arial" w:hAnsi="Arial" w:cs="Arial"/>
                <w:color w:val="auto"/>
                <w:szCs w:val="24"/>
              </w:rPr>
              <w:lastRenderedPageBreak/>
              <w:t xml:space="preserve">needs of individuals in entry support jobs are identified and addressed </w:t>
            </w: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Utilising technology to facilitate knowledge-sharing internally and</w:t>
            </w: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externally</w:t>
            </w: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Increased community work (CIPD, 2014, p.23-31</w:t>
            </w:r>
          </w:p>
        </w:tc>
        <w:tc>
          <w:tcPr>
            <w:tcW w:w="4231" w:type="dxa"/>
          </w:tcPr>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lastRenderedPageBreak/>
              <w:t xml:space="preserve">Learning representatives appointed to engage with staff to find out about their learning needs and to facilitate communication, helping both staff aspirations and the organisations. </w:t>
            </w: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br/>
              <w:t xml:space="preserve">Using app-based solutions to encourage staff to know a little bit about a lot of things as well as their specialism, uploading an idea and getting help. Rewarded through trust miles. </w:t>
            </w:r>
          </w:p>
          <w:p w:rsidR="00097655"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p>
          <w:p w:rsidR="00097655" w:rsidRPr="00463107" w:rsidRDefault="00097655" w:rsidP="00626A99">
            <w:pPr>
              <w:cnfStyle w:val="000000100000" w:firstRow="0" w:lastRow="0" w:firstColumn="0" w:lastColumn="0" w:oddVBand="0" w:evenVBand="0" w:oddHBand="1"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Upskilled staff and a shift their mindset around where and when they work. Also introduced a graduate nurse rotation programme. (CIPD, 2014, p.23-31)</w:t>
            </w:r>
          </w:p>
        </w:tc>
      </w:tr>
      <w:tr w:rsidR="00097655" w:rsidRPr="00221C13" w:rsidTr="00626A99">
        <w:tc>
          <w:tcPr>
            <w:cnfStyle w:val="001000000000" w:firstRow="0" w:lastRow="0" w:firstColumn="1" w:lastColumn="0" w:oddVBand="0" w:evenVBand="0" w:oddHBand="0" w:evenHBand="0" w:firstRowFirstColumn="0" w:firstRowLastColumn="0" w:lastRowFirstColumn="0" w:lastRowLastColumn="0"/>
            <w:tcW w:w="2476" w:type="dxa"/>
          </w:tcPr>
          <w:p w:rsidR="00097655" w:rsidRPr="00463107" w:rsidRDefault="00097655" w:rsidP="00626A99">
            <w:pPr>
              <w:jc w:val="both"/>
              <w:rPr>
                <w:rFonts w:ascii="Arial" w:hAnsi="Arial" w:cs="Arial"/>
                <w:b w:val="0"/>
                <w:bCs w:val="0"/>
                <w:color w:val="auto"/>
                <w:szCs w:val="24"/>
              </w:rPr>
            </w:pPr>
            <w:r w:rsidRPr="00463107">
              <w:rPr>
                <w:rFonts w:ascii="Arial" w:hAnsi="Arial" w:cs="Arial"/>
                <w:color w:val="auto"/>
                <w:szCs w:val="24"/>
              </w:rPr>
              <w:lastRenderedPageBreak/>
              <w:t>Matt Black Systems</w:t>
            </w:r>
          </w:p>
          <w:p w:rsidR="00097655" w:rsidRPr="00463107" w:rsidRDefault="00097655" w:rsidP="00626A99">
            <w:pPr>
              <w:jc w:val="both"/>
              <w:rPr>
                <w:rFonts w:ascii="Arial" w:hAnsi="Arial" w:cs="Arial"/>
                <w:b w:val="0"/>
                <w:bCs w:val="0"/>
                <w:color w:val="auto"/>
                <w:szCs w:val="24"/>
              </w:rPr>
            </w:pPr>
            <w:r w:rsidRPr="00463107">
              <w:rPr>
                <w:rFonts w:ascii="Arial" w:hAnsi="Arial" w:cs="Arial"/>
                <w:b w:val="0"/>
                <w:bCs w:val="0"/>
                <w:color w:val="auto"/>
                <w:szCs w:val="24"/>
              </w:rPr>
              <w:t>(Manufacturing)</w:t>
            </w:r>
          </w:p>
        </w:tc>
        <w:tc>
          <w:tcPr>
            <w:tcW w:w="2309" w:type="dxa"/>
          </w:tcPr>
          <w:p w:rsidR="00097655" w:rsidRPr="00463107"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Recognised that low productivity trends</w:t>
            </w:r>
          </w:p>
          <w:p w:rsidR="00097655" w:rsidRPr="00463107"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color w:val="auto"/>
                <w:szCs w:val="24"/>
              </w:rPr>
              <w:t>were at least in part associated with the organisational culture, and therefore opted for a people-centric direction for change, focusing on addressing disengagement and disempowerment in the workforce. (CIPD, 2014, pp.32-33).</w:t>
            </w:r>
          </w:p>
        </w:tc>
        <w:tc>
          <w:tcPr>
            <w:tcW w:w="4231" w:type="dxa"/>
          </w:tcPr>
          <w:p w:rsidR="00097655" w:rsidRPr="00463107"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Cs w:val="24"/>
              </w:rPr>
            </w:pPr>
            <w:r w:rsidRPr="00463107">
              <w:rPr>
                <w:rFonts w:ascii="Arial" w:hAnsi="Arial" w:cs="Arial"/>
                <w:color w:val="auto"/>
                <w:szCs w:val="24"/>
              </w:rPr>
              <w:t>Focused on nurturing employee motivation to deliver targets, designing the organisation to support three prime motivational elements established by Dan Pink’s research: autonomy, mastery and purpose.</w:t>
            </w:r>
          </w:p>
          <w:p w:rsidR="00097655" w:rsidRPr="00463107"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rsidR="00097655" w:rsidRPr="00463107"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63107">
              <w:rPr>
                <w:rFonts w:ascii="Arial" w:hAnsi="Arial" w:cs="Arial"/>
                <w:color w:val="auto"/>
                <w:szCs w:val="24"/>
              </w:rPr>
              <w:t xml:space="preserve">Productivity increase and mindset shift achieved through the removal of overtime (replaced with equivalent compensation on top of their previous salary), and bonus for on time delivery. Employees were increasingly in control of the value they were adding and consequently their income (CIPD, 2014, pp.32-33). </w:t>
            </w:r>
          </w:p>
        </w:tc>
      </w:tr>
      <w:tr w:rsidR="00097655" w:rsidRPr="00221C13"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6" w:type="dxa"/>
          </w:tcPr>
          <w:p w:rsidR="00097655" w:rsidRPr="00463107" w:rsidRDefault="00097655" w:rsidP="00626A99">
            <w:pPr>
              <w:jc w:val="both"/>
              <w:rPr>
                <w:rFonts w:ascii="Arial" w:hAnsi="Arial" w:cs="Arial"/>
                <w:b w:val="0"/>
                <w:bCs w:val="0"/>
                <w:color w:val="auto"/>
                <w:szCs w:val="24"/>
              </w:rPr>
            </w:pPr>
            <w:r w:rsidRPr="00463107">
              <w:rPr>
                <w:rFonts w:ascii="Arial" w:hAnsi="Arial" w:cs="Arial"/>
                <w:color w:val="auto"/>
                <w:szCs w:val="24"/>
              </w:rPr>
              <w:t>Birmingham City Council</w:t>
            </w:r>
          </w:p>
          <w:p w:rsidR="00097655" w:rsidRPr="00463107" w:rsidRDefault="00097655" w:rsidP="00626A99">
            <w:pPr>
              <w:jc w:val="both"/>
              <w:rPr>
                <w:rFonts w:ascii="Arial" w:hAnsi="Arial" w:cs="Arial"/>
                <w:b w:val="0"/>
                <w:bCs w:val="0"/>
                <w:color w:val="auto"/>
                <w:szCs w:val="24"/>
              </w:rPr>
            </w:pPr>
            <w:r w:rsidRPr="00463107">
              <w:rPr>
                <w:rFonts w:ascii="Arial" w:hAnsi="Arial" w:cs="Arial"/>
                <w:b w:val="0"/>
                <w:bCs w:val="0"/>
                <w:color w:val="auto"/>
                <w:szCs w:val="24"/>
              </w:rPr>
              <w:t>(Local Authority)</w:t>
            </w:r>
          </w:p>
        </w:tc>
        <w:tc>
          <w:tcPr>
            <w:tcW w:w="2309" w:type="dxa"/>
          </w:tcPr>
          <w:p w:rsidR="00097655" w:rsidRPr="00463107"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63107">
              <w:rPr>
                <w:rFonts w:ascii="Arial" w:hAnsi="Arial" w:cs="Arial"/>
                <w:color w:val="auto"/>
                <w:szCs w:val="24"/>
              </w:rPr>
              <w:t>Needed to undergo a radical transformation to keep the workforce motivated and engaged to increase efficiency and save costs. (Truss et al, 2012, p.231-232)</w:t>
            </w:r>
          </w:p>
        </w:tc>
        <w:tc>
          <w:tcPr>
            <w:tcW w:w="4231" w:type="dxa"/>
          </w:tcPr>
          <w:p w:rsidR="00097655" w:rsidRPr="00463107"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63107">
              <w:rPr>
                <w:rFonts w:ascii="Arial" w:hAnsi="Arial" w:cs="Arial"/>
                <w:color w:val="auto"/>
                <w:szCs w:val="24"/>
              </w:rPr>
              <w:t>Introduced BEST (Belief, Excellent, Success Trust) workshops with all employees (junior to senior) to consider how they could contribute personally and within a team to make improvements. Workshops involve self-evaluation and collaboration. Over 6,000 ideas emerged (to date) and other events and initiatives reinforce the values. (Truss et al, 2012, p.231-232)</w:t>
            </w:r>
          </w:p>
        </w:tc>
      </w:tr>
    </w:tbl>
    <w:p w:rsidR="00097655" w:rsidRPr="00221C13" w:rsidRDefault="00097655" w:rsidP="00097655">
      <w:pPr>
        <w:pStyle w:val="Heading1"/>
        <w:rPr>
          <w:rFonts w:ascii="Arial" w:hAnsi="Arial" w:cs="Arial"/>
          <w:sz w:val="24"/>
          <w:szCs w:val="24"/>
        </w:rPr>
      </w:pPr>
      <w:bookmarkStart w:id="5" w:name="_Toc500517864"/>
      <w:r w:rsidRPr="00221C13">
        <w:rPr>
          <w:rFonts w:ascii="Arial" w:hAnsi="Arial" w:cs="Arial"/>
          <w:sz w:val="24"/>
          <w:szCs w:val="24"/>
        </w:rPr>
        <w:t>Conclusions</w:t>
      </w:r>
      <w:bookmarkEnd w:id="5"/>
    </w:p>
    <w:p w:rsidR="00097655" w:rsidRPr="00221C13" w:rsidRDefault="00097655" w:rsidP="00097655">
      <w:pPr>
        <w:spacing w:after="0" w:line="360" w:lineRule="auto"/>
        <w:jc w:val="both"/>
        <w:rPr>
          <w:rFonts w:ascii="Arial" w:hAnsi="Arial" w:cs="Arial"/>
          <w:color w:val="000000" w:themeColor="text1"/>
          <w:sz w:val="24"/>
          <w:szCs w:val="24"/>
        </w:rPr>
      </w:pPr>
      <w:r w:rsidRPr="00221C13">
        <w:rPr>
          <w:rFonts w:ascii="Arial" w:hAnsi="Arial" w:cs="Arial"/>
          <w:color w:val="000000" w:themeColor="text1"/>
          <w:sz w:val="24"/>
          <w:szCs w:val="24"/>
        </w:rPr>
        <w:t xml:space="preserve">Perthyn have the infrastructure, values and vision to facilitate an excellent employee experience, however it is not being evidenced internally or externally, or supported by technology/data which is currently available. In fact, some external data is negative (Indeed, Google and Glassdoor reviews) and is impacting on the employer brand. </w:t>
      </w:r>
    </w:p>
    <w:p w:rsidR="00097655" w:rsidRPr="00221C13" w:rsidRDefault="00097655" w:rsidP="00097655">
      <w:pPr>
        <w:spacing w:after="0" w:line="360" w:lineRule="auto"/>
        <w:jc w:val="both"/>
        <w:rPr>
          <w:rFonts w:ascii="Arial" w:hAnsi="Arial" w:cs="Arial"/>
          <w:color w:val="000000" w:themeColor="text1"/>
          <w:sz w:val="24"/>
          <w:szCs w:val="24"/>
        </w:rPr>
      </w:pPr>
    </w:p>
    <w:p w:rsidR="00097655" w:rsidRPr="00221C13" w:rsidRDefault="00097655" w:rsidP="00097655">
      <w:pPr>
        <w:spacing w:after="0" w:line="360" w:lineRule="auto"/>
        <w:jc w:val="both"/>
        <w:rPr>
          <w:rFonts w:ascii="Arial" w:hAnsi="Arial" w:cs="Arial"/>
          <w:color w:val="000000" w:themeColor="text1"/>
          <w:sz w:val="24"/>
          <w:szCs w:val="24"/>
        </w:rPr>
      </w:pPr>
      <w:r w:rsidRPr="00221C13">
        <w:rPr>
          <w:rFonts w:ascii="Arial" w:hAnsi="Arial" w:cs="Arial"/>
          <w:color w:val="000000" w:themeColor="text1"/>
          <w:sz w:val="24"/>
          <w:szCs w:val="24"/>
        </w:rPr>
        <w:lastRenderedPageBreak/>
        <w:t xml:space="preserve">Whilst the organisation adopts a best practice approach to HRM and on the surface, appears to be meeting employees needs, some practices may be good for the company but not the workforce and best practice models are typically silent on these tensions (Farnham, 2015, p.179). </w:t>
      </w:r>
    </w:p>
    <w:p w:rsidR="00097655" w:rsidRPr="00221C13" w:rsidRDefault="00097655" w:rsidP="00097655">
      <w:pPr>
        <w:spacing w:after="0" w:line="360" w:lineRule="auto"/>
        <w:jc w:val="both"/>
        <w:rPr>
          <w:rFonts w:ascii="Arial" w:hAnsi="Arial" w:cs="Arial"/>
          <w:color w:val="000000" w:themeColor="text1"/>
          <w:sz w:val="24"/>
          <w:szCs w:val="24"/>
        </w:rPr>
      </w:pPr>
    </w:p>
    <w:p w:rsidR="00097655" w:rsidRPr="00221C13" w:rsidRDefault="00097655" w:rsidP="00097655">
      <w:pPr>
        <w:spacing w:after="0" w:line="360" w:lineRule="auto"/>
        <w:jc w:val="both"/>
        <w:rPr>
          <w:rFonts w:ascii="Arial" w:hAnsi="Arial" w:cs="Arial"/>
          <w:color w:val="000000" w:themeColor="text1"/>
          <w:sz w:val="24"/>
          <w:szCs w:val="24"/>
        </w:rPr>
      </w:pPr>
      <w:r w:rsidRPr="00221C13">
        <w:rPr>
          <w:rFonts w:ascii="Arial" w:hAnsi="Arial" w:cs="Arial"/>
          <w:color w:val="000000" w:themeColor="text1"/>
          <w:sz w:val="24"/>
          <w:szCs w:val="24"/>
        </w:rPr>
        <w:t xml:space="preserve">Senior managers are far more likely to be optimistic than middle management in their perceptions of engagement levels, whilst human resources are also less likely to claim highly engaged employees (Harvard Business Review, 2013, p.8). In addition, employees are more likely to trust senior managers when they feel they are listened to and when their views are taken into account when decisions are made (CIPD, 2013, p.2). At Perthyn, there is currently no way to accurately measure employee engagement and therefore there may be a ‘blind spot’ between employees, managers and the senior executive team. </w:t>
      </w:r>
    </w:p>
    <w:p w:rsidR="00097655" w:rsidRPr="00221C13" w:rsidRDefault="00097655" w:rsidP="00097655">
      <w:pPr>
        <w:spacing w:after="0" w:line="360" w:lineRule="auto"/>
        <w:jc w:val="both"/>
        <w:rPr>
          <w:rFonts w:ascii="Arial" w:hAnsi="Arial" w:cs="Arial"/>
          <w:color w:val="000000" w:themeColor="text1"/>
          <w:sz w:val="24"/>
          <w:szCs w:val="24"/>
        </w:rPr>
      </w:pPr>
    </w:p>
    <w:p w:rsidR="00097655" w:rsidRPr="00221C13" w:rsidRDefault="00097655" w:rsidP="00097655">
      <w:pPr>
        <w:spacing w:after="0" w:line="360" w:lineRule="auto"/>
        <w:jc w:val="both"/>
        <w:rPr>
          <w:rFonts w:ascii="Arial" w:hAnsi="Arial" w:cs="Arial"/>
          <w:color w:val="000000" w:themeColor="text1"/>
          <w:sz w:val="24"/>
          <w:szCs w:val="24"/>
        </w:rPr>
      </w:pPr>
      <w:r w:rsidRPr="00221C13">
        <w:rPr>
          <w:rFonts w:ascii="Arial" w:hAnsi="Arial" w:cs="Arial"/>
          <w:color w:val="000000" w:themeColor="text1"/>
          <w:sz w:val="24"/>
          <w:szCs w:val="24"/>
        </w:rPr>
        <w:t>As evidence in the findings, many organisations started employee engagement initiatives through employee consultation. Once employee engagement is understood, an effective strategy can be developed alongside all stakeholders, taking the following into impactful employee engagement drivers into consideration:</w:t>
      </w:r>
    </w:p>
    <w:p w:rsidR="00097655" w:rsidRPr="00221C13" w:rsidRDefault="00097655" w:rsidP="00097655">
      <w:pPr>
        <w:spacing w:after="0" w:line="360" w:lineRule="auto"/>
        <w:jc w:val="both"/>
        <w:rPr>
          <w:rFonts w:ascii="Arial" w:hAnsi="Arial" w:cs="Arial"/>
          <w:color w:val="000000" w:themeColor="text1"/>
          <w:sz w:val="24"/>
          <w:szCs w:val="24"/>
        </w:rPr>
      </w:pPr>
      <w:r w:rsidRPr="00221C13">
        <w:rPr>
          <w:rFonts w:ascii="Arial" w:hAnsi="Arial" w:cs="Arial"/>
          <w:noProof/>
          <w:sz w:val="24"/>
          <w:szCs w:val="24"/>
        </w:rPr>
        <w:drawing>
          <wp:inline distT="0" distB="0" distL="0" distR="0" wp14:anchorId="47269F30" wp14:editId="2FB5C9C8">
            <wp:extent cx="5731375" cy="365760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465" t="31756" r="33370" b="16979"/>
                    <a:stretch/>
                  </pic:blipFill>
                  <pic:spPr bwMode="auto">
                    <a:xfrm>
                      <a:off x="0" y="0"/>
                      <a:ext cx="5731510" cy="3657686"/>
                    </a:xfrm>
                    <a:prstGeom prst="rect">
                      <a:avLst/>
                    </a:prstGeom>
                    <a:ln>
                      <a:noFill/>
                    </a:ln>
                    <a:extLst>
                      <a:ext uri="{53640926-AAD7-44D8-BBD7-CCE9431645EC}">
                        <a14:shadowObscured xmlns:a14="http://schemas.microsoft.com/office/drawing/2010/main"/>
                      </a:ext>
                    </a:extLst>
                  </pic:spPr>
                </pic:pic>
              </a:graphicData>
            </a:graphic>
          </wp:inline>
        </w:drawing>
      </w:r>
    </w:p>
    <w:p w:rsidR="00097655" w:rsidRPr="00221C13" w:rsidRDefault="00097655" w:rsidP="00097655">
      <w:pPr>
        <w:spacing w:after="0" w:line="360" w:lineRule="auto"/>
        <w:jc w:val="right"/>
        <w:rPr>
          <w:rFonts w:ascii="Arial" w:hAnsi="Arial" w:cs="Arial"/>
          <w:color w:val="000000" w:themeColor="text1"/>
          <w:sz w:val="24"/>
          <w:szCs w:val="24"/>
        </w:rPr>
      </w:pPr>
      <w:r w:rsidRPr="00221C13">
        <w:rPr>
          <w:rFonts w:ascii="Arial" w:hAnsi="Arial" w:cs="Arial"/>
          <w:color w:val="000000" w:themeColor="text1"/>
          <w:sz w:val="24"/>
          <w:szCs w:val="24"/>
        </w:rPr>
        <w:t>(Harvard Business Review, 2013, p.7)</w:t>
      </w:r>
    </w:p>
    <w:p w:rsidR="00097655" w:rsidRPr="00221C13" w:rsidRDefault="00097655" w:rsidP="00097655">
      <w:pPr>
        <w:jc w:val="both"/>
        <w:rPr>
          <w:rFonts w:ascii="Arial" w:hAnsi="Arial" w:cs="Arial"/>
          <w:bCs/>
          <w:sz w:val="24"/>
          <w:szCs w:val="24"/>
        </w:rPr>
      </w:pPr>
      <w:r w:rsidRPr="00221C13">
        <w:rPr>
          <w:rFonts w:ascii="Arial" w:hAnsi="Arial" w:cs="Arial"/>
          <w:bCs/>
          <w:sz w:val="24"/>
          <w:szCs w:val="24"/>
        </w:rPr>
        <w:lastRenderedPageBreak/>
        <w:t>Sustainable organisation performance is achieved in the face of both internal and external challenges over time, rather than simply achieving high performance levels over the short-term or during good economic periods (CIPD, 2016). Therefore, driving performance through leadership, engagement and organisation development (CIPD, 2016) can result in sustainable success.</w:t>
      </w:r>
    </w:p>
    <w:p w:rsidR="00097655" w:rsidRPr="00221C13" w:rsidRDefault="00097655" w:rsidP="00097655">
      <w:pPr>
        <w:pStyle w:val="Heading1"/>
        <w:rPr>
          <w:rFonts w:ascii="Arial" w:hAnsi="Arial" w:cs="Arial"/>
          <w:sz w:val="24"/>
          <w:szCs w:val="24"/>
        </w:rPr>
      </w:pPr>
      <w:bookmarkStart w:id="6" w:name="_Toc500517865"/>
      <w:r w:rsidRPr="00221C13">
        <w:rPr>
          <w:rFonts w:ascii="Arial" w:hAnsi="Arial" w:cs="Arial"/>
          <w:sz w:val="24"/>
          <w:szCs w:val="24"/>
        </w:rPr>
        <w:t>Recommendations</w:t>
      </w:r>
      <w:bookmarkEnd w:id="6"/>
    </w:p>
    <w:p w:rsidR="00097655" w:rsidRPr="00221C13" w:rsidRDefault="00097655" w:rsidP="00097655">
      <w:pPr>
        <w:rPr>
          <w:rFonts w:ascii="Arial" w:hAnsi="Arial" w:cs="Arial"/>
          <w:bCs/>
          <w:sz w:val="24"/>
          <w:szCs w:val="24"/>
        </w:rPr>
      </w:pPr>
      <w:r w:rsidRPr="00221C13">
        <w:rPr>
          <w:rFonts w:ascii="Arial" w:hAnsi="Arial" w:cs="Arial"/>
          <w:bCs/>
          <w:sz w:val="24"/>
          <w:szCs w:val="24"/>
        </w:rPr>
        <w:t>This report recommends that Perthyn:</w:t>
      </w:r>
    </w:p>
    <w:p w:rsidR="00097655" w:rsidRPr="00221C13" w:rsidRDefault="00097655" w:rsidP="00097655">
      <w:pPr>
        <w:pStyle w:val="ListParagraph"/>
        <w:numPr>
          <w:ilvl w:val="0"/>
          <w:numId w:val="4"/>
        </w:numPr>
        <w:jc w:val="both"/>
        <w:rPr>
          <w:rFonts w:ascii="Arial" w:eastAsiaTheme="minorHAnsi" w:hAnsi="Arial" w:cs="Arial"/>
          <w:bCs/>
          <w:sz w:val="24"/>
          <w:szCs w:val="24"/>
          <w:lang w:eastAsia="en-US"/>
        </w:rPr>
      </w:pPr>
      <w:r w:rsidRPr="00221C13">
        <w:rPr>
          <w:rFonts w:ascii="Arial" w:eastAsiaTheme="minorHAnsi" w:hAnsi="Arial" w:cs="Arial"/>
          <w:bCs/>
          <w:sz w:val="24"/>
          <w:szCs w:val="24"/>
          <w:lang w:eastAsia="en-US"/>
        </w:rPr>
        <w:t>Measures employee engagement using data from candidate interviews, stay interviews, ongoing performance conversations and exit interviews to build a complete, real-time understanding of employee issues (Delo</w:t>
      </w:r>
      <w:r>
        <w:rPr>
          <w:rFonts w:ascii="Arial" w:eastAsiaTheme="minorHAnsi" w:hAnsi="Arial" w:cs="Arial"/>
          <w:bCs/>
          <w:sz w:val="24"/>
          <w:szCs w:val="24"/>
          <w:lang w:eastAsia="en-US"/>
        </w:rPr>
        <w:t>i</w:t>
      </w:r>
      <w:r w:rsidRPr="00221C13">
        <w:rPr>
          <w:rFonts w:ascii="Arial" w:eastAsiaTheme="minorHAnsi" w:hAnsi="Arial" w:cs="Arial"/>
          <w:bCs/>
          <w:sz w:val="24"/>
          <w:szCs w:val="24"/>
          <w:lang w:eastAsia="en-US"/>
        </w:rPr>
        <w:t>tte, 2017</w:t>
      </w:r>
      <w:r>
        <w:rPr>
          <w:rFonts w:ascii="Arial" w:eastAsiaTheme="minorHAnsi" w:hAnsi="Arial" w:cs="Arial"/>
          <w:bCs/>
          <w:sz w:val="24"/>
          <w:szCs w:val="24"/>
          <w:lang w:eastAsia="en-US"/>
        </w:rPr>
        <w:t>, p.59</w:t>
      </w:r>
      <w:r w:rsidRPr="00221C13">
        <w:rPr>
          <w:rFonts w:ascii="Arial" w:eastAsiaTheme="minorHAnsi" w:hAnsi="Arial" w:cs="Arial"/>
          <w:bCs/>
          <w:sz w:val="24"/>
          <w:szCs w:val="24"/>
          <w:lang w:eastAsia="en-US"/>
        </w:rPr>
        <w:t>)</w:t>
      </w:r>
    </w:p>
    <w:p w:rsidR="00097655" w:rsidRPr="00221C13" w:rsidRDefault="00097655" w:rsidP="00097655">
      <w:pPr>
        <w:pStyle w:val="ListParagraph"/>
        <w:numPr>
          <w:ilvl w:val="0"/>
          <w:numId w:val="4"/>
        </w:numPr>
        <w:jc w:val="both"/>
        <w:rPr>
          <w:rFonts w:ascii="Arial" w:eastAsiaTheme="minorHAnsi" w:hAnsi="Arial" w:cs="Arial"/>
          <w:bCs/>
          <w:sz w:val="24"/>
          <w:szCs w:val="24"/>
          <w:lang w:eastAsia="en-US"/>
        </w:rPr>
      </w:pPr>
      <w:r w:rsidRPr="00221C13">
        <w:rPr>
          <w:rFonts w:ascii="Arial" w:eastAsiaTheme="minorHAnsi" w:hAnsi="Arial" w:cs="Arial"/>
          <w:bCs/>
          <w:sz w:val="24"/>
          <w:szCs w:val="24"/>
          <w:lang w:eastAsia="en-US"/>
        </w:rPr>
        <w:t xml:space="preserve">Ensures HR and senior managers are </w:t>
      </w:r>
      <w:r>
        <w:rPr>
          <w:rFonts w:ascii="Arial" w:eastAsiaTheme="minorHAnsi" w:hAnsi="Arial" w:cs="Arial"/>
          <w:bCs/>
          <w:sz w:val="24"/>
          <w:szCs w:val="24"/>
          <w:lang w:eastAsia="en-US"/>
        </w:rPr>
        <w:t xml:space="preserve">aligned </w:t>
      </w:r>
      <w:r w:rsidRPr="00221C13">
        <w:rPr>
          <w:rFonts w:ascii="Arial" w:eastAsiaTheme="minorHAnsi" w:hAnsi="Arial" w:cs="Arial"/>
          <w:bCs/>
          <w:sz w:val="24"/>
          <w:szCs w:val="24"/>
          <w:lang w:eastAsia="en-US"/>
        </w:rPr>
        <w:t xml:space="preserve">with staff teams through effectively utilising the business partnership approach and increasing employee voice. </w:t>
      </w:r>
    </w:p>
    <w:p w:rsidR="00097655" w:rsidRPr="00221C13" w:rsidRDefault="00097655" w:rsidP="00097655">
      <w:pPr>
        <w:pStyle w:val="ListParagraph"/>
        <w:numPr>
          <w:ilvl w:val="0"/>
          <w:numId w:val="4"/>
        </w:numPr>
        <w:jc w:val="both"/>
        <w:rPr>
          <w:rFonts w:ascii="Arial" w:eastAsiaTheme="minorHAnsi" w:hAnsi="Arial" w:cs="Arial"/>
          <w:bCs/>
          <w:sz w:val="24"/>
          <w:szCs w:val="24"/>
          <w:lang w:eastAsia="en-US"/>
        </w:rPr>
      </w:pPr>
      <w:r w:rsidRPr="00221C13">
        <w:rPr>
          <w:rFonts w:ascii="Arial" w:eastAsiaTheme="minorHAnsi" w:hAnsi="Arial" w:cs="Arial"/>
          <w:bCs/>
          <w:sz w:val="24"/>
          <w:szCs w:val="24"/>
          <w:lang w:eastAsia="en-US"/>
        </w:rPr>
        <w:t>Maximises social media and online platforms to promote and manage the employer brand</w:t>
      </w:r>
      <w:r>
        <w:rPr>
          <w:rFonts w:ascii="Arial" w:eastAsiaTheme="minorHAnsi" w:hAnsi="Arial" w:cs="Arial"/>
          <w:bCs/>
          <w:sz w:val="24"/>
          <w:szCs w:val="24"/>
          <w:lang w:eastAsia="en-US"/>
        </w:rPr>
        <w:t>.</w:t>
      </w:r>
    </w:p>
    <w:p w:rsidR="00097655" w:rsidRPr="00221C13" w:rsidRDefault="00097655" w:rsidP="00097655">
      <w:pPr>
        <w:pStyle w:val="ListParagraph"/>
        <w:numPr>
          <w:ilvl w:val="0"/>
          <w:numId w:val="4"/>
        </w:numPr>
        <w:jc w:val="both"/>
        <w:rPr>
          <w:rFonts w:ascii="Arial" w:eastAsiaTheme="minorHAnsi" w:hAnsi="Arial" w:cs="Arial"/>
          <w:bCs/>
          <w:sz w:val="24"/>
          <w:szCs w:val="24"/>
          <w:lang w:eastAsia="en-US"/>
        </w:rPr>
      </w:pPr>
      <w:r w:rsidRPr="00221C13">
        <w:rPr>
          <w:rFonts w:ascii="Arial" w:eastAsiaTheme="minorHAnsi" w:hAnsi="Arial" w:cs="Arial"/>
          <w:bCs/>
          <w:sz w:val="24"/>
          <w:szCs w:val="24"/>
          <w:lang w:eastAsia="en-US"/>
        </w:rPr>
        <w:t>Implements Carval Self Service to reduce HR transactional tasks and increase employee responsibility</w:t>
      </w:r>
      <w:r>
        <w:rPr>
          <w:rFonts w:ascii="Arial" w:eastAsiaTheme="minorHAnsi" w:hAnsi="Arial" w:cs="Arial"/>
          <w:bCs/>
          <w:sz w:val="24"/>
          <w:szCs w:val="24"/>
          <w:lang w:eastAsia="en-US"/>
        </w:rPr>
        <w:t>.</w:t>
      </w:r>
    </w:p>
    <w:p w:rsidR="00097655" w:rsidRPr="00221C13" w:rsidRDefault="00097655" w:rsidP="00097655">
      <w:pPr>
        <w:pStyle w:val="ListParagraph"/>
        <w:numPr>
          <w:ilvl w:val="0"/>
          <w:numId w:val="4"/>
        </w:numPr>
        <w:jc w:val="both"/>
        <w:rPr>
          <w:rFonts w:ascii="Arial" w:eastAsiaTheme="minorHAnsi" w:hAnsi="Arial" w:cs="Arial"/>
          <w:bCs/>
          <w:sz w:val="24"/>
          <w:szCs w:val="24"/>
          <w:lang w:eastAsia="en-US"/>
        </w:rPr>
      </w:pPr>
      <w:r w:rsidRPr="00221C13">
        <w:rPr>
          <w:rFonts w:ascii="Arial" w:eastAsiaTheme="minorHAnsi" w:hAnsi="Arial" w:cs="Arial"/>
          <w:bCs/>
          <w:sz w:val="24"/>
          <w:szCs w:val="24"/>
          <w:lang w:eastAsia="en-US"/>
        </w:rPr>
        <w:t>Ensure all HR strategies are inclusive of the five-generation workforce and workforce trends, maximising their potential through flexible working which meets employee’s individual needs.</w:t>
      </w:r>
    </w:p>
    <w:p w:rsidR="00097655" w:rsidRPr="00221C13" w:rsidRDefault="00097655" w:rsidP="00097655">
      <w:pPr>
        <w:jc w:val="both"/>
        <w:rPr>
          <w:rFonts w:ascii="Arial" w:hAnsi="Arial" w:cs="Arial"/>
          <w:bCs/>
          <w:sz w:val="24"/>
          <w:szCs w:val="24"/>
        </w:rPr>
      </w:pPr>
      <w:r w:rsidRPr="00221C13">
        <w:rPr>
          <w:rFonts w:ascii="Arial" w:hAnsi="Arial" w:cs="Arial"/>
          <w:bCs/>
          <w:sz w:val="24"/>
          <w:szCs w:val="24"/>
        </w:rPr>
        <w:t>The below action plan can support the above recommendations:</w:t>
      </w:r>
    </w:p>
    <w:tbl>
      <w:tblPr>
        <w:tblStyle w:val="GridTable2-Accent5"/>
        <w:tblW w:w="9356" w:type="dxa"/>
        <w:tblLayout w:type="fixed"/>
        <w:tblLook w:val="04A0" w:firstRow="1" w:lastRow="0" w:firstColumn="1" w:lastColumn="0" w:noHBand="0" w:noVBand="1"/>
      </w:tblPr>
      <w:tblGrid>
        <w:gridCol w:w="2410"/>
        <w:gridCol w:w="2126"/>
        <w:gridCol w:w="1276"/>
        <w:gridCol w:w="1418"/>
        <w:gridCol w:w="992"/>
        <w:gridCol w:w="1134"/>
      </w:tblGrid>
      <w:tr w:rsidR="00097655" w:rsidRPr="00683ED3" w:rsidTr="00626A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rsidR="00097655" w:rsidRPr="00683ED3" w:rsidRDefault="00097655" w:rsidP="00626A99">
            <w:pPr>
              <w:jc w:val="both"/>
              <w:rPr>
                <w:rFonts w:ascii="Arial" w:hAnsi="Arial" w:cs="Arial"/>
                <w:bCs w:val="0"/>
              </w:rPr>
            </w:pPr>
            <w:r w:rsidRPr="00683ED3">
              <w:rPr>
                <w:rFonts w:ascii="Arial" w:hAnsi="Arial" w:cs="Arial"/>
                <w:bCs w:val="0"/>
              </w:rPr>
              <w:t>Action</w:t>
            </w:r>
          </w:p>
        </w:tc>
        <w:tc>
          <w:tcPr>
            <w:tcW w:w="2126" w:type="dxa"/>
          </w:tcPr>
          <w:p w:rsidR="00097655" w:rsidRPr="00683ED3" w:rsidRDefault="00097655" w:rsidP="00626A99">
            <w:pPr>
              <w:jc w:val="both"/>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683ED3">
              <w:rPr>
                <w:rFonts w:ascii="Arial" w:hAnsi="Arial" w:cs="Arial"/>
                <w:bCs w:val="0"/>
              </w:rPr>
              <w:t>Outcome</w:t>
            </w:r>
          </w:p>
        </w:tc>
        <w:tc>
          <w:tcPr>
            <w:tcW w:w="1276" w:type="dxa"/>
          </w:tcPr>
          <w:p w:rsidR="00097655" w:rsidRPr="00683ED3" w:rsidRDefault="00097655" w:rsidP="00626A99">
            <w:pPr>
              <w:jc w:val="both"/>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683ED3">
              <w:rPr>
                <w:rFonts w:ascii="Arial" w:hAnsi="Arial" w:cs="Arial"/>
                <w:bCs w:val="0"/>
              </w:rPr>
              <w:t>Account-able</w:t>
            </w:r>
          </w:p>
        </w:tc>
        <w:tc>
          <w:tcPr>
            <w:tcW w:w="1418" w:type="dxa"/>
          </w:tcPr>
          <w:p w:rsidR="00097655" w:rsidRPr="00683ED3" w:rsidRDefault="00097655" w:rsidP="00626A99">
            <w:pPr>
              <w:jc w:val="both"/>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683ED3">
              <w:rPr>
                <w:rFonts w:ascii="Arial" w:hAnsi="Arial" w:cs="Arial"/>
                <w:bCs w:val="0"/>
              </w:rPr>
              <w:t>Success measure</w:t>
            </w:r>
          </w:p>
        </w:tc>
        <w:tc>
          <w:tcPr>
            <w:tcW w:w="992" w:type="dxa"/>
          </w:tcPr>
          <w:p w:rsidR="00097655" w:rsidRPr="00683ED3" w:rsidRDefault="00097655" w:rsidP="00626A99">
            <w:pPr>
              <w:jc w:val="both"/>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683ED3">
              <w:rPr>
                <w:rFonts w:ascii="Arial" w:hAnsi="Arial" w:cs="Arial"/>
                <w:bCs w:val="0"/>
              </w:rPr>
              <w:t>Target Date</w:t>
            </w:r>
          </w:p>
        </w:tc>
        <w:tc>
          <w:tcPr>
            <w:tcW w:w="1134" w:type="dxa"/>
          </w:tcPr>
          <w:p w:rsidR="00097655" w:rsidRPr="00683ED3" w:rsidRDefault="00097655" w:rsidP="00626A99">
            <w:pPr>
              <w:jc w:val="both"/>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683ED3">
              <w:rPr>
                <w:rFonts w:ascii="Arial" w:hAnsi="Arial" w:cs="Arial"/>
                <w:bCs w:val="0"/>
              </w:rPr>
              <w:t>Cost</w:t>
            </w:r>
          </w:p>
        </w:tc>
      </w:tr>
      <w:tr w:rsidR="00097655" w:rsidRPr="00683ED3"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rsidR="00097655" w:rsidRPr="00683ED3" w:rsidRDefault="00097655" w:rsidP="00626A99">
            <w:pPr>
              <w:jc w:val="both"/>
              <w:rPr>
                <w:rFonts w:ascii="Arial" w:hAnsi="Arial" w:cs="Arial"/>
              </w:rPr>
            </w:pPr>
            <w:r w:rsidRPr="00683ED3">
              <w:rPr>
                <w:rFonts w:ascii="Arial" w:hAnsi="Arial" w:cs="Arial"/>
                <w:b w:val="0"/>
                <w:bCs w:val="0"/>
              </w:rPr>
              <w:t xml:space="preserve">Organise workshops with all employees to consider how they could contribute personally and within a team to make improvements. </w:t>
            </w:r>
          </w:p>
          <w:p w:rsidR="00097655" w:rsidRPr="00683ED3" w:rsidRDefault="00097655" w:rsidP="00626A99">
            <w:pPr>
              <w:jc w:val="both"/>
              <w:rPr>
                <w:rFonts w:ascii="Arial" w:hAnsi="Arial" w:cs="Arial"/>
              </w:rPr>
            </w:pPr>
          </w:p>
          <w:p w:rsidR="00097655" w:rsidRPr="00683ED3" w:rsidRDefault="00097655" w:rsidP="00626A99">
            <w:pPr>
              <w:jc w:val="both"/>
              <w:rPr>
                <w:rFonts w:ascii="Arial" w:hAnsi="Arial" w:cs="Arial"/>
                <w:b w:val="0"/>
                <w:bCs w:val="0"/>
              </w:rPr>
            </w:pPr>
            <w:r w:rsidRPr="00683ED3">
              <w:rPr>
                <w:rFonts w:ascii="Arial" w:hAnsi="Arial" w:cs="Arial"/>
                <w:b w:val="0"/>
                <w:bCs w:val="0"/>
              </w:rPr>
              <w:t>Within which, create and issue self-evaluation surveys which are based on meaningful work, supportive management, positive work environment, growth opportunity and trust in leadership (Deloitte, 2017, p.55)</w:t>
            </w:r>
          </w:p>
        </w:tc>
        <w:tc>
          <w:tcPr>
            <w:tcW w:w="2126"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Recommendations</w:t>
            </w:r>
          </w:p>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1 and 2</w:t>
            </w:r>
          </w:p>
        </w:tc>
        <w:tc>
          <w:tcPr>
            <w:tcW w:w="1276"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Senior HR Advisors, HR Manager</w:t>
            </w:r>
          </w:p>
        </w:tc>
        <w:tc>
          <w:tcPr>
            <w:tcW w:w="1418"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Attendance and feedback from 100% of employees</w:t>
            </w:r>
          </w:p>
        </w:tc>
        <w:tc>
          <w:tcPr>
            <w:tcW w:w="992"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July 2018</w:t>
            </w:r>
          </w:p>
        </w:tc>
        <w:tc>
          <w:tcPr>
            <w:tcW w:w="1134"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Staff time</w:t>
            </w:r>
          </w:p>
        </w:tc>
      </w:tr>
      <w:tr w:rsidR="00097655" w:rsidRPr="00683ED3" w:rsidTr="00626A99">
        <w:tc>
          <w:tcPr>
            <w:cnfStyle w:val="001000000000" w:firstRow="0" w:lastRow="0" w:firstColumn="1" w:lastColumn="0" w:oddVBand="0" w:evenVBand="0" w:oddHBand="0" w:evenHBand="0" w:firstRowFirstColumn="0" w:firstRowLastColumn="0" w:lastRowFirstColumn="0" w:lastRowLastColumn="0"/>
            <w:tcW w:w="2410" w:type="dxa"/>
          </w:tcPr>
          <w:p w:rsidR="00097655" w:rsidRPr="00683ED3" w:rsidRDefault="00097655" w:rsidP="00626A99">
            <w:pPr>
              <w:jc w:val="both"/>
              <w:rPr>
                <w:rFonts w:ascii="Arial" w:hAnsi="Arial" w:cs="Arial"/>
                <w:b w:val="0"/>
                <w:bCs w:val="0"/>
              </w:rPr>
            </w:pPr>
            <w:r w:rsidRPr="00683ED3">
              <w:rPr>
                <w:rFonts w:ascii="Arial" w:hAnsi="Arial" w:cs="Arial"/>
                <w:b w:val="0"/>
                <w:bCs w:val="0"/>
              </w:rPr>
              <w:t xml:space="preserve">Analyse and measure the results of the above workshops, </w:t>
            </w:r>
            <w:r w:rsidRPr="00683ED3">
              <w:rPr>
                <w:rFonts w:ascii="Arial" w:hAnsi="Arial" w:cs="Arial"/>
                <w:b w:val="0"/>
                <w:bCs w:val="0"/>
              </w:rPr>
              <w:lastRenderedPageBreak/>
              <w:t>creating actionable items that inform the strategic plan</w:t>
            </w:r>
          </w:p>
        </w:tc>
        <w:tc>
          <w:tcPr>
            <w:tcW w:w="2126"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683ED3">
              <w:rPr>
                <w:rFonts w:ascii="Arial" w:hAnsi="Arial" w:cs="Arial"/>
                <w:bCs/>
              </w:rPr>
              <w:lastRenderedPageBreak/>
              <w:t xml:space="preserve">Recommendations </w:t>
            </w:r>
          </w:p>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683ED3">
              <w:rPr>
                <w:rFonts w:ascii="Arial" w:hAnsi="Arial" w:cs="Arial"/>
                <w:bCs/>
              </w:rPr>
              <w:t>1 and 2</w:t>
            </w:r>
          </w:p>
        </w:tc>
        <w:tc>
          <w:tcPr>
            <w:tcW w:w="1276"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683ED3">
              <w:rPr>
                <w:rFonts w:ascii="Arial" w:hAnsi="Arial" w:cs="Arial"/>
                <w:bCs/>
              </w:rPr>
              <w:t>All HR team:</w:t>
            </w:r>
          </w:p>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683ED3">
              <w:rPr>
                <w:rFonts w:ascii="Arial" w:hAnsi="Arial" w:cs="Arial"/>
                <w:bCs/>
              </w:rPr>
              <w:t xml:space="preserve">*HR </w:t>
            </w:r>
            <w:r w:rsidRPr="00683ED3">
              <w:rPr>
                <w:rFonts w:ascii="Arial" w:hAnsi="Arial" w:cs="Arial"/>
                <w:bCs/>
              </w:rPr>
              <w:lastRenderedPageBreak/>
              <w:t xml:space="preserve">admin – data input </w:t>
            </w:r>
          </w:p>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683ED3">
              <w:rPr>
                <w:rFonts w:ascii="Arial" w:hAnsi="Arial" w:cs="Arial"/>
                <w:bCs/>
              </w:rPr>
              <w:t>*HR Advisor and Snr HR Advisor: Regional analysis</w:t>
            </w:r>
          </w:p>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683ED3">
              <w:rPr>
                <w:rFonts w:ascii="Arial" w:hAnsi="Arial" w:cs="Arial"/>
                <w:bCs/>
              </w:rPr>
              <w:t>*HR Manager and Director: Company analysis and creation of an action plan</w:t>
            </w:r>
          </w:p>
        </w:tc>
        <w:tc>
          <w:tcPr>
            <w:tcW w:w="1418"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683ED3">
              <w:rPr>
                <w:rFonts w:ascii="Arial" w:hAnsi="Arial" w:cs="Arial"/>
                <w:bCs/>
              </w:rPr>
              <w:lastRenderedPageBreak/>
              <w:t xml:space="preserve">Timely completion of input and </w:t>
            </w:r>
            <w:r w:rsidRPr="00683ED3">
              <w:rPr>
                <w:rFonts w:ascii="Arial" w:hAnsi="Arial" w:cs="Arial"/>
                <w:bCs/>
              </w:rPr>
              <w:lastRenderedPageBreak/>
              <w:t xml:space="preserve">action items </w:t>
            </w:r>
          </w:p>
        </w:tc>
        <w:tc>
          <w:tcPr>
            <w:tcW w:w="992"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683ED3">
              <w:rPr>
                <w:rFonts w:ascii="Arial" w:hAnsi="Arial" w:cs="Arial"/>
                <w:bCs/>
              </w:rPr>
              <w:lastRenderedPageBreak/>
              <w:t>Oct 2018</w:t>
            </w:r>
          </w:p>
        </w:tc>
        <w:tc>
          <w:tcPr>
            <w:tcW w:w="1134"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683ED3">
              <w:rPr>
                <w:rFonts w:ascii="Arial" w:hAnsi="Arial" w:cs="Arial"/>
                <w:bCs/>
              </w:rPr>
              <w:t xml:space="preserve">Staff time, any initiative </w:t>
            </w:r>
            <w:r w:rsidRPr="00683ED3">
              <w:rPr>
                <w:rFonts w:ascii="Arial" w:hAnsi="Arial" w:cs="Arial"/>
                <w:bCs/>
              </w:rPr>
              <w:lastRenderedPageBreak/>
              <w:t>idea costs</w:t>
            </w:r>
          </w:p>
        </w:tc>
      </w:tr>
      <w:tr w:rsidR="00097655" w:rsidRPr="00683ED3"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rsidR="00097655" w:rsidRPr="00683ED3" w:rsidRDefault="00097655" w:rsidP="00626A99">
            <w:pPr>
              <w:jc w:val="both"/>
              <w:rPr>
                <w:rFonts w:ascii="Arial" w:hAnsi="Arial" w:cs="Arial"/>
                <w:b w:val="0"/>
                <w:bCs w:val="0"/>
              </w:rPr>
            </w:pPr>
            <w:r w:rsidRPr="00683ED3">
              <w:rPr>
                <w:rFonts w:ascii="Arial" w:hAnsi="Arial" w:cs="Arial"/>
                <w:b w:val="0"/>
                <w:bCs w:val="0"/>
              </w:rPr>
              <w:lastRenderedPageBreak/>
              <w:t xml:space="preserve">Recruit a marketing manager to focus on employee brand, or upskill and second an existing employee </w:t>
            </w:r>
          </w:p>
        </w:tc>
        <w:tc>
          <w:tcPr>
            <w:tcW w:w="2126"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Recommendation 3</w:t>
            </w:r>
          </w:p>
        </w:tc>
        <w:tc>
          <w:tcPr>
            <w:tcW w:w="1276"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HR Manager</w:t>
            </w:r>
          </w:p>
        </w:tc>
        <w:tc>
          <w:tcPr>
            <w:tcW w:w="1418"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Marketing manager in place by February 2017</w:t>
            </w:r>
          </w:p>
        </w:tc>
        <w:tc>
          <w:tcPr>
            <w:tcW w:w="992"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Feb  2017</w:t>
            </w:r>
          </w:p>
        </w:tc>
        <w:tc>
          <w:tcPr>
            <w:tcW w:w="1134"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683ED3">
              <w:rPr>
                <w:rFonts w:ascii="Arial" w:hAnsi="Arial" w:cs="Arial"/>
                <w:bCs/>
              </w:rPr>
              <w:t>Advertising, salary, recruitment time</w:t>
            </w:r>
          </w:p>
        </w:tc>
      </w:tr>
      <w:tr w:rsidR="00097655" w:rsidRPr="00683ED3" w:rsidTr="00626A99">
        <w:tc>
          <w:tcPr>
            <w:cnfStyle w:val="001000000000" w:firstRow="0" w:lastRow="0" w:firstColumn="1" w:lastColumn="0" w:oddVBand="0" w:evenVBand="0" w:oddHBand="0" w:evenHBand="0" w:firstRowFirstColumn="0" w:firstRowLastColumn="0" w:lastRowFirstColumn="0" w:lastRowLastColumn="0"/>
            <w:tcW w:w="2410" w:type="dxa"/>
          </w:tcPr>
          <w:p w:rsidR="00097655" w:rsidRPr="00683ED3" w:rsidRDefault="00097655" w:rsidP="00626A99">
            <w:pPr>
              <w:jc w:val="both"/>
              <w:rPr>
                <w:rFonts w:ascii="Arial" w:hAnsi="Arial" w:cs="Arial"/>
                <w:b w:val="0"/>
              </w:rPr>
            </w:pPr>
            <w:r w:rsidRPr="00683ED3">
              <w:rPr>
                <w:rFonts w:ascii="Arial" w:hAnsi="Arial" w:cs="Arial"/>
                <w:b w:val="0"/>
              </w:rPr>
              <w:t>Liaise with Carval to discuss self-service options such as office access or an app.</w:t>
            </w:r>
          </w:p>
          <w:p w:rsidR="00097655" w:rsidRPr="00683ED3" w:rsidRDefault="00097655" w:rsidP="00626A99">
            <w:pPr>
              <w:jc w:val="both"/>
              <w:rPr>
                <w:rFonts w:ascii="Arial" w:hAnsi="Arial" w:cs="Arial"/>
                <w:b w:val="0"/>
              </w:rPr>
            </w:pPr>
          </w:p>
          <w:p w:rsidR="00097655" w:rsidRPr="00683ED3" w:rsidRDefault="00097655" w:rsidP="00626A99">
            <w:pPr>
              <w:jc w:val="both"/>
              <w:rPr>
                <w:rFonts w:ascii="Arial" w:hAnsi="Arial" w:cs="Arial"/>
              </w:rPr>
            </w:pPr>
            <w:r w:rsidRPr="00683ED3">
              <w:rPr>
                <w:rFonts w:ascii="Arial" w:hAnsi="Arial" w:cs="Arial"/>
                <w:b w:val="0"/>
              </w:rPr>
              <w:t>Train employees in self-service.</w:t>
            </w:r>
          </w:p>
        </w:tc>
        <w:tc>
          <w:tcPr>
            <w:tcW w:w="2126"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83ED3">
              <w:rPr>
                <w:rFonts w:ascii="Arial" w:hAnsi="Arial" w:cs="Arial"/>
              </w:rPr>
              <w:t>Recommendation 4</w:t>
            </w:r>
          </w:p>
        </w:tc>
        <w:tc>
          <w:tcPr>
            <w:tcW w:w="1276"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83ED3">
              <w:rPr>
                <w:rFonts w:ascii="Arial" w:hAnsi="Arial" w:cs="Arial"/>
              </w:rPr>
              <w:t>IT dept.</w:t>
            </w:r>
          </w:p>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83ED3">
              <w:rPr>
                <w:rFonts w:ascii="Arial" w:hAnsi="Arial" w:cs="Arial"/>
              </w:rPr>
              <w:t>Training dept.</w:t>
            </w:r>
          </w:p>
        </w:tc>
        <w:tc>
          <w:tcPr>
            <w:tcW w:w="1418"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83ED3">
              <w:rPr>
                <w:rFonts w:ascii="Arial" w:hAnsi="Arial" w:cs="Arial"/>
              </w:rPr>
              <w:t>Carval self service  implemented</w:t>
            </w:r>
          </w:p>
        </w:tc>
        <w:tc>
          <w:tcPr>
            <w:tcW w:w="992"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83ED3">
              <w:rPr>
                <w:rFonts w:ascii="Arial" w:hAnsi="Arial" w:cs="Arial"/>
              </w:rPr>
              <w:t>May 2018</w:t>
            </w:r>
          </w:p>
        </w:tc>
        <w:tc>
          <w:tcPr>
            <w:tcW w:w="1134" w:type="dxa"/>
          </w:tcPr>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683ED3">
              <w:rPr>
                <w:rFonts w:ascii="Arial" w:hAnsi="Arial" w:cs="Arial"/>
              </w:rPr>
              <w:t xml:space="preserve">Costings to be provided by Carval. </w:t>
            </w:r>
          </w:p>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rsidR="00097655" w:rsidRPr="00683ED3" w:rsidRDefault="00097655" w:rsidP="00626A99">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97655" w:rsidRPr="00683ED3" w:rsidTr="00626A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rsidR="00097655" w:rsidRPr="00683ED3" w:rsidRDefault="00097655" w:rsidP="00626A99">
            <w:pPr>
              <w:jc w:val="both"/>
              <w:rPr>
                <w:rFonts w:ascii="Arial" w:hAnsi="Arial" w:cs="Arial"/>
                <w:b w:val="0"/>
              </w:rPr>
            </w:pPr>
            <w:r w:rsidRPr="00683ED3">
              <w:rPr>
                <w:rFonts w:ascii="Arial" w:hAnsi="Arial" w:cs="Arial"/>
                <w:b w:val="0"/>
              </w:rPr>
              <w:t>Review HR policies and strategy to ensure they consider correct workforce trends and are flexible in their approach</w:t>
            </w:r>
          </w:p>
        </w:tc>
        <w:tc>
          <w:tcPr>
            <w:tcW w:w="2126"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83ED3">
              <w:rPr>
                <w:rFonts w:ascii="Arial" w:hAnsi="Arial" w:cs="Arial"/>
              </w:rPr>
              <w:t>Recommendation 5</w:t>
            </w:r>
          </w:p>
        </w:tc>
        <w:tc>
          <w:tcPr>
            <w:tcW w:w="1276"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83ED3">
              <w:rPr>
                <w:rFonts w:ascii="Arial" w:hAnsi="Arial" w:cs="Arial"/>
              </w:rPr>
              <w:t>Senior HR Advisors, Operational managers</w:t>
            </w:r>
          </w:p>
        </w:tc>
        <w:tc>
          <w:tcPr>
            <w:tcW w:w="1418"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83ED3">
              <w:rPr>
                <w:rFonts w:ascii="Arial" w:hAnsi="Arial" w:cs="Arial"/>
              </w:rPr>
              <w:t>Policies are reviewed in a timely manner, changes communicated</w:t>
            </w:r>
          </w:p>
        </w:tc>
        <w:tc>
          <w:tcPr>
            <w:tcW w:w="992"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83ED3">
              <w:rPr>
                <w:rFonts w:ascii="Arial" w:hAnsi="Arial" w:cs="Arial"/>
              </w:rPr>
              <w:t>April 2018</w:t>
            </w:r>
          </w:p>
        </w:tc>
        <w:tc>
          <w:tcPr>
            <w:tcW w:w="1134" w:type="dxa"/>
          </w:tcPr>
          <w:p w:rsidR="00097655" w:rsidRPr="00683ED3" w:rsidRDefault="00097655" w:rsidP="00626A9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683ED3">
              <w:rPr>
                <w:rFonts w:ascii="Arial" w:hAnsi="Arial" w:cs="Arial"/>
              </w:rPr>
              <w:t>Staff time</w:t>
            </w:r>
          </w:p>
        </w:tc>
      </w:tr>
    </w:tbl>
    <w:p w:rsidR="00097655" w:rsidRPr="00221C13" w:rsidRDefault="00097655" w:rsidP="00097655">
      <w:pPr>
        <w:jc w:val="both"/>
        <w:rPr>
          <w:rFonts w:ascii="Arial" w:hAnsi="Arial" w:cs="Arial"/>
          <w:bCs/>
          <w:sz w:val="24"/>
          <w:szCs w:val="24"/>
        </w:rPr>
      </w:pPr>
    </w:p>
    <w:p w:rsidR="00097655" w:rsidRPr="00221C13" w:rsidRDefault="00097655" w:rsidP="00097655">
      <w:pPr>
        <w:jc w:val="both"/>
        <w:rPr>
          <w:rFonts w:ascii="Arial" w:hAnsi="Arial" w:cs="Arial"/>
          <w:bCs/>
          <w:sz w:val="24"/>
          <w:szCs w:val="24"/>
        </w:rPr>
      </w:pPr>
    </w:p>
    <w:p w:rsidR="00097655" w:rsidRPr="00221C13" w:rsidRDefault="00097655" w:rsidP="00097655">
      <w:pPr>
        <w:jc w:val="both"/>
        <w:rPr>
          <w:rFonts w:ascii="Arial" w:hAnsi="Arial" w:cs="Arial"/>
          <w:bCs/>
          <w:sz w:val="24"/>
          <w:szCs w:val="24"/>
        </w:rPr>
      </w:pPr>
    </w:p>
    <w:p w:rsidR="00097655" w:rsidRPr="00221C13" w:rsidRDefault="00097655" w:rsidP="00097655">
      <w:pPr>
        <w:jc w:val="both"/>
        <w:rPr>
          <w:rFonts w:ascii="Arial" w:hAnsi="Arial" w:cs="Arial"/>
          <w:bCs/>
          <w:sz w:val="24"/>
          <w:szCs w:val="24"/>
        </w:rPr>
      </w:pPr>
    </w:p>
    <w:p w:rsidR="00097655" w:rsidRPr="00221C13" w:rsidRDefault="00097655" w:rsidP="00097655">
      <w:pPr>
        <w:jc w:val="both"/>
        <w:rPr>
          <w:rFonts w:ascii="Arial" w:hAnsi="Arial" w:cs="Arial"/>
          <w:bCs/>
          <w:sz w:val="24"/>
          <w:szCs w:val="24"/>
        </w:rPr>
      </w:pPr>
    </w:p>
    <w:p w:rsidR="00097655" w:rsidRPr="00221C13" w:rsidRDefault="00097655" w:rsidP="00097655">
      <w:pPr>
        <w:jc w:val="both"/>
        <w:rPr>
          <w:rFonts w:ascii="Arial" w:hAnsi="Arial" w:cs="Arial"/>
          <w:bCs/>
          <w:sz w:val="24"/>
          <w:szCs w:val="24"/>
        </w:rPr>
      </w:pPr>
    </w:p>
    <w:sectPr w:rsidR="00097655" w:rsidRPr="00221C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9E7A8E"/>
    <w:multiLevelType w:val="hybridMultilevel"/>
    <w:tmpl w:val="D08297EA"/>
    <w:lvl w:ilvl="0" w:tplc="6C76461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861970"/>
    <w:multiLevelType w:val="hybridMultilevel"/>
    <w:tmpl w:val="3746E6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2C491F"/>
    <w:multiLevelType w:val="hybridMultilevel"/>
    <w:tmpl w:val="C3ECD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F73E64"/>
    <w:multiLevelType w:val="hybridMultilevel"/>
    <w:tmpl w:val="A920A28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655"/>
    <w:rsid w:val="00097655"/>
    <w:rsid w:val="003324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3EEE5"/>
  <w15:chartTrackingRefBased/>
  <w15:docId w15:val="{944A1AE4-4D78-4943-AF3E-4E5F2F84F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7655"/>
  </w:style>
  <w:style w:type="paragraph" w:styleId="Heading1">
    <w:name w:val="heading 1"/>
    <w:basedOn w:val="Normal"/>
    <w:next w:val="Normal"/>
    <w:link w:val="Heading1Char"/>
    <w:uiPriority w:val="9"/>
    <w:qFormat/>
    <w:rsid w:val="000976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65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97655"/>
    <w:pPr>
      <w:ind w:left="720"/>
      <w:contextualSpacing/>
    </w:pPr>
    <w:rPr>
      <w:rFonts w:eastAsiaTheme="minorEastAsia"/>
      <w:lang w:eastAsia="en-GB"/>
    </w:rPr>
  </w:style>
  <w:style w:type="paragraph" w:styleId="TOCHeading">
    <w:name w:val="TOC Heading"/>
    <w:basedOn w:val="Heading1"/>
    <w:next w:val="Normal"/>
    <w:uiPriority w:val="39"/>
    <w:semiHidden/>
    <w:unhideWhenUsed/>
    <w:qFormat/>
    <w:rsid w:val="00097655"/>
    <w:pPr>
      <w:outlineLvl w:val="9"/>
    </w:pPr>
    <w:rPr>
      <w:lang w:val="en-US" w:eastAsia="ja-JP"/>
    </w:rPr>
  </w:style>
  <w:style w:type="paragraph" w:styleId="TOC1">
    <w:name w:val="toc 1"/>
    <w:basedOn w:val="Normal"/>
    <w:next w:val="Normal"/>
    <w:autoRedefine/>
    <w:uiPriority w:val="39"/>
    <w:unhideWhenUsed/>
    <w:rsid w:val="00097655"/>
    <w:pPr>
      <w:spacing w:after="100"/>
    </w:pPr>
  </w:style>
  <w:style w:type="character" w:styleId="Hyperlink">
    <w:name w:val="Hyperlink"/>
    <w:basedOn w:val="DefaultParagraphFont"/>
    <w:uiPriority w:val="99"/>
    <w:unhideWhenUsed/>
    <w:rsid w:val="00097655"/>
    <w:rPr>
      <w:color w:val="0000FF" w:themeColor="hyperlink"/>
      <w:u w:val="single"/>
    </w:rPr>
  </w:style>
  <w:style w:type="table" w:styleId="TableGrid">
    <w:name w:val="Table Grid"/>
    <w:basedOn w:val="TableNormal"/>
    <w:uiPriority w:val="59"/>
    <w:rsid w:val="00097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5">
    <w:name w:val="Light Shading Accent 5"/>
    <w:basedOn w:val="TableNormal"/>
    <w:uiPriority w:val="60"/>
    <w:rsid w:val="0009765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idTable2-Accent5">
    <w:name w:val="Grid Table 2 Accent 5"/>
    <w:basedOn w:val="TableNormal"/>
    <w:uiPriority w:val="47"/>
    <w:rsid w:val="00097655"/>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5">
    <w:name w:val="Grid Table 6 Colorful Accent 5"/>
    <w:basedOn w:val="TableNormal"/>
    <w:uiPriority w:val="51"/>
    <w:rsid w:val="00097655"/>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1Light-Accent5">
    <w:name w:val="Grid Table 1 Light Accent 5"/>
    <w:basedOn w:val="TableNormal"/>
    <w:uiPriority w:val="46"/>
    <w:rsid w:val="00097655"/>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3530</Words>
  <Characters>20126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Rees</dc:creator>
  <cp:keywords/>
  <dc:description/>
  <cp:lastModifiedBy>David Rees</cp:lastModifiedBy>
  <cp:revision>1</cp:revision>
  <dcterms:created xsi:type="dcterms:W3CDTF">2017-12-08T18:53:00Z</dcterms:created>
  <dcterms:modified xsi:type="dcterms:W3CDTF">2017-12-08T18:53:00Z</dcterms:modified>
</cp:coreProperties>
</file>