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8AF3A98" w14:textId="1C793B13" w:rsidR="00D85F4A" w:rsidRPr="00732DA0" w:rsidRDefault="00732DA0" w:rsidP="00732DA0">
      <w:pPr>
        <w:jc w:val="center"/>
        <w:rPr>
          <w:u w:val="single"/>
        </w:rPr>
      </w:pPr>
      <w:r w:rsidRPr="00732DA0">
        <w:rPr>
          <w:u w:val="single"/>
        </w:rPr>
        <w:t xml:space="preserve">ECEY5004 - </w:t>
      </w:r>
      <w:r w:rsidR="002401AA" w:rsidRPr="00732DA0">
        <w:rPr>
          <w:u w:val="single"/>
        </w:rPr>
        <w:t>Literacy and language</w:t>
      </w:r>
    </w:p>
    <w:p w14:paraId="309A6523" w14:textId="516C9320" w:rsidR="00FD0CC7" w:rsidRDefault="0051236B">
      <w:pPr>
        <w:rPr>
          <w:b/>
          <w:bCs/>
        </w:rPr>
      </w:pPr>
      <w:r>
        <w:rPr>
          <w:b/>
          <w:bCs/>
        </w:rPr>
        <w:t xml:space="preserve">I confirm </w:t>
      </w:r>
      <w:r w:rsidR="00857E12">
        <w:rPr>
          <w:b/>
          <w:bCs/>
        </w:rPr>
        <w:t xml:space="preserve">that I have not used any AI tools in the research and creation of this assignment. I confirm </w:t>
      </w:r>
      <w:r w:rsidR="00980013">
        <w:rPr>
          <w:b/>
          <w:bCs/>
        </w:rPr>
        <w:t xml:space="preserve">that I have </w:t>
      </w:r>
      <w:r w:rsidR="00CC0842">
        <w:rPr>
          <w:b/>
          <w:bCs/>
        </w:rPr>
        <w:t xml:space="preserve">not presented any </w:t>
      </w:r>
      <w:r w:rsidR="00973BA8">
        <w:rPr>
          <w:b/>
          <w:bCs/>
        </w:rPr>
        <w:t>AI-generated</w:t>
      </w:r>
      <w:r w:rsidR="00CC0842">
        <w:rPr>
          <w:b/>
          <w:bCs/>
        </w:rPr>
        <w:t xml:space="preserve"> materials </w:t>
      </w:r>
      <w:r w:rsidR="00F43FF9">
        <w:rPr>
          <w:b/>
          <w:bCs/>
        </w:rPr>
        <w:t xml:space="preserve">as my own work. I confirm </w:t>
      </w:r>
      <w:r w:rsidR="00A44302">
        <w:rPr>
          <w:b/>
          <w:bCs/>
        </w:rPr>
        <w:t xml:space="preserve">I have copies of my drafts, notes and other resources </w:t>
      </w:r>
      <w:r w:rsidR="00973BA8">
        <w:rPr>
          <w:b/>
          <w:bCs/>
        </w:rPr>
        <w:t xml:space="preserve">I used, which I may be asked to provide </w:t>
      </w:r>
      <w:r w:rsidR="000E720A">
        <w:rPr>
          <w:b/>
          <w:bCs/>
        </w:rPr>
        <w:t>as</w:t>
      </w:r>
      <w:r w:rsidR="00973BA8">
        <w:rPr>
          <w:b/>
          <w:bCs/>
        </w:rPr>
        <w:t xml:space="preserve"> evidence.</w:t>
      </w:r>
    </w:p>
    <w:p w14:paraId="55F0DEB1" w14:textId="77777777" w:rsidR="000E720A" w:rsidRDefault="000E720A">
      <w:pPr>
        <w:rPr>
          <w:b/>
          <w:bCs/>
        </w:rPr>
      </w:pPr>
    </w:p>
    <w:p w14:paraId="40202AB3" w14:textId="77777777" w:rsidR="000E720A" w:rsidRPr="000E720A" w:rsidRDefault="000E720A">
      <w:pPr>
        <w:rPr>
          <w:b/>
          <w:bCs/>
        </w:rPr>
      </w:pPr>
    </w:p>
    <w:p w14:paraId="7146FD53" w14:textId="05454DA5" w:rsidR="002401AA" w:rsidRPr="00732DA0" w:rsidRDefault="002401AA">
      <w:pPr>
        <w:rPr>
          <w:b/>
          <w:bCs/>
          <w:u w:val="single"/>
        </w:rPr>
      </w:pPr>
      <w:r w:rsidRPr="00732DA0">
        <w:rPr>
          <w:b/>
          <w:bCs/>
          <w:u w:val="single"/>
        </w:rPr>
        <w:t>Part 1</w:t>
      </w:r>
    </w:p>
    <w:p w14:paraId="555422AF" w14:textId="1B3EAB8F" w:rsidR="000E0118" w:rsidRDefault="000E0118">
      <w:pPr>
        <w:rPr>
          <w:b/>
          <w:bCs/>
        </w:rPr>
      </w:pPr>
      <w:r>
        <w:rPr>
          <w:b/>
          <w:bCs/>
        </w:rPr>
        <w:t>Traditional Story – Room on the Broom</w:t>
      </w:r>
      <w:r w:rsidR="00F329DB">
        <w:rPr>
          <w:b/>
          <w:bCs/>
        </w:rPr>
        <w:t xml:space="preserve"> – 7:39</w:t>
      </w:r>
    </w:p>
    <w:p w14:paraId="2437A1DE" w14:textId="77777777" w:rsidR="00D85F4A" w:rsidRPr="00A73E0C" w:rsidRDefault="00D85F4A" w:rsidP="00D85F4A">
      <w:hyperlink r:id="rId7" w:history="1">
        <w:r w:rsidRPr="00A73E0C">
          <w:rPr>
            <w:rStyle w:val="Hyperlink"/>
          </w:rPr>
          <w:t>https://uowtsd-my.sharepoint.com/:v:/g/personal/2520856_student_uwtsd_ac_uk/IQAm1zWnOUkOQpU9eQUiCzacAWUc9SUJOBet5uDU_DUUp9M</w:t>
        </w:r>
      </w:hyperlink>
    </w:p>
    <w:p w14:paraId="0836B33F" w14:textId="77777777" w:rsidR="000E2A2F" w:rsidRPr="00D85F4A" w:rsidRDefault="000E2A2F" w:rsidP="00D85F4A">
      <w:pPr>
        <w:rPr>
          <w:b/>
          <w:bCs/>
        </w:rPr>
      </w:pPr>
    </w:p>
    <w:p w14:paraId="7CE9B295" w14:textId="5C094951" w:rsidR="00D85F4A" w:rsidRDefault="00556677">
      <w:pPr>
        <w:rPr>
          <w:b/>
          <w:bCs/>
        </w:rPr>
      </w:pPr>
      <w:r>
        <w:rPr>
          <w:b/>
          <w:bCs/>
        </w:rPr>
        <w:t>Digital component – We’re going on a bear hunt</w:t>
      </w:r>
      <w:r w:rsidR="00F329DB">
        <w:rPr>
          <w:b/>
          <w:bCs/>
        </w:rPr>
        <w:t xml:space="preserve"> </w:t>
      </w:r>
      <w:r w:rsidR="00CC490B">
        <w:rPr>
          <w:b/>
          <w:bCs/>
        </w:rPr>
        <w:t>–</w:t>
      </w:r>
      <w:r w:rsidR="00F329DB">
        <w:rPr>
          <w:b/>
          <w:bCs/>
        </w:rPr>
        <w:t xml:space="preserve"> </w:t>
      </w:r>
      <w:r w:rsidR="00CC490B">
        <w:rPr>
          <w:b/>
          <w:bCs/>
        </w:rPr>
        <w:t>7:24</w:t>
      </w:r>
    </w:p>
    <w:p w14:paraId="0FAE7DF2" w14:textId="77777777" w:rsidR="00A73E0C" w:rsidRPr="00A73E0C" w:rsidRDefault="00A73E0C" w:rsidP="00A73E0C">
      <w:hyperlink r:id="rId8" w:history="1">
        <w:r w:rsidRPr="00A73E0C">
          <w:rPr>
            <w:rStyle w:val="Hyperlink"/>
          </w:rPr>
          <w:t>https://uowtsd-my.sharepoint.com/:v:/g/personal/2520856_student_uwtsd_ac_uk/IQAvZJM4icSZTpfCXqHLdnn1AeB2GXZdjyDH_UiqG2YjtFY</w:t>
        </w:r>
      </w:hyperlink>
    </w:p>
    <w:p w14:paraId="1206833A" w14:textId="17F712D9" w:rsidR="001A18D0" w:rsidRDefault="00A15D9A" w:rsidP="00732DA0">
      <w:hyperlink r:id="rId9" w:history="1">
        <w:r w:rsidRPr="00A15D9A">
          <w:rPr>
            <w:rStyle w:val="Hyperlink"/>
          </w:rPr>
          <w:t>https://1drv.ms/p/c/29953c7e983e6a0b/IQDVnew0uDHXQon5dy_JDFKmAc1MoMSvO00mC3pHUqwJCfg?e=SLYU19</w:t>
        </w:r>
      </w:hyperlink>
    </w:p>
    <w:p w14:paraId="7F255514" w14:textId="77777777" w:rsidR="009778C1" w:rsidRDefault="009778C1"/>
    <w:p w14:paraId="594DD4A9" w14:textId="77777777" w:rsidR="00732DA0" w:rsidRDefault="00732DA0"/>
    <w:p w14:paraId="5134DAB3" w14:textId="77777777" w:rsidR="00F346D3" w:rsidRDefault="00F346D3"/>
    <w:p w14:paraId="49FB25EC" w14:textId="77777777" w:rsidR="00F346D3" w:rsidRDefault="00F346D3"/>
    <w:p w14:paraId="3EB0E851" w14:textId="77777777" w:rsidR="00F346D3" w:rsidRDefault="00F346D3"/>
    <w:p w14:paraId="14ECD31F" w14:textId="77777777" w:rsidR="00F346D3" w:rsidRDefault="00F346D3"/>
    <w:p w14:paraId="34F15656" w14:textId="77777777" w:rsidR="00F346D3" w:rsidRDefault="00F346D3"/>
    <w:p w14:paraId="2A478AC6" w14:textId="77777777" w:rsidR="00F346D3" w:rsidRDefault="00F346D3"/>
    <w:p w14:paraId="3E4631D5" w14:textId="77777777" w:rsidR="00F346D3" w:rsidRDefault="00F346D3"/>
    <w:p w14:paraId="631D1FD4" w14:textId="77777777" w:rsidR="00F346D3" w:rsidRDefault="00F346D3"/>
    <w:p w14:paraId="0EF8C4D1" w14:textId="77777777" w:rsidR="00F346D3" w:rsidRDefault="00F346D3"/>
    <w:p w14:paraId="2A1FE79B" w14:textId="77777777" w:rsidR="00F346D3" w:rsidRDefault="00F346D3"/>
    <w:p w14:paraId="4B83A910" w14:textId="77777777" w:rsidR="00F346D3" w:rsidRDefault="00F346D3"/>
    <w:p w14:paraId="48F7A349" w14:textId="77777777" w:rsidR="00F346D3" w:rsidRDefault="00F346D3"/>
    <w:p w14:paraId="3832D90E" w14:textId="77777777" w:rsidR="00F346D3" w:rsidRDefault="00F346D3"/>
    <w:p w14:paraId="1C412B24" w14:textId="66BAFDA7" w:rsidR="009778C1" w:rsidRPr="00732DA0" w:rsidRDefault="009778C1">
      <w:pPr>
        <w:rPr>
          <w:b/>
          <w:bCs/>
          <w:u w:val="single"/>
        </w:rPr>
      </w:pPr>
      <w:r w:rsidRPr="00732DA0">
        <w:rPr>
          <w:b/>
          <w:bCs/>
          <w:u w:val="single"/>
        </w:rPr>
        <w:lastRenderedPageBreak/>
        <w:t>Part 2</w:t>
      </w:r>
    </w:p>
    <w:p w14:paraId="5A8E78D1" w14:textId="77777777" w:rsidR="00EE50AC" w:rsidRPr="00187CFD" w:rsidRDefault="00EE50AC">
      <w:pPr>
        <w:rPr>
          <w:b/>
          <w:bCs/>
        </w:rPr>
      </w:pPr>
      <w:r w:rsidRPr="00187CFD">
        <w:rPr>
          <w:b/>
          <w:bCs/>
        </w:rPr>
        <w:t>Introduction</w:t>
      </w:r>
    </w:p>
    <w:p w14:paraId="415A26A8" w14:textId="77777777" w:rsidR="00F346D3" w:rsidRPr="00CD2BFC" w:rsidRDefault="00F346D3" w:rsidP="00F346D3">
      <w:r w:rsidRPr="00CD2BFC">
        <w:t xml:space="preserve">Speech and language development </w:t>
      </w:r>
      <w:r>
        <w:t>supports children’s ability to communicate, express emotions and develop</w:t>
      </w:r>
      <w:r w:rsidRPr="00CD2BFC">
        <w:t xml:space="preserve"> literacy skills. From birth to seven years, children develop their communication abilities through social interaction, listening, play and exposure to spoken and written language. Storytelling provides valuable opportunities to support this development by introducing vocabulary, narrative structures, </w:t>
      </w:r>
      <w:r>
        <w:t xml:space="preserve">and </w:t>
      </w:r>
      <w:r w:rsidRPr="00CD2BFC">
        <w:t xml:space="preserve">characters. Vygotsky’s (1978) sociocultural theory emphasises the importance of social interaction and adult guidance in learning, while Bruner (1986) highlights how narratives help individuals organise and interpret experiences. Storytelling can be delivered traditionally through oral narration and physical books or digitally through electronic books, animations and recorded narratives. Both approaches can support children’s learning when appropriately implemented. This essay critically examines three storytelling techniques: eye contact, facial expressions and props. It explores their contributions to oracy, emergent literacy and emotional development, considering relevant theories </w:t>
      </w:r>
      <w:r>
        <w:t>and reflection.</w:t>
      </w:r>
    </w:p>
    <w:p w14:paraId="18C95A19" w14:textId="77777777" w:rsidR="001F68C0" w:rsidRDefault="001F68C0"/>
    <w:p w14:paraId="55E27A6C" w14:textId="2AB3B69E" w:rsidR="007A76C9" w:rsidRDefault="007A76C9">
      <w:pPr>
        <w:rPr>
          <w:b/>
          <w:bCs/>
        </w:rPr>
      </w:pPr>
      <w:r w:rsidRPr="007A76C9">
        <w:rPr>
          <w:b/>
          <w:bCs/>
        </w:rPr>
        <w:t>Main Body</w:t>
      </w:r>
    </w:p>
    <w:p w14:paraId="5EB24B4D" w14:textId="6E11B1E7" w:rsidR="007A76C9" w:rsidRPr="007A76C9" w:rsidRDefault="007A76C9">
      <w:pPr>
        <w:rPr>
          <w:b/>
          <w:bCs/>
          <w:u w:val="single"/>
        </w:rPr>
      </w:pPr>
      <w:r w:rsidRPr="007A76C9">
        <w:rPr>
          <w:b/>
          <w:bCs/>
          <w:u w:val="single"/>
        </w:rPr>
        <w:t>Eye contact</w:t>
      </w:r>
    </w:p>
    <w:p w14:paraId="1EABBC16" w14:textId="6EEC77F6" w:rsidR="004A78A4" w:rsidRPr="00AF3D33" w:rsidRDefault="004A78A4" w:rsidP="004A78A4">
      <w:r w:rsidRPr="00AF3D33">
        <w:t xml:space="preserve">Eye contact is an important storytelling technique that can encourage engagement and communication. During both </w:t>
      </w:r>
      <w:r w:rsidR="00576A36">
        <w:t xml:space="preserve">traditional and digital </w:t>
      </w:r>
      <w:r w:rsidRPr="00AF3D33">
        <w:t xml:space="preserve">storytelling approaches, the storyteller </w:t>
      </w:r>
      <w:r>
        <w:t>made eye contact with</w:t>
      </w:r>
      <w:r w:rsidRPr="00AF3D33">
        <w:t xml:space="preserve"> the children when introducing characters, emphasising words and asking questions. This help</w:t>
      </w:r>
      <w:r w:rsidR="006253CB">
        <w:t>s</w:t>
      </w:r>
      <w:r w:rsidRPr="00AF3D33">
        <w:t xml:space="preserve"> establish a connection and </w:t>
      </w:r>
      <w:r w:rsidR="006253CB">
        <w:t>encourages</w:t>
      </w:r>
      <w:r w:rsidRPr="00AF3D33">
        <w:t xml:space="preserve"> participation. Combined with open-ended questions</w:t>
      </w:r>
      <w:r w:rsidR="00B2011B">
        <w:t xml:space="preserve">, </w:t>
      </w:r>
      <w:r w:rsidRPr="00AF3D33">
        <w:t>eye contact can create opportunities for children to predict events and explain their i</w:t>
      </w:r>
      <w:r w:rsidR="006253CB">
        <w:t>deas</w:t>
      </w:r>
      <w:r w:rsidRPr="00AF3D33">
        <w:t>, supporting oracy, listening and turn-taking.</w:t>
      </w:r>
      <w:r w:rsidR="0081560B">
        <w:t xml:space="preserve"> </w:t>
      </w:r>
      <w:r w:rsidRPr="00AF3D33">
        <w:t xml:space="preserve">The storyteller used eye contact in both traditional and digital storytelling. During traditional storytelling, </w:t>
      </w:r>
      <w:r w:rsidR="005B4BCB">
        <w:t>eye contact can support</w:t>
      </w:r>
      <w:r w:rsidRPr="00AF3D33">
        <w:t xml:space="preserve"> direct interaction and </w:t>
      </w:r>
      <w:r w:rsidR="005B4BCB">
        <w:t>help</w:t>
      </w:r>
      <w:r w:rsidRPr="00AF3D33">
        <w:t xml:space="preserve"> the storyteller respond to children's reactions. In digital storytelling, eye contact</w:t>
      </w:r>
      <w:r w:rsidR="005B4BCB">
        <w:t xml:space="preserve"> can be less effective as it is</w:t>
      </w:r>
      <w:r w:rsidRPr="00AF3D33">
        <w:t xml:space="preserve"> accompanied </w:t>
      </w:r>
      <w:r w:rsidR="005B4BCB">
        <w:t xml:space="preserve">by </w:t>
      </w:r>
      <w:r w:rsidRPr="00AF3D33">
        <w:t>visual elements on the screen</w:t>
      </w:r>
      <w:r w:rsidR="009D2C6E">
        <w:t>.</w:t>
      </w:r>
      <w:r w:rsidRPr="00AF3D33">
        <w:t xml:space="preserve"> </w:t>
      </w:r>
      <w:r w:rsidR="009D2C6E">
        <w:t>These</w:t>
      </w:r>
      <w:r w:rsidRPr="00AF3D33">
        <w:t xml:space="preserve"> may have competed for children's attention. Both approaches </w:t>
      </w:r>
      <w:r w:rsidR="009D2C6E">
        <w:t>offer</w:t>
      </w:r>
      <w:r w:rsidRPr="00AF3D33">
        <w:t xml:space="preserve"> opportunities to support listening and comprehension, but their effectiveness depend</w:t>
      </w:r>
      <w:r w:rsidR="009D2C6E">
        <w:t>s</w:t>
      </w:r>
      <w:r w:rsidRPr="00AF3D33">
        <w:t xml:space="preserve"> on how the storyteller balance</w:t>
      </w:r>
      <w:r w:rsidR="009D2C6E">
        <w:t>s</w:t>
      </w:r>
      <w:r w:rsidRPr="00AF3D33">
        <w:t xml:space="preserve"> questioning, visual engagement and participation.</w:t>
      </w:r>
    </w:p>
    <w:p w14:paraId="777E51CF" w14:textId="350023D2" w:rsidR="004A78A4" w:rsidRPr="00AF3D33" w:rsidRDefault="004A78A4" w:rsidP="004A78A4">
      <w:r w:rsidRPr="00AF3D33">
        <w:t>Whitehurst et al. (1988) demonstrated the value of dialogic reading, which encourages children to participate actively rather than simply listen. Questions and opportunities to respond can help develop vocabulary and expressive language. Oral language also provides a foundation for understanding written texts and developing literacy (Snow, Burns and Griffin, 1998). However, this research supports interactive reading rather than proving that eye contact alone improves language development.</w:t>
      </w:r>
      <w:r w:rsidR="00C51E5C">
        <w:t xml:space="preserve"> Eye contact needs other literacy techniques to make an affective impression.</w:t>
      </w:r>
      <w:r w:rsidR="0081560B">
        <w:t xml:space="preserve"> </w:t>
      </w:r>
      <w:r w:rsidRPr="00AF3D33">
        <w:t>Vygotsky’s (1978) sociocultural theory helps explain how storytelling supports learning through interaction and adult guidance. His concept of the zone of proximal development describes what children can achieve with appropriate support beyond their independent abilities. By observing children's responses, the storyteller can adapt questions or provide prompts to develop understanding. This demonstrates how responsive interaction can support learning, although eye contact alone does not guarantee progress.</w:t>
      </w:r>
    </w:p>
    <w:p w14:paraId="029110AC" w14:textId="0B9323BE" w:rsidR="004A78A4" w:rsidRPr="00AF3D33" w:rsidRDefault="004A78A4" w:rsidP="004A78A4">
      <w:r w:rsidRPr="00AF3D33">
        <w:lastRenderedPageBreak/>
        <w:t>Storytelling can also develop emergent literacy by connecting spoken language with illustrations, characters and events. Bruner (1986) highlights the importance of narrative in making sense of experiences. Additionally, Wood, Bruner and Ross (1976) explain how scaffolding supports children's acquisition of new skills. Through questions, gestures and explanations, storytellers can introduce vocabulary and narrative structures that children may later use when retelling stories or developing their own writing.</w:t>
      </w:r>
      <w:r w:rsidR="00D5630F">
        <w:t xml:space="preserve"> </w:t>
      </w:r>
      <w:r w:rsidR="00244976">
        <w:t>T</w:t>
      </w:r>
      <w:r w:rsidRPr="00AF3D33">
        <w:t>he effectiveness of storytelling techniques varies between children. Interactive storytelling offers opportunities for discussion, while traditional reading may provide greater exposure to continuous narratives and rich vocabulary. Noble et al. (2020) found that interactive reading interventions did not significantly improve children's language skills beyond an active reading control condition, demonstrating that interaction does not automatically produce better outcomes. Furthermore, some children, including some autistic children, may find direct eye contact uncomfortable. Engagement should therefore also be recognised through listening, observing illustrations and responding verbally or non-verbally.</w:t>
      </w:r>
    </w:p>
    <w:p w14:paraId="5FB48C7E" w14:textId="77777777" w:rsidR="00425026" w:rsidRDefault="00425026"/>
    <w:p w14:paraId="371A168D" w14:textId="6B87CC6F" w:rsidR="00656605" w:rsidRPr="007A76C9" w:rsidRDefault="007A76C9">
      <w:pPr>
        <w:rPr>
          <w:b/>
          <w:bCs/>
          <w:u w:val="single"/>
        </w:rPr>
      </w:pPr>
      <w:r>
        <w:rPr>
          <w:b/>
          <w:bCs/>
          <w:u w:val="single"/>
        </w:rPr>
        <w:t>Facial Expressions</w:t>
      </w:r>
    </w:p>
    <w:p w14:paraId="6F586D1C" w14:textId="77777777" w:rsidR="008177BB" w:rsidRPr="008177BB" w:rsidRDefault="008177BB" w:rsidP="008177BB">
      <w:r w:rsidRPr="008177BB">
        <w:t>Facial expressions are an important storytelling technique that supports children's language development, emotional understanding and engagement. Storytellers use expressions such as smiling, frowning, widening their eyes and showing surprise to communicate characters' feelings and emphasise important events. These expressions help children interpret emotions that may not be explicitly described in the text (LaForge et al., 2018).</w:t>
      </w:r>
    </w:p>
    <w:p w14:paraId="53F13E77" w14:textId="6AAE54A1" w:rsidR="008A03D3" w:rsidRPr="008A03D3" w:rsidRDefault="008A03D3" w:rsidP="008A03D3">
      <w:r w:rsidRPr="008A03D3">
        <w:t>The storyteller used facial expressions during both traditional and digital storytelling. However, more expressions were used during the traditional story, as the children’s attention appeared to focus more closely on the storyteller and the book rather than a screen. Smiling, widening their eyes, frowning and showing surprise helped bring the characters to life and made their emotions easier to recognise. These expressions also emphasised important events within the narrative, helping children understand how characters might feel in different situations. For example, displaying a frightened expression when describing a character encountering danger could help children associate the emotion with the events taking place. This creates opportunities for practitioners to introduce emotional vocabulary</w:t>
      </w:r>
      <w:r w:rsidR="003B742D">
        <w:t xml:space="preserve"> </w:t>
      </w:r>
      <w:r w:rsidRPr="008A03D3">
        <w:t>while encouraging children to discuss their own interpretations.</w:t>
      </w:r>
    </w:p>
    <w:p w14:paraId="68F63358" w14:textId="2D005C0F" w:rsidR="008A03D3" w:rsidRPr="008A03D3" w:rsidRDefault="008A03D3" w:rsidP="008A03D3">
      <w:r w:rsidRPr="008A03D3">
        <w:t xml:space="preserve">During digital storytelling, the children’s attention appeared to be divided between the storyteller and the screen. Consequently, the storyteller’s facial expressions may have been less noticeable, particularly when animations, colourful illustrations or other visual effects attracted the children’s attention. However, digital storytelling can also communicate emotions effectively through animated characters, facial movements and changes in visual presentation. Lwin (2016) highlights the potential value of combining visual and verbal communication during oral storytelling to support vocabulary learning. This suggests that facial expressions can reinforce spoken language and help children interpret meaning. </w:t>
      </w:r>
      <w:r w:rsidR="00A83479">
        <w:t>Practitioners</w:t>
      </w:r>
      <w:r w:rsidRPr="008A03D3">
        <w:t xml:space="preserve"> should not rely solely on expressions, as children may interpret them differently. Explaining characters’ feelings, asking questions and encouraging discussion can help develop children’s emotional understanding, listening skills and narrative comprehension.</w:t>
      </w:r>
    </w:p>
    <w:p w14:paraId="3A4563F3" w14:textId="372B5829" w:rsidR="008177BB" w:rsidRPr="008177BB" w:rsidRDefault="008177BB" w:rsidP="008177BB">
      <w:r w:rsidRPr="008177BB">
        <w:t xml:space="preserve">Facial expressions can support oracy by helping children interpret emotions, develop listening skills and participate in discussions. For example, a frightened expression may encourage </w:t>
      </w:r>
      <w:r w:rsidRPr="008177BB">
        <w:lastRenderedPageBreak/>
        <w:t xml:space="preserve">children to identify why a character feels scared. This creates opportunities to develop emotional vocabulary, including words such as </w:t>
      </w:r>
      <w:r w:rsidRPr="008177BB">
        <w:rPr>
          <w:i/>
          <w:iCs/>
        </w:rPr>
        <w:t>anxious</w:t>
      </w:r>
      <w:r w:rsidRPr="008177BB">
        <w:t xml:space="preserve">, </w:t>
      </w:r>
      <w:r w:rsidRPr="008177BB">
        <w:rPr>
          <w:i/>
          <w:iCs/>
        </w:rPr>
        <w:t>excited</w:t>
      </w:r>
      <w:r w:rsidRPr="008177BB">
        <w:t xml:space="preserve"> and </w:t>
      </w:r>
      <w:r w:rsidRPr="008177BB">
        <w:rPr>
          <w:i/>
          <w:iCs/>
        </w:rPr>
        <w:t>disappointed</w:t>
      </w:r>
      <w:r w:rsidRPr="008177BB">
        <w:t>. Children can also practise expressing ideas and interpreting others' feelings, supporting communication and social interaction (LaForge et al., 2018).</w:t>
      </w:r>
    </w:p>
    <w:p w14:paraId="13182B3C" w14:textId="571C2451" w:rsidR="008177BB" w:rsidRPr="008177BB" w:rsidRDefault="008177BB" w:rsidP="008177BB">
      <w:r w:rsidRPr="008177BB">
        <w:t xml:space="preserve">Bandura's (1977) social learning theory suggests that children learn by observing and imitating others. When storytellers demonstrate happiness, sadness or anger through facial expressions, children can observe these cues and practise recognising or expressing similar emotions. This may support emotional literacy and understanding of behaviour. </w:t>
      </w:r>
      <w:r w:rsidR="003B0C6B">
        <w:t>C</w:t>
      </w:r>
      <w:r w:rsidRPr="008177BB">
        <w:t>hildren do not always interpret expressions identically, so modelling should be supported by explanations and discussion</w:t>
      </w:r>
      <w:r w:rsidR="000519E3">
        <w:t>.</w:t>
      </w:r>
    </w:p>
    <w:p w14:paraId="213F6674" w14:textId="77777777" w:rsidR="008177BB" w:rsidRPr="008177BB" w:rsidRDefault="008177BB" w:rsidP="008177BB">
      <w:r w:rsidRPr="008177BB">
        <w:t>Facial expressions can also contribute to reading and writing development. Understanding characters' emotions helps children interpret plots, motivations and relationships. This can support story retelling, vocabulary development and the creation of their own narratives. Lwin (2016) explored how facial expressions, gestures and vocal changes during oral storytelling can support vocabulary learning, highlighting the value of combining visual and verbal communication. However, facial expressions alone cannot develop literacy; children also need opportunities to discuss stories, practise vocabulary and create narratives.</w:t>
      </w:r>
    </w:p>
    <w:p w14:paraId="0FDBB017" w14:textId="0C63CEA4" w:rsidR="00425026" w:rsidRDefault="002269F3">
      <w:r>
        <w:t>Facial</w:t>
      </w:r>
      <w:r w:rsidR="008177BB" w:rsidRPr="008177BB">
        <w:t xml:space="preserve"> expressions may operate differently across storytelling approaches. Traditional storytelling allows the storyteller to adapt expressions immediately to children's reactions, encouraging direct interaction. Digital storytelling may include animations and illustrations that communicate emotions effectively, although screen content can distract children from the storyteller. Neither approach is automatically superior, as effectiveness depends on delivery and children's individual needs. Some children may also find subtle expressions difficult to interpret, making explicit explanations particularly important (Lwin, 2016).</w:t>
      </w:r>
    </w:p>
    <w:p w14:paraId="6CD7EB38" w14:textId="77777777" w:rsidR="002006F1" w:rsidRDefault="002006F1"/>
    <w:p w14:paraId="5F6C8DC7" w14:textId="1D7A44A6" w:rsidR="006011DB" w:rsidRPr="006F3F1A" w:rsidRDefault="006F3F1A">
      <w:pPr>
        <w:rPr>
          <w:b/>
          <w:bCs/>
          <w:u w:val="single"/>
        </w:rPr>
      </w:pPr>
      <w:r>
        <w:rPr>
          <w:b/>
          <w:bCs/>
          <w:u w:val="single"/>
        </w:rPr>
        <w:t>Props</w:t>
      </w:r>
    </w:p>
    <w:p w14:paraId="3DF57DD2" w14:textId="3C43985A" w:rsidR="00FE7134" w:rsidRPr="00925262" w:rsidRDefault="00FE7134" w:rsidP="00FE7134">
      <w:r w:rsidRPr="00925262">
        <w:t>Props are valuable storytelling resources that can support children's language development, imagination and engagement. Props may include puppets, soft toys, objects, costumes or items representing characters and events.</w:t>
      </w:r>
      <w:r w:rsidR="002778EB">
        <w:t xml:space="preserve"> </w:t>
      </w:r>
      <w:r w:rsidRPr="00925262">
        <w:t>During storytelling, the storyteller can show or manipulate props to illustrate important moments, helping children connect spoken language with tangible objects. These resources can make stories more meaningful and encourage active participation (Massey, 2013).</w:t>
      </w:r>
    </w:p>
    <w:p w14:paraId="6F245FD6" w14:textId="7373ACF3" w:rsidR="00AD3612" w:rsidRDefault="00AD3612" w:rsidP="00FE7134">
      <w:r w:rsidRPr="00AD3612">
        <w:t>The storyteller used props in both traditional and digital storytelling, although their presentation and impact on children’s engagement may differ. During traditional storytelling, physical objects can be shown to the children, allowing them to see, touch</w:t>
      </w:r>
      <w:r>
        <w:t>,</w:t>
      </w:r>
      <w:r w:rsidRPr="00AD3612">
        <w:t xml:space="preserve"> and potentially handle items related to the story. For example, puppets, soft toys, costumes and everyday objects can represent characters or important events, helping children make connections between spoken language and familiar experiences.</w:t>
      </w:r>
      <w:r w:rsidR="00F30582">
        <w:t xml:space="preserve"> In this case</w:t>
      </w:r>
      <w:r w:rsidR="003729E8">
        <w:t>,</w:t>
      </w:r>
      <w:r w:rsidR="00536779">
        <w:t xml:space="preserve"> there were soft toys and costume items used.</w:t>
      </w:r>
      <w:r w:rsidRPr="00AD3612">
        <w:t xml:space="preserve"> These resources may encourage curiosity and active participation, as children can examine the objects and use them to recreate scenes from the narrative. In digital storytelling, props may appear as images, animations or interactive objects on a screen. </w:t>
      </w:r>
      <w:r w:rsidR="00963C7C">
        <w:t xml:space="preserve"> In this case, the storyteller created a PowerPoint to show different images. </w:t>
      </w:r>
      <w:r w:rsidRPr="00AD3612">
        <w:t xml:space="preserve">These digital representations can demonstrate movements, changes and events that may be difficult to reproduce in the classroom, potentially helping children visualise unfamiliar concepts. However, physical props provide </w:t>
      </w:r>
      <w:r w:rsidRPr="00AD3612">
        <w:lastRenderedPageBreak/>
        <w:t>sensory experiences that digital images cannot fully replicate. They also offer opportunities for imaginative play, collaborative discussion and hands-on exploration. Therefore, both approaches can support children’s understanding, vocabulary and engagement when props are selected carefully and used purposefully to reinforce the story’s meaning rather than distract from its content.</w:t>
      </w:r>
    </w:p>
    <w:p w14:paraId="33E41839" w14:textId="58988B49" w:rsidR="00FE7134" w:rsidRPr="00925262" w:rsidRDefault="00FE7134" w:rsidP="00FE7134">
      <w:r w:rsidRPr="00925262">
        <w:t>Props can support oracy by encouraging children to name objects, answer questions, describe characters and retell events. For example, using a puppet representing a story character may encourage children to explain what the character is doing or feeling. These interactions can develop vocabulary, listening skills and confidence in speaking. Massey (2013) highlights how combining storybook reading with guided play and props can encourage classroom conversations and support children's vocabulary and language comprehension.</w:t>
      </w:r>
    </w:p>
    <w:p w14:paraId="50820D7C" w14:textId="77777777" w:rsidR="00FE7134" w:rsidRPr="00925262" w:rsidRDefault="00FE7134" w:rsidP="00FE7134">
      <w:r w:rsidRPr="00925262">
        <w:t>Vygotsky’s (1978) sociocultural theory helps explain the benefits of props through the importance of social interaction and guided learning. When storytellers use objects to demonstrate events and ask questions, children can develop understanding with adult support. Props can also encourage imaginative play, allowing children to recreate scenes and explore different characters. This supports opportunities for collaborative learning and narrative development, although the quality of adult guidance remains important.</w:t>
      </w:r>
    </w:p>
    <w:p w14:paraId="1F24BC82" w14:textId="2DD31F9E" w:rsidR="002E2ECA" w:rsidRDefault="00FE7134">
      <w:r w:rsidRPr="00925262">
        <w:t>Props may also support early reading and writing by helping children remember story sequences, understand characters and retell narratives. Stadler and Ward (2010) found that children using props during story retelling used more descriptive language, although props did not significantly improve every aspect of narrative structure or complexity. Children can also use props to inspire their own stories, practise sequencing events and develop ideas for writing. However, props should complement rather than replace exposure to books, print and written language.</w:t>
      </w:r>
      <w:r w:rsidR="00963C7C">
        <w:t xml:space="preserve"> </w:t>
      </w:r>
      <w:r w:rsidR="00144206">
        <w:t>P</w:t>
      </w:r>
      <w:r w:rsidRPr="00925262">
        <w:t>rops may affect traditional and digital storytelling differently. Physical props can provide hands-on experiences and encourage direct interaction, while digital objects may offer colourful animations and visual effects. However, physical objects can distract children if they focus on playing with them rather than listening. Digital content may also compete for attention or limit opportunities to manipulate objects. Neither approach is automatically superior; effectiveness depends on how props are used and whether they support the story's learning objectives.</w:t>
      </w:r>
    </w:p>
    <w:p w14:paraId="39D47628" w14:textId="77777777" w:rsidR="0061315D" w:rsidRDefault="0061315D"/>
    <w:p w14:paraId="58C708FA" w14:textId="48B5F1EB" w:rsidR="00963C7C" w:rsidRPr="006F3F1A" w:rsidRDefault="006F3F1A">
      <w:pPr>
        <w:rPr>
          <w:b/>
          <w:bCs/>
        </w:rPr>
      </w:pPr>
      <w:r>
        <w:rPr>
          <w:b/>
          <w:bCs/>
        </w:rPr>
        <w:t>Conclusion</w:t>
      </w:r>
    </w:p>
    <w:p w14:paraId="0A87A576" w14:textId="1BE7C12E" w:rsidR="0061315D" w:rsidRDefault="0061315D">
      <w:r w:rsidRPr="0061315D">
        <w:t>In conclusion, storytelling is an effective way to support children's speech, language and literacy development. Techniques such as eye contact, facial expressions and the use of props can make stories more engaging and encourage children to participate</w:t>
      </w:r>
      <w:r w:rsidR="00D57915">
        <w:t xml:space="preserve">. </w:t>
      </w:r>
      <w:r w:rsidRPr="0061315D">
        <w:t xml:space="preserve">These skills support vocabulary development, oracy, listening, emotional understanding and comprehension, while providing opportunities for children to develop their own storytelling and early writing skills. </w:t>
      </w:r>
      <w:r w:rsidR="00CA315B">
        <w:t xml:space="preserve">Although these skills are effective, it is not them alone that </w:t>
      </w:r>
      <w:r w:rsidR="00B57DDC">
        <w:t>engage</w:t>
      </w:r>
      <w:r w:rsidR="000C4F87">
        <w:t xml:space="preserve"> the child. A variety of different skills and techniques have a better outcome in </w:t>
      </w:r>
      <w:r w:rsidR="00B57DDC">
        <w:t>developing</w:t>
      </w:r>
      <w:r w:rsidR="000C4F87">
        <w:t xml:space="preserve"> a child’s literacy and language.</w:t>
      </w:r>
      <w:r w:rsidR="00B57DDC">
        <w:t xml:space="preserve"> </w:t>
      </w:r>
      <w:r w:rsidRPr="0061315D">
        <w:t xml:space="preserve">Vygotsky’s (1978) sociocultural theory highlights the importance of social interaction and adult guidance in children's learning. Comparing traditional and digital storytelling demonstrates that both approaches offer valuable learning opportunities, although their effectiveness depends on how the storyteller delivers the story and responds to children's needs. However, no single technique guarantees improved learning, and some children may </w:t>
      </w:r>
      <w:r w:rsidRPr="0061315D">
        <w:lastRenderedPageBreak/>
        <w:t>engage differently depending on their individual preferences. Overall, combining expressive storytelling, meaningful interaction and appropriate resources can create inclusive and stimulating experiences that support children's language, communication and literacy development.</w:t>
      </w:r>
    </w:p>
    <w:p w14:paraId="5BA68B0E" w14:textId="77777777" w:rsidR="00412144" w:rsidRDefault="00412144"/>
    <w:p w14:paraId="016C11DF" w14:textId="77777777" w:rsidR="008C3117" w:rsidRDefault="008C3117"/>
    <w:p w14:paraId="6AF3F279" w14:textId="77777777" w:rsidR="008C3117" w:rsidRDefault="008C3117"/>
    <w:p w14:paraId="35BCA173" w14:textId="77777777" w:rsidR="008C3117" w:rsidRDefault="008C3117"/>
    <w:p w14:paraId="0089192B" w14:textId="77777777" w:rsidR="008C3117" w:rsidRDefault="008C3117"/>
    <w:p w14:paraId="115211A1" w14:textId="77777777" w:rsidR="008C3117" w:rsidRDefault="008C3117"/>
    <w:p w14:paraId="51911AEB" w14:textId="77777777" w:rsidR="008C3117" w:rsidRDefault="008C3117"/>
    <w:p w14:paraId="305722FF" w14:textId="77777777" w:rsidR="008C3117" w:rsidRDefault="008C3117"/>
    <w:p w14:paraId="36E8E37E" w14:textId="77777777" w:rsidR="008C3117" w:rsidRDefault="008C3117"/>
    <w:p w14:paraId="1620743A" w14:textId="77777777" w:rsidR="008C3117" w:rsidRDefault="008C3117"/>
    <w:p w14:paraId="7F9EF75F" w14:textId="77777777" w:rsidR="008C3117" w:rsidRDefault="008C3117"/>
    <w:p w14:paraId="5A2561F3" w14:textId="77777777" w:rsidR="008C3117" w:rsidRDefault="008C3117"/>
    <w:p w14:paraId="0A10D891" w14:textId="77777777" w:rsidR="008C3117" w:rsidRDefault="008C3117"/>
    <w:p w14:paraId="12498FF4" w14:textId="77777777" w:rsidR="008C3117" w:rsidRDefault="008C3117"/>
    <w:p w14:paraId="29E44EBB" w14:textId="77777777" w:rsidR="008C3117" w:rsidRDefault="008C3117"/>
    <w:p w14:paraId="2E259C68" w14:textId="77777777" w:rsidR="008C3117" w:rsidRDefault="008C3117"/>
    <w:p w14:paraId="0BD54BEB" w14:textId="77777777" w:rsidR="008C3117" w:rsidRDefault="008C3117"/>
    <w:p w14:paraId="50957697" w14:textId="77777777" w:rsidR="008C3117" w:rsidRDefault="008C3117"/>
    <w:p w14:paraId="62147C8B" w14:textId="77777777" w:rsidR="008C3117" w:rsidRDefault="008C3117"/>
    <w:p w14:paraId="1C9FFD59" w14:textId="77777777" w:rsidR="008C3117" w:rsidRDefault="008C3117"/>
    <w:p w14:paraId="2B973E49" w14:textId="77777777" w:rsidR="008C3117" w:rsidRDefault="008C3117"/>
    <w:p w14:paraId="1E54F5B3" w14:textId="77777777" w:rsidR="008C3117" w:rsidRDefault="008C3117"/>
    <w:p w14:paraId="2F89FCC6" w14:textId="77777777" w:rsidR="008C3117" w:rsidRDefault="008C3117"/>
    <w:p w14:paraId="7AE97BD8" w14:textId="77777777" w:rsidR="008C3117" w:rsidRDefault="008C3117"/>
    <w:p w14:paraId="5DBEC555" w14:textId="77777777" w:rsidR="008C3117" w:rsidRDefault="008C3117"/>
    <w:p w14:paraId="2E981C82" w14:textId="77777777" w:rsidR="008C3117" w:rsidRDefault="008C3117"/>
    <w:p w14:paraId="03EBAFE0" w14:textId="77777777" w:rsidR="008C3117" w:rsidRDefault="008C3117"/>
    <w:p w14:paraId="7E8195CB" w14:textId="77777777" w:rsidR="008C3117" w:rsidRDefault="008C3117"/>
    <w:p w14:paraId="4CEA5BFA" w14:textId="210E507C" w:rsidR="006F24C5" w:rsidRPr="00390D81" w:rsidRDefault="00390D81" w:rsidP="006F24C5">
      <w:pPr>
        <w:rPr>
          <w:b/>
          <w:bCs/>
          <w:u w:val="single"/>
        </w:rPr>
      </w:pPr>
      <w:r w:rsidRPr="00390D81">
        <w:rPr>
          <w:b/>
          <w:bCs/>
          <w:u w:val="single"/>
        </w:rPr>
        <w:lastRenderedPageBreak/>
        <w:t>Reference List</w:t>
      </w:r>
    </w:p>
    <w:p w14:paraId="594446BE" w14:textId="77777777" w:rsidR="008C3117" w:rsidRPr="008C3117" w:rsidRDefault="008C3117" w:rsidP="008C3117">
      <w:r w:rsidRPr="008C3117">
        <w:t xml:space="preserve">Bandura, A. (1977) </w:t>
      </w:r>
      <w:r w:rsidRPr="008C3117">
        <w:rPr>
          <w:i/>
          <w:iCs/>
        </w:rPr>
        <w:t>Social learning theory</w:t>
      </w:r>
      <w:r w:rsidRPr="008C3117">
        <w:t>. Englewood Cliffs, NJ: Prentice-Hall.</w:t>
      </w:r>
    </w:p>
    <w:p w14:paraId="2B5AD7A4" w14:textId="77777777" w:rsidR="008C3117" w:rsidRPr="008C3117" w:rsidRDefault="008C3117" w:rsidP="008C3117">
      <w:r w:rsidRPr="008C3117">
        <w:t xml:space="preserve">Bruner, J. (1986) </w:t>
      </w:r>
      <w:r w:rsidRPr="008C3117">
        <w:rPr>
          <w:i/>
          <w:iCs/>
        </w:rPr>
        <w:t>Actual minds, possible worlds</w:t>
      </w:r>
      <w:r w:rsidRPr="008C3117">
        <w:t>. Cambridge, MA: Harvard University Press.</w:t>
      </w:r>
    </w:p>
    <w:p w14:paraId="570F88A4" w14:textId="77777777" w:rsidR="008C3117" w:rsidRPr="008C3117" w:rsidRDefault="008C3117" w:rsidP="008C3117">
      <w:r w:rsidRPr="008C3117">
        <w:t xml:space="preserve">Bus, A.G., van </w:t>
      </w:r>
      <w:proofErr w:type="spellStart"/>
      <w:r w:rsidRPr="008C3117">
        <w:t>IJzendoorn</w:t>
      </w:r>
      <w:proofErr w:type="spellEnd"/>
      <w:r w:rsidRPr="008C3117">
        <w:t xml:space="preserve">, M.H. and Pellegrini, A.D. (1995) ‘Joint book reading makes for success in learning to read: A meta-analysis on intergenerational transmission of literacy’, </w:t>
      </w:r>
      <w:r w:rsidRPr="008C3117">
        <w:rPr>
          <w:i/>
          <w:iCs/>
        </w:rPr>
        <w:t>Review of Educational Research</w:t>
      </w:r>
      <w:r w:rsidRPr="008C3117">
        <w:t>, 65(1), pp. 1–21. Available at: https://doi.org/10.3102/00346543065001001.</w:t>
      </w:r>
    </w:p>
    <w:p w14:paraId="09F9E229" w14:textId="39602615" w:rsidR="008C3117" w:rsidRPr="008C3117" w:rsidRDefault="008C3117" w:rsidP="008C3117">
      <w:r w:rsidRPr="008C3117">
        <w:t xml:space="preserve">LaForge, C., Perron, M., Roy-Charland, A., Roy, E.M. and Carignan, I. (2018) ‘Contributing to children’s early comprehension of emotions: A picture book approach’, </w:t>
      </w:r>
      <w:r w:rsidRPr="008C3117">
        <w:rPr>
          <w:i/>
          <w:iCs/>
        </w:rPr>
        <w:t xml:space="preserve">Canadian Journal of Education/Revue canadienne de </w:t>
      </w:r>
      <w:proofErr w:type="spellStart"/>
      <w:r w:rsidRPr="008C3117">
        <w:rPr>
          <w:i/>
          <w:iCs/>
        </w:rPr>
        <w:t>l’éducation</w:t>
      </w:r>
      <w:proofErr w:type="spellEnd"/>
      <w:r w:rsidRPr="008C3117">
        <w:t>, 41(1), pp. 301–328. Available at: https://cje-rce.ca/index.php/cje-rce/article/view/3181 (Accessed: 2</w:t>
      </w:r>
      <w:r w:rsidR="008D670B">
        <w:t>1</w:t>
      </w:r>
      <w:r w:rsidRPr="008C3117">
        <w:t xml:space="preserve"> October 2026).</w:t>
      </w:r>
    </w:p>
    <w:p w14:paraId="5265E58F" w14:textId="77777777" w:rsidR="008C3117" w:rsidRPr="008C3117" w:rsidRDefault="008C3117" w:rsidP="008C3117">
      <w:r w:rsidRPr="008C3117">
        <w:t xml:space="preserve">Lwin, S.M. (2016) ‘It’s story </w:t>
      </w:r>
      <w:proofErr w:type="gramStart"/>
      <w:r w:rsidRPr="008C3117">
        <w:t>time!:</w:t>
      </w:r>
      <w:proofErr w:type="gramEnd"/>
      <w:r w:rsidRPr="008C3117">
        <w:t xml:space="preserve"> Exploring the potential of multimodality in oral storytelling to support children’s vocabulary learning’, </w:t>
      </w:r>
      <w:r w:rsidRPr="008C3117">
        <w:rPr>
          <w:i/>
          <w:iCs/>
        </w:rPr>
        <w:t>Literacy</w:t>
      </w:r>
      <w:r w:rsidRPr="008C3117">
        <w:t>, 50(2), pp. 72–82. Available at: https://doi.org/10.1111/lit.12075.</w:t>
      </w:r>
    </w:p>
    <w:p w14:paraId="2A246E4D" w14:textId="77777777" w:rsidR="008C3117" w:rsidRPr="008C3117" w:rsidRDefault="008C3117" w:rsidP="008C3117">
      <w:r w:rsidRPr="008C3117">
        <w:t xml:space="preserve">Massey, S.L. (2013) ‘From the reading rug to the play </w:t>
      </w:r>
      <w:proofErr w:type="spellStart"/>
      <w:r w:rsidRPr="008C3117">
        <w:t>center</w:t>
      </w:r>
      <w:proofErr w:type="spellEnd"/>
      <w:r w:rsidRPr="008C3117">
        <w:t xml:space="preserve">: Enhancing vocabulary and comprehensive language skills by connecting storybook reading and guided play’, </w:t>
      </w:r>
      <w:r w:rsidRPr="008C3117">
        <w:rPr>
          <w:i/>
          <w:iCs/>
        </w:rPr>
        <w:t>Early Childhood Education Journal</w:t>
      </w:r>
      <w:r w:rsidRPr="008C3117">
        <w:t>, 41(2), pp. 125–131. Available at: https://doi.org/10.1007/s10643-012-0524-y.</w:t>
      </w:r>
    </w:p>
    <w:p w14:paraId="52A84129" w14:textId="77777777" w:rsidR="008C3117" w:rsidRPr="008C3117" w:rsidRDefault="008C3117" w:rsidP="008C3117">
      <w:r w:rsidRPr="008C3117">
        <w:t xml:space="preserve">Noble, C., Cameron-Faulkner, T., Jessop, A., Coates, A., Sawyer, H., Taylor-Ims, R. and Rowland, C.F. (2020) ‘The impact of interactive shared book reading on children’s language skills: A randomized controlled trial’, </w:t>
      </w:r>
      <w:r w:rsidRPr="008C3117">
        <w:rPr>
          <w:i/>
          <w:iCs/>
        </w:rPr>
        <w:t>Journal of Speech, Language, and Hearing Research</w:t>
      </w:r>
      <w:r w:rsidRPr="008C3117">
        <w:t>, 63(6), pp. 1878–1897. Available at: https://doi.org/10.1044/2020_JSLHR-19-00288.</w:t>
      </w:r>
    </w:p>
    <w:p w14:paraId="1BD89CC9" w14:textId="77777777" w:rsidR="008C3117" w:rsidRPr="008C3117" w:rsidRDefault="008C3117" w:rsidP="008C3117">
      <w:r w:rsidRPr="008C3117">
        <w:t xml:space="preserve">Snow, C.E., Burns, M.S. and Griffin, P. (eds.) (1998) </w:t>
      </w:r>
      <w:r w:rsidRPr="008C3117">
        <w:rPr>
          <w:i/>
          <w:iCs/>
        </w:rPr>
        <w:t>Preventing reading difficulties in young children</w:t>
      </w:r>
      <w:r w:rsidRPr="008C3117">
        <w:t>. Washington, DC: National Academy Press.</w:t>
      </w:r>
    </w:p>
    <w:p w14:paraId="60038B28" w14:textId="77777777" w:rsidR="008C3117" w:rsidRPr="008C3117" w:rsidRDefault="008C3117" w:rsidP="008C3117">
      <w:r w:rsidRPr="008C3117">
        <w:t xml:space="preserve">Stadler, M.A. and Ward, G.C. (2010) ‘The effect of props on story retells in the classroom’, </w:t>
      </w:r>
      <w:r w:rsidRPr="008C3117">
        <w:rPr>
          <w:i/>
          <w:iCs/>
        </w:rPr>
        <w:t>Reading Horizons: A Journal of Literacy and Language Arts</w:t>
      </w:r>
      <w:r w:rsidRPr="008C3117">
        <w:t>, 50(3), pp. 169–188. Available at: https://scholarworks.wmich.edu/reading_horizons/vol50/iss3/4 (Accessed: 24 October 2026).</w:t>
      </w:r>
    </w:p>
    <w:p w14:paraId="02FE69F5" w14:textId="77777777" w:rsidR="008C3117" w:rsidRPr="008C3117" w:rsidRDefault="008C3117" w:rsidP="008C3117">
      <w:r w:rsidRPr="008C3117">
        <w:t xml:space="preserve">Vygotsky, L.S. (1978) </w:t>
      </w:r>
      <w:r w:rsidRPr="008C3117">
        <w:rPr>
          <w:i/>
          <w:iCs/>
        </w:rPr>
        <w:t>Mind in society: The development of higher psychological processes</w:t>
      </w:r>
      <w:r w:rsidRPr="008C3117">
        <w:t xml:space="preserve">. Edited by M. Cole, V. John-Steiner, S. Scribner and E. </w:t>
      </w:r>
      <w:proofErr w:type="spellStart"/>
      <w:r w:rsidRPr="008C3117">
        <w:t>Souberman</w:t>
      </w:r>
      <w:proofErr w:type="spellEnd"/>
      <w:r w:rsidRPr="008C3117">
        <w:t>. Cambridge, MA: Harvard University Press.</w:t>
      </w:r>
    </w:p>
    <w:p w14:paraId="7533891C" w14:textId="77777777" w:rsidR="008C3117" w:rsidRPr="008C3117" w:rsidRDefault="008C3117" w:rsidP="008C3117">
      <w:r w:rsidRPr="008C3117">
        <w:t xml:space="preserve">Whitehurst, G.J., Falco, F.L., Lonigan, C.J., Fischel, J.E., </w:t>
      </w:r>
      <w:proofErr w:type="spellStart"/>
      <w:r w:rsidRPr="008C3117">
        <w:t>DeBaryshe</w:t>
      </w:r>
      <w:proofErr w:type="spellEnd"/>
      <w:r w:rsidRPr="008C3117">
        <w:t xml:space="preserve">, B.D., Valdez-Menchaca, M.C. and Caulfield, M. (1988) ‘Accelerating language development through picture book reading’, </w:t>
      </w:r>
      <w:r w:rsidRPr="008C3117">
        <w:rPr>
          <w:i/>
          <w:iCs/>
        </w:rPr>
        <w:t>Developmental Psychology</w:t>
      </w:r>
      <w:r w:rsidRPr="008C3117">
        <w:t>, 24(4), pp. 552–559. Available at: https://doi.org/10.1037/0012-1649.24.4.552.</w:t>
      </w:r>
    </w:p>
    <w:p w14:paraId="551FDE59" w14:textId="77777777" w:rsidR="008C3117" w:rsidRPr="008C3117" w:rsidRDefault="008C3117" w:rsidP="008C3117">
      <w:r w:rsidRPr="008C3117">
        <w:t xml:space="preserve">Wood, D., Bruner, J.S. and Ross, G. (1976) ‘The role of tutoring in problem solving’, </w:t>
      </w:r>
      <w:r w:rsidRPr="008C3117">
        <w:rPr>
          <w:i/>
          <w:iCs/>
        </w:rPr>
        <w:t>Journal of Child Psychology and Psychiatry</w:t>
      </w:r>
      <w:r w:rsidRPr="008C3117">
        <w:t>, 17(2), pp. 89–100. Available at: https://doi.org/10.1111/j.1469-7610.1976.tb00381.x.</w:t>
      </w:r>
    </w:p>
    <w:p w14:paraId="52B6B91B" w14:textId="77777777" w:rsidR="00390D81" w:rsidRPr="009E7DB0" w:rsidRDefault="00390D81" w:rsidP="006F24C5"/>
    <w:sectPr w:rsidR="00390D81" w:rsidRPr="009E7DB0">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02064BF" w14:textId="77777777" w:rsidR="00F5593D" w:rsidRDefault="00F5593D" w:rsidP="00111C4C">
      <w:pPr>
        <w:spacing w:after="0" w:line="240" w:lineRule="auto"/>
      </w:pPr>
      <w:r>
        <w:separator/>
      </w:r>
    </w:p>
  </w:endnote>
  <w:endnote w:type="continuationSeparator" w:id="0">
    <w:p w14:paraId="02A9615D" w14:textId="77777777" w:rsidR="00F5593D" w:rsidRDefault="00F5593D" w:rsidP="00111C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78854865"/>
      <w:docPartObj>
        <w:docPartGallery w:val="Page Numbers (Bottom of Page)"/>
        <w:docPartUnique/>
      </w:docPartObj>
    </w:sdtPr>
    <w:sdtEndPr>
      <w:rPr>
        <w:noProof/>
      </w:rPr>
    </w:sdtEndPr>
    <w:sdtContent>
      <w:p w14:paraId="60D634B0" w14:textId="443CA694" w:rsidR="00111C4C" w:rsidRDefault="00111C4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EA2CA13" w14:textId="77777777" w:rsidR="00111C4C" w:rsidRDefault="00111C4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E0F7C05" w14:textId="77777777" w:rsidR="00F5593D" w:rsidRDefault="00F5593D" w:rsidP="00111C4C">
      <w:pPr>
        <w:spacing w:after="0" w:line="240" w:lineRule="auto"/>
      </w:pPr>
      <w:r>
        <w:separator/>
      </w:r>
    </w:p>
  </w:footnote>
  <w:footnote w:type="continuationSeparator" w:id="0">
    <w:p w14:paraId="221BFD36" w14:textId="77777777" w:rsidR="00F5593D" w:rsidRDefault="00F5593D" w:rsidP="00111C4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76DA76C" w14:textId="1FEDBA19" w:rsidR="00111C4C" w:rsidRDefault="00111C4C">
    <w:pPr>
      <w:pStyle w:val="Header"/>
    </w:pPr>
    <w:r>
      <w:t xml:space="preserve">Student </w:t>
    </w:r>
    <w:r w:rsidR="00896CE2">
      <w:t>N</w:t>
    </w:r>
    <w:r>
      <w:t>umber: 2520856</w:t>
    </w:r>
  </w:p>
  <w:p w14:paraId="67C4CD1F" w14:textId="3E30C7EF" w:rsidR="00111C4C" w:rsidRDefault="00896CE2">
    <w:pPr>
      <w:pStyle w:val="Header"/>
    </w:pPr>
    <w:r>
      <w:t>Module code: ECEY5004</w:t>
    </w:r>
  </w:p>
  <w:p w14:paraId="026D2D48" w14:textId="16DE8E98" w:rsidR="00896CE2" w:rsidRDefault="00896CE2">
    <w:pPr>
      <w:pStyle w:val="Header"/>
    </w:pPr>
    <w:r>
      <w:t>Word Count:</w:t>
    </w:r>
    <w:r w:rsidR="00441B10">
      <w:t xml:space="preserve"> 1900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906217"/>
    <w:multiLevelType w:val="hybridMultilevel"/>
    <w:tmpl w:val="AEE64864"/>
    <w:lvl w:ilvl="0" w:tplc="AE2424C2">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B96F54"/>
    <w:multiLevelType w:val="hybridMultilevel"/>
    <w:tmpl w:val="BF96795A"/>
    <w:lvl w:ilvl="0" w:tplc="B322C9FE">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3276810"/>
    <w:multiLevelType w:val="multilevel"/>
    <w:tmpl w:val="12C218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C6A4748"/>
    <w:multiLevelType w:val="multilevel"/>
    <w:tmpl w:val="CC7646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531A5C24"/>
    <w:multiLevelType w:val="multilevel"/>
    <w:tmpl w:val="50FAEF6C"/>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95490564">
    <w:abstractNumId w:val="0"/>
  </w:num>
  <w:num w:numId="2" w16cid:durableId="1467316554">
    <w:abstractNumId w:val="1"/>
  </w:num>
  <w:num w:numId="3" w16cid:durableId="1179151475">
    <w:abstractNumId w:val="2"/>
  </w:num>
  <w:num w:numId="4" w16cid:durableId="252588594">
    <w:abstractNumId w:val="3"/>
  </w:num>
  <w:num w:numId="5" w16cid:durableId="113039418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6DD9"/>
    <w:rsid w:val="00013B8F"/>
    <w:rsid w:val="0003440F"/>
    <w:rsid w:val="000519E3"/>
    <w:rsid w:val="00074CC5"/>
    <w:rsid w:val="00086595"/>
    <w:rsid w:val="000915A6"/>
    <w:rsid w:val="00096FA1"/>
    <w:rsid w:val="000C3B3D"/>
    <w:rsid w:val="000C43D7"/>
    <w:rsid w:val="000C4F87"/>
    <w:rsid w:val="000D3B8D"/>
    <w:rsid w:val="000E0118"/>
    <w:rsid w:val="000E2A2F"/>
    <w:rsid w:val="000E720A"/>
    <w:rsid w:val="000F253C"/>
    <w:rsid w:val="00111C4C"/>
    <w:rsid w:val="001177E4"/>
    <w:rsid w:val="001258BA"/>
    <w:rsid w:val="00130B65"/>
    <w:rsid w:val="00144206"/>
    <w:rsid w:val="00182FFE"/>
    <w:rsid w:val="00185A52"/>
    <w:rsid w:val="00187CFD"/>
    <w:rsid w:val="00195D0D"/>
    <w:rsid w:val="001A18D0"/>
    <w:rsid w:val="001D34F4"/>
    <w:rsid w:val="001E2C54"/>
    <w:rsid w:val="001E7436"/>
    <w:rsid w:val="001F3CB4"/>
    <w:rsid w:val="001F68C0"/>
    <w:rsid w:val="001F78D2"/>
    <w:rsid w:val="002006F1"/>
    <w:rsid w:val="002026AE"/>
    <w:rsid w:val="002269F3"/>
    <w:rsid w:val="00232A69"/>
    <w:rsid w:val="00236710"/>
    <w:rsid w:val="002401AA"/>
    <w:rsid w:val="00244976"/>
    <w:rsid w:val="00256CB2"/>
    <w:rsid w:val="00261BD0"/>
    <w:rsid w:val="002778EB"/>
    <w:rsid w:val="00295659"/>
    <w:rsid w:val="002C4ADE"/>
    <w:rsid w:val="002E2ECA"/>
    <w:rsid w:val="002F346C"/>
    <w:rsid w:val="00310666"/>
    <w:rsid w:val="00314104"/>
    <w:rsid w:val="00321243"/>
    <w:rsid w:val="003526E7"/>
    <w:rsid w:val="00352845"/>
    <w:rsid w:val="00362B2A"/>
    <w:rsid w:val="003729E8"/>
    <w:rsid w:val="0037797C"/>
    <w:rsid w:val="00390D81"/>
    <w:rsid w:val="00395B68"/>
    <w:rsid w:val="003B0C6B"/>
    <w:rsid w:val="003B742D"/>
    <w:rsid w:val="00412144"/>
    <w:rsid w:val="00412B18"/>
    <w:rsid w:val="00425026"/>
    <w:rsid w:val="00441B10"/>
    <w:rsid w:val="0045241A"/>
    <w:rsid w:val="00454819"/>
    <w:rsid w:val="00466400"/>
    <w:rsid w:val="00476DD9"/>
    <w:rsid w:val="00483969"/>
    <w:rsid w:val="004A71ED"/>
    <w:rsid w:val="004A78A4"/>
    <w:rsid w:val="004C08AB"/>
    <w:rsid w:val="004C5C78"/>
    <w:rsid w:val="004E36DC"/>
    <w:rsid w:val="004F7ABE"/>
    <w:rsid w:val="00503DD3"/>
    <w:rsid w:val="0051236B"/>
    <w:rsid w:val="005138D8"/>
    <w:rsid w:val="00536779"/>
    <w:rsid w:val="00541F3A"/>
    <w:rsid w:val="00556677"/>
    <w:rsid w:val="0057214E"/>
    <w:rsid w:val="00572A9E"/>
    <w:rsid w:val="00576A36"/>
    <w:rsid w:val="005B4BCB"/>
    <w:rsid w:val="006011DB"/>
    <w:rsid w:val="006049DE"/>
    <w:rsid w:val="0061315D"/>
    <w:rsid w:val="006253CB"/>
    <w:rsid w:val="0063201D"/>
    <w:rsid w:val="0064112A"/>
    <w:rsid w:val="006425B6"/>
    <w:rsid w:val="00656605"/>
    <w:rsid w:val="006942FA"/>
    <w:rsid w:val="006C300B"/>
    <w:rsid w:val="006F24C5"/>
    <w:rsid w:val="006F3F1A"/>
    <w:rsid w:val="00706D62"/>
    <w:rsid w:val="00732DA0"/>
    <w:rsid w:val="0074270E"/>
    <w:rsid w:val="00757D2B"/>
    <w:rsid w:val="00797A02"/>
    <w:rsid w:val="007A76C9"/>
    <w:rsid w:val="007B7263"/>
    <w:rsid w:val="007E093D"/>
    <w:rsid w:val="007E5AAB"/>
    <w:rsid w:val="007F3900"/>
    <w:rsid w:val="008079A9"/>
    <w:rsid w:val="0081560B"/>
    <w:rsid w:val="008177BB"/>
    <w:rsid w:val="00820063"/>
    <w:rsid w:val="00840AD5"/>
    <w:rsid w:val="00857E12"/>
    <w:rsid w:val="00870D75"/>
    <w:rsid w:val="00881188"/>
    <w:rsid w:val="0088456E"/>
    <w:rsid w:val="00884A4A"/>
    <w:rsid w:val="008926F8"/>
    <w:rsid w:val="00896CE2"/>
    <w:rsid w:val="008A03D3"/>
    <w:rsid w:val="008C3117"/>
    <w:rsid w:val="008D670B"/>
    <w:rsid w:val="008E22FD"/>
    <w:rsid w:val="008F0BE6"/>
    <w:rsid w:val="00902D74"/>
    <w:rsid w:val="00933682"/>
    <w:rsid w:val="00946D3F"/>
    <w:rsid w:val="00963C7C"/>
    <w:rsid w:val="00966811"/>
    <w:rsid w:val="00973BA8"/>
    <w:rsid w:val="009778C1"/>
    <w:rsid w:val="00980013"/>
    <w:rsid w:val="00982C45"/>
    <w:rsid w:val="00991D75"/>
    <w:rsid w:val="009939CF"/>
    <w:rsid w:val="00993FCE"/>
    <w:rsid w:val="009D2C6E"/>
    <w:rsid w:val="009D755A"/>
    <w:rsid w:val="009E2095"/>
    <w:rsid w:val="009E3D28"/>
    <w:rsid w:val="009E7DB0"/>
    <w:rsid w:val="00A1433A"/>
    <w:rsid w:val="00A15D9A"/>
    <w:rsid w:val="00A44302"/>
    <w:rsid w:val="00A508DF"/>
    <w:rsid w:val="00A51E74"/>
    <w:rsid w:val="00A5411B"/>
    <w:rsid w:val="00A54BE0"/>
    <w:rsid w:val="00A5627E"/>
    <w:rsid w:val="00A73E0C"/>
    <w:rsid w:val="00A83479"/>
    <w:rsid w:val="00A84726"/>
    <w:rsid w:val="00A87BE3"/>
    <w:rsid w:val="00AA38ED"/>
    <w:rsid w:val="00AB390A"/>
    <w:rsid w:val="00AB6999"/>
    <w:rsid w:val="00AC261F"/>
    <w:rsid w:val="00AC318C"/>
    <w:rsid w:val="00AD3612"/>
    <w:rsid w:val="00AF3778"/>
    <w:rsid w:val="00B2011B"/>
    <w:rsid w:val="00B57DDC"/>
    <w:rsid w:val="00B70E3F"/>
    <w:rsid w:val="00BA0CE8"/>
    <w:rsid w:val="00BC3902"/>
    <w:rsid w:val="00BC5450"/>
    <w:rsid w:val="00BE1D3B"/>
    <w:rsid w:val="00C030D2"/>
    <w:rsid w:val="00C4737A"/>
    <w:rsid w:val="00C51118"/>
    <w:rsid w:val="00C51E5C"/>
    <w:rsid w:val="00C73480"/>
    <w:rsid w:val="00CA315B"/>
    <w:rsid w:val="00CB3803"/>
    <w:rsid w:val="00CB3D8A"/>
    <w:rsid w:val="00CB47B5"/>
    <w:rsid w:val="00CC0842"/>
    <w:rsid w:val="00CC490B"/>
    <w:rsid w:val="00CF2FC0"/>
    <w:rsid w:val="00D217F3"/>
    <w:rsid w:val="00D30FF1"/>
    <w:rsid w:val="00D3565F"/>
    <w:rsid w:val="00D54D17"/>
    <w:rsid w:val="00D5630F"/>
    <w:rsid w:val="00D57915"/>
    <w:rsid w:val="00D85F4A"/>
    <w:rsid w:val="00DC0407"/>
    <w:rsid w:val="00DE7DE7"/>
    <w:rsid w:val="00E01C9C"/>
    <w:rsid w:val="00E131E2"/>
    <w:rsid w:val="00E7211E"/>
    <w:rsid w:val="00E86B2B"/>
    <w:rsid w:val="00EA36FC"/>
    <w:rsid w:val="00EB362E"/>
    <w:rsid w:val="00EC01EF"/>
    <w:rsid w:val="00ED41DE"/>
    <w:rsid w:val="00ED5BFB"/>
    <w:rsid w:val="00ED7F6A"/>
    <w:rsid w:val="00EE0905"/>
    <w:rsid w:val="00EE2C4D"/>
    <w:rsid w:val="00EE50AC"/>
    <w:rsid w:val="00EF4006"/>
    <w:rsid w:val="00F13604"/>
    <w:rsid w:val="00F30582"/>
    <w:rsid w:val="00F329DB"/>
    <w:rsid w:val="00F346D3"/>
    <w:rsid w:val="00F43FF9"/>
    <w:rsid w:val="00F5593D"/>
    <w:rsid w:val="00F631B7"/>
    <w:rsid w:val="00F85C28"/>
    <w:rsid w:val="00F9226D"/>
    <w:rsid w:val="00FA32AB"/>
    <w:rsid w:val="00FA3427"/>
    <w:rsid w:val="00FB3CEB"/>
    <w:rsid w:val="00FB6423"/>
    <w:rsid w:val="00FC7321"/>
    <w:rsid w:val="00FD0CC7"/>
    <w:rsid w:val="00FE7134"/>
    <w:rsid w:val="00FE7E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CF9F14"/>
  <w15:chartTrackingRefBased/>
  <w15:docId w15:val="{19025A06-5DEB-462C-971E-01E7FCEC40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76DD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76DD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76DD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76DD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76DD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76DD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76DD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76DD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76DD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76DD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76DD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76DD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76DD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76DD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76DD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76DD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76DD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76DD9"/>
    <w:rPr>
      <w:rFonts w:eastAsiaTheme="majorEastAsia" w:cstheme="majorBidi"/>
      <w:color w:val="272727" w:themeColor="text1" w:themeTint="D8"/>
    </w:rPr>
  </w:style>
  <w:style w:type="paragraph" w:styleId="Title">
    <w:name w:val="Title"/>
    <w:basedOn w:val="Normal"/>
    <w:next w:val="Normal"/>
    <w:link w:val="TitleChar"/>
    <w:uiPriority w:val="10"/>
    <w:qFormat/>
    <w:rsid w:val="00476DD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76DD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76DD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76DD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76DD9"/>
    <w:pPr>
      <w:spacing w:before="160"/>
      <w:jc w:val="center"/>
    </w:pPr>
    <w:rPr>
      <w:i/>
      <w:iCs/>
      <w:color w:val="404040" w:themeColor="text1" w:themeTint="BF"/>
    </w:rPr>
  </w:style>
  <w:style w:type="character" w:customStyle="1" w:styleId="QuoteChar">
    <w:name w:val="Quote Char"/>
    <w:basedOn w:val="DefaultParagraphFont"/>
    <w:link w:val="Quote"/>
    <w:uiPriority w:val="29"/>
    <w:rsid w:val="00476DD9"/>
    <w:rPr>
      <w:i/>
      <w:iCs/>
      <w:color w:val="404040" w:themeColor="text1" w:themeTint="BF"/>
    </w:rPr>
  </w:style>
  <w:style w:type="paragraph" w:styleId="ListParagraph">
    <w:name w:val="List Paragraph"/>
    <w:basedOn w:val="Normal"/>
    <w:uiPriority w:val="34"/>
    <w:qFormat/>
    <w:rsid w:val="00476DD9"/>
    <w:pPr>
      <w:ind w:left="720"/>
      <w:contextualSpacing/>
    </w:pPr>
  </w:style>
  <w:style w:type="character" w:styleId="IntenseEmphasis">
    <w:name w:val="Intense Emphasis"/>
    <w:basedOn w:val="DefaultParagraphFont"/>
    <w:uiPriority w:val="21"/>
    <w:qFormat/>
    <w:rsid w:val="00476DD9"/>
    <w:rPr>
      <w:i/>
      <w:iCs/>
      <w:color w:val="0F4761" w:themeColor="accent1" w:themeShade="BF"/>
    </w:rPr>
  </w:style>
  <w:style w:type="paragraph" w:styleId="IntenseQuote">
    <w:name w:val="Intense Quote"/>
    <w:basedOn w:val="Normal"/>
    <w:next w:val="Normal"/>
    <w:link w:val="IntenseQuoteChar"/>
    <w:uiPriority w:val="30"/>
    <w:qFormat/>
    <w:rsid w:val="00476DD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76DD9"/>
    <w:rPr>
      <w:i/>
      <w:iCs/>
      <w:color w:val="0F4761" w:themeColor="accent1" w:themeShade="BF"/>
    </w:rPr>
  </w:style>
  <w:style w:type="character" w:styleId="IntenseReference">
    <w:name w:val="Intense Reference"/>
    <w:basedOn w:val="DefaultParagraphFont"/>
    <w:uiPriority w:val="32"/>
    <w:qFormat/>
    <w:rsid w:val="00476DD9"/>
    <w:rPr>
      <w:b/>
      <w:bCs/>
      <w:smallCaps/>
      <w:color w:val="0F4761" w:themeColor="accent1" w:themeShade="BF"/>
      <w:spacing w:val="5"/>
    </w:rPr>
  </w:style>
  <w:style w:type="character" w:styleId="Hyperlink">
    <w:name w:val="Hyperlink"/>
    <w:basedOn w:val="DefaultParagraphFont"/>
    <w:uiPriority w:val="99"/>
    <w:unhideWhenUsed/>
    <w:rsid w:val="00D85F4A"/>
    <w:rPr>
      <w:color w:val="467886" w:themeColor="hyperlink"/>
      <w:u w:val="single"/>
    </w:rPr>
  </w:style>
  <w:style w:type="character" w:styleId="UnresolvedMention">
    <w:name w:val="Unresolved Mention"/>
    <w:basedOn w:val="DefaultParagraphFont"/>
    <w:uiPriority w:val="99"/>
    <w:semiHidden/>
    <w:unhideWhenUsed/>
    <w:rsid w:val="00D85F4A"/>
    <w:rPr>
      <w:color w:val="605E5C"/>
      <w:shd w:val="clear" w:color="auto" w:fill="E1DFDD"/>
    </w:rPr>
  </w:style>
  <w:style w:type="character" w:styleId="FollowedHyperlink">
    <w:name w:val="FollowedHyperlink"/>
    <w:basedOn w:val="DefaultParagraphFont"/>
    <w:uiPriority w:val="99"/>
    <w:semiHidden/>
    <w:unhideWhenUsed/>
    <w:rsid w:val="00A15D9A"/>
    <w:rPr>
      <w:color w:val="96607D" w:themeColor="followedHyperlink"/>
      <w:u w:val="single"/>
    </w:rPr>
  </w:style>
  <w:style w:type="paragraph" w:styleId="Header">
    <w:name w:val="header"/>
    <w:basedOn w:val="Normal"/>
    <w:link w:val="HeaderChar"/>
    <w:uiPriority w:val="99"/>
    <w:unhideWhenUsed/>
    <w:rsid w:val="00111C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111C4C"/>
  </w:style>
  <w:style w:type="paragraph" w:styleId="Footer">
    <w:name w:val="footer"/>
    <w:basedOn w:val="Normal"/>
    <w:link w:val="FooterChar"/>
    <w:uiPriority w:val="99"/>
    <w:unhideWhenUsed/>
    <w:rsid w:val="00111C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111C4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uowtsd-my.sharepoint.com/:v:/g/personal/2520856_student_uwtsd_ac_uk/IQAvZJM4icSZTpfCXqHLdnn1AeB2GXZdjyDH_UiqG2YjtFY"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uowtsd-my.sharepoint.com/:v:/g/personal/2520856_student_uwtsd_ac_uk/IQAm1zWnOUkOQpU9eQUiCzacAWUc9SUJOBet5uDU_DUUp9M"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1drv.ms/p/c/29953c7e983e6a0b/IQDVnew0uDHXQon5dy_JDFKmAc1MoMSvO00mC3pHUqwJCfg?e=SLYU1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2787</Words>
  <Characters>15889</Characters>
  <Application>Microsoft Office Word</Application>
  <DocSecurity>0</DocSecurity>
  <Lines>132</Lines>
  <Paragraphs>37</Paragraphs>
  <ScaleCrop>false</ScaleCrop>
  <Company/>
  <LinksUpToDate>false</LinksUpToDate>
  <CharactersWithSpaces>18639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Maddison Davies</dc:creator>
  <cp:keywords/>
  <dc:description/>
  <cp:lastModifiedBy>Maddison Davies</cp:lastModifiedBy>
  <cp:revision>2</cp:revision>
  <dcterms:created xsi:type="dcterms:W3CDTF">2026-10-24T15:32:00Z</dcterms:created>
  <dcterms:modified xsi:type="dcterms:W3CDTF">2026-10-24T15:32:00Z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47aa7145-731c-4aad-9a52-c6e1d47c80ef</vt:lpwstr>
  </property>
</Properties>
</file>