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92BD1" w14:textId="77777777" w:rsidR="00C93C3A" w:rsidRPr="008D7B00" w:rsidRDefault="00C93C3A">
      <w:pPr>
        <w:pStyle w:val="BodyText"/>
        <w:rPr>
          <w:rFonts w:ascii="Times New Roman" w:hAnsi="Times New Roman" w:cs="Times New Roman"/>
          <w:sz w:val="20"/>
        </w:rPr>
      </w:pPr>
    </w:p>
    <w:p w14:paraId="3A92CA51" w14:textId="77777777" w:rsidR="00C93C3A" w:rsidRPr="008D7B00" w:rsidRDefault="00C93C3A">
      <w:pPr>
        <w:pStyle w:val="BodyText"/>
        <w:rPr>
          <w:rFonts w:ascii="Times New Roman" w:hAnsi="Times New Roman" w:cs="Times New Roman"/>
          <w:sz w:val="20"/>
        </w:rPr>
      </w:pPr>
    </w:p>
    <w:p w14:paraId="2C6853A7" w14:textId="77777777" w:rsidR="00C93C3A" w:rsidRPr="008D7B00" w:rsidRDefault="00C93C3A">
      <w:pPr>
        <w:pStyle w:val="BodyText"/>
        <w:rPr>
          <w:rFonts w:ascii="Times New Roman" w:hAnsi="Times New Roman" w:cs="Times New Roman"/>
          <w:sz w:val="20"/>
        </w:rPr>
      </w:pPr>
    </w:p>
    <w:p w14:paraId="395DF96C" w14:textId="77777777" w:rsidR="00C93C3A" w:rsidRPr="008D7B00" w:rsidRDefault="00C93C3A">
      <w:pPr>
        <w:pStyle w:val="BodyText"/>
        <w:rPr>
          <w:rFonts w:ascii="Times New Roman" w:hAnsi="Times New Roman" w:cs="Times New Roman"/>
          <w:sz w:val="20"/>
        </w:rPr>
      </w:pPr>
    </w:p>
    <w:p w14:paraId="336BE5BD" w14:textId="1BBB1F17" w:rsidR="005A6E02" w:rsidRPr="008D7B00" w:rsidRDefault="005A6E02" w:rsidP="001D7BC5">
      <w:pPr>
        <w:spacing w:line="1342" w:lineRule="exact"/>
        <w:jc w:val="center"/>
        <w:rPr>
          <w:sz w:val="110"/>
        </w:rPr>
      </w:pPr>
    </w:p>
    <w:p w14:paraId="74A4665B" w14:textId="77777777" w:rsidR="008D7B00" w:rsidRPr="008D7B00" w:rsidRDefault="008D7B00" w:rsidP="001D7BC5">
      <w:pPr>
        <w:spacing w:line="1342" w:lineRule="exact"/>
        <w:jc w:val="center"/>
        <w:rPr>
          <w:sz w:val="110"/>
        </w:rPr>
      </w:pPr>
    </w:p>
    <w:p w14:paraId="0CD65B23" w14:textId="3CC1C831" w:rsidR="00D759DB" w:rsidRPr="008D7B00" w:rsidRDefault="00D759DB" w:rsidP="002D2E30">
      <w:pPr>
        <w:spacing w:line="360" w:lineRule="auto"/>
        <w:jc w:val="center"/>
        <w:rPr>
          <w:sz w:val="96"/>
          <w:szCs w:val="96"/>
        </w:rPr>
      </w:pPr>
      <w:r w:rsidRPr="008D7B00">
        <w:rPr>
          <w:sz w:val="96"/>
          <w:szCs w:val="96"/>
        </w:rPr>
        <w:t>Introduction to Research</w:t>
      </w:r>
    </w:p>
    <w:p w14:paraId="0381CBE4" w14:textId="6C5FE5B3" w:rsidR="00C93C3A" w:rsidRPr="008D7B00" w:rsidRDefault="001D7BC5" w:rsidP="00C82D10">
      <w:pPr>
        <w:spacing w:line="1342" w:lineRule="exact"/>
        <w:jc w:val="center"/>
        <w:rPr>
          <w:sz w:val="96"/>
          <w:szCs w:val="96"/>
        </w:rPr>
        <w:sectPr w:rsidR="00C93C3A" w:rsidRPr="008D7B00">
          <w:footerReference w:type="default" r:id="rId7"/>
          <w:type w:val="continuous"/>
          <w:pgSz w:w="12240" w:h="15840"/>
          <w:pgMar w:top="520" w:right="840" w:bottom="1240" w:left="500" w:header="720" w:footer="1053" w:gutter="0"/>
          <w:pgNumType w:start="1"/>
          <w:cols w:space="720"/>
        </w:sectPr>
      </w:pPr>
      <w:r w:rsidRPr="008D7B00">
        <w:rPr>
          <w:sz w:val="96"/>
          <w:szCs w:val="96"/>
        </w:rPr>
        <w:t>Literature Review</w:t>
      </w:r>
    </w:p>
    <w:p w14:paraId="1C59F28D" w14:textId="77777777" w:rsidR="005C2C7A" w:rsidRPr="008D7B00" w:rsidRDefault="005C2C7A" w:rsidP="000466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
          <w:sz w:val="80"/>
          <w:szCs w:val="80"/>
        </w:rPr>
      </w:pPr>
    </w:p>
    <w:p w14:paraId="7EB23231" w14:textId="7942F4EE" w:rsidR="00107CC1" w:rsidRPr="009D649D" w:rsidRDefault="00107CC1" w:rsidP="00107CC1">
      <w:pPr>
        <w:pStyle w:val="NormalWeb"/>
        <w:jc w:val="center"/>
        <w:rPr>
          <w:rFonts w:eastAsia="Arial Unicode MS"/>
          <w:b/>
          <w:sz w:val="56"/>
          <w:szCs w:val="56"/>
        </w:rPr>
      </w:pPr>
      <w:r w:rsidRPr="009D649D">
        <w:rPr>
          <w:rFonts w:eastAsia="Arial Unicode MS"/>
          <w:b/>
          <w:sz w:val="56"/>
          <w:szCs w:val="56"/>
        </w:rPr>
        <w:t xml:space="preserve">Title: </w:t>
      </w:r>
    </w:p>
    <w:p w14:paraId="153C817B" w14:textId="77777777" w:rsidR="00107CC1" w:rsidRPr="009D649D" w:rsidRDefault="00107CC1" w:rsidP="00107CC1">
      <w:pPr>
        <w:pStyle w:val="NormalWeb"/>
        <w:jc w:val="center"/>
        <w:rPr>
          <w:sz w:val="56"/>
          <w:szCs w:val="56"/>
        </w:rPr>
      </w:pPr>
      <w:r w:rsidRPr="009D649D">
        <w:rPr>
          <w:b/>
          <w:bCs/>
          <w:sz w:val="56"/>
          <w:szCs w:val="56"/>
        </w:rPr>
        <w:t>Is there enough support surrounding Burnout, Compassion Fatigue and Vicarious traumatisation and Secondary traumatic stress within field of nursing?</w:t>
      </w:r>
    </w:p>
    <w:p w14:paraId="41BADB9F" w14:textId="4D4012F1" w:rsidR="005C2C7A" w:rsidRPr="008D7B0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p>
    <w:p w14:paraId="24FF67A6" w14:textId="7537FF60" w:rsidR="00CB3F2D" w:rsidRPr="008D7B00" w:rsidRDefault="00CB3F2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80"/>
          <w:szCs w:val="80"/>
        </w:rPr>
      </w:pPr>
    </w:p>
    <w:p w14:paraId="004D0F4C" w14:textId="0459BAEA" w:rsidR="00CB3F2D" w:rsidRPr="008D7B00" w:rsidRDefault="00CB3F2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r w:rsidRPr="008D7B00">
        <w:rPr>
          <w:rFonts w:eastAsia="Arial Unicode MS"/>
          <w:b/>
          <w:sz w:val="72"/>
          <w:szCs w:val="72"/>
        </w:rPr>
        <w:t xml:space="preserve">Name: Ashley Jones </w:t>
      </w:r>
    </w:p>
    <w:p w14:paraId="388838C8" w14:textId="77777777" w:rsidR="005C2C7A" w:rsidRPr="008D7B0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p>
    <w:p w14:paraId="1ADCFF73" w14:textId="0333CF41" w:rsidR="001D7BC5" w:rsidRPr="008D7B00" w:rsidRDefault="001D7BC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r w:rsidRPr="008D7B00">
        <w:rPr>
          <w:rFonts w:eastAsia="Arial Unicode MS"/>
          <w:b/>
          <w:sz w:val="72"/>
          <w:szCs w:val="72"/>
        </w:rPr>
        <w:t>Student Number</w:t>
      </w:r>
      <w:r w:rsidR="00CB3F2D" w:rsidRPr="008D7B00">
        <w:rPr>
          <w:rFonts w:eastAsia="Arial Unicode MS"/>
          <w:b/>
          <w:sz w:val="72"/>
          <w:szCs w:val="72"/>
        </w:rPr>
        <w:t>: 2109767</w:t>
      </w:r>
      <w:r w:rsidRPr="008D7B00">
        <w:rPr>
          <w:rFonts w:eastAsia="Arial Unicode MS"/>
          <w:b/>
          <w:sz w:val="72"/>
          <w:szCs w:val="72"/>
        </w:rPr>
        <w:t xml:space="preserve"> </w:t>
      </w:r>
    </w:p>
    <w:p w14:paraId="75A2AA15" w14:textId="7C63D92D" w:rsidR="00CB3F2D" w:rsidRPr="008D7B00" w:rsidRDefault="00CB3F2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p>
    <w:p w14:paraId="4774645E" w14:textId="77777777" w:rsidR="008D7B00" w:rsidRPr="008D7B00" w:rsidRDefault="008D7B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r w:rsidRPr="008D7B00">
        <w:rPr>
          <w:rFonts w:eastAsia="Arial Unicode MS"/>
          <w:b/>
          <w:sz w:val="72"/>
          <w:szCs w:val="72"/>
        </w:rPr>
        <w:t xml:space="preserve">Module lead: </w:t>
      </w:r>
    </w:p>
    <w:p w14:paraId="18F98395" w14:textId="77777777" w:rsidR="008D7B00" w:rsidRPr="008D7B00" w:rsidRDefault="008D7B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r w:rsidRPr="008D7B00">
        <w:rPr>
          <w:rFonts w:eastAsia="Arial Unicode MS"/>
          <w:b/>
          <w:sz w:val="72"/>
          <w:szCs w:val="72"/>
        </w:rPr>
        <w:t xml:space="preserve">Jodie </w:t>
      </w:r>
      <w:proofErr w:type="spellStart"/>
      <w:r w:rsidRPr="008D7B00">
        <w:rPr>
          <w:rFonts w:eastAsia="Arial Unicode MS"/>
          <w:b/>
          <w:sz w:val="72"/>
          <w:szCs w:val="72"/>
        </w:rPr>
        <w:t>Croxall</w:t>
      </w:r>
      <w:proofErr w:type="spellEnd"/>
      <w:r w:rsidRPr="008D7B00">
        <w:rPr>
          <w:rFonts w:eastAsia="Arial Unicode MS"/>
          <w:b/>
          <w:sz w:val="72"/>
          <w:szCs w:val="72"/>
        </w:rPr>
        <w:t xml:space="preserve"> &amp; </w:t>
      </w:r>
      <w:proofErr w:type="spellStart"/>
      <w:r w:rsidRPr="008D7B00">
        <w:rPr>
          <w:rFonts w:eastAsia="Arial Unicode MS"/>
          <w:b/>
          <w:sz w:val="72"/>
          <w:szCs w:val="72"/>
        </w:rPr>
        <w:t>Kalee</w:t>
      </w:r>
      <w:proofErr w:type="spellEnd"/>
      <w:r w:rsidRPr="008D7B00">
        <w:rPr>
          <w:rFonts w:eastAsia="Arial Unicode MS"/>
          <w:b/>
          <w:sz w:val="72"/>
          <w:szCs w:val="72"/>
        </w:rPr>
        <w:t xml:space="preserve"> Thomas</w:t>
      </w:r>
    </w:p>
    <w:p w14:paraId="1D8F9A72" w14:textId="573B4CAE" w:rsidR="00CB3F2D" w:rsidRPr="008D7B00" w:rsidRDefault="008D7B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72"/>
          <w:szCs w:val="72"/>
        </w:rPr>
      </w:pPr>
      <w:r w:rsidRPr="008D7B00">
        <w:rPr>
          <w:rFonts w:eastAsia="Arial Unicode MS"/>
          <w:b/>
          <w:sz w:val="72"/>
          <w:szCs w:val="72"/>
        </w:rPr>
        <w:lastRenderedPageBreak/>
        <w:t xml:space="preserve">  </w:t>
      </w:r>
    </w:p>
    <w:p w14:paraId="2318B3F7" w14:textId="77777777" w:rsidR="008D7B00" w:rsidRPr="008D7B00" w:rsidRDefault="008D7B00" w:rsidP="008D7B00">
      <w:pPr>
        <w:spacing w:line="360" w:lineRule="auto"/>
        <w:jc w:val="center"/>
        <w:rPr>
          <w:b/>
          <w:bCs/>
          <w:sz w:val="72"/>
          <w:szCs w:val="72"/>
        </w:rPr>
      </w:pPr>
      <w:r w:rsidRPr="008D7B00">
        <w:rPr>
          <w:rFonts w:eastAsia="Arial Unicode MS"/>
          <w:b/>
          <w:sz w:val="72"/>
          <w:szCs w:val="72"/>
        </w:rPr>
        <w:t xml:space="preserve">Module code: </w:t>
      </w:r>
      <w:r w:rsidRPr="008D7B00">
        <w:rPr>
          <w:b/>
          <w:bCs/>
          <w:sz w:val="72"/>
          <w:szCs w:val="72"/>
        </w:rPr>
        <w:t>BMHP5005</w:t>
      </w:r>
    </w:p>
    <w:p w14:paraId="555604A9" w14:textId="05BCC1CF" w:rsidR="008D7B00" w:rsidRDefault="008D7B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D7117B3" w14:textId="77777777" w:rsidR="008D7B00" w:rsidRPr="00B024D1" w:rsidRDefault="008D7B0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80"/>
          <w:szCs w:val="80"/>
        </w:rPr>
      </w:pP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6674035F" w14:textId="77777777" w:rsidR="008D7B00" w:rsidRDefault="008D7B00" w:rsidP="008D7B00">
      <w:pPr>
        <w:rPr>
          <w:rFonts w:asciiTheme="minorHAnsi" w:eastAsia="Arial Unicode MS" w:hAnsiTheme="minorHAnsi" w:cstheme="minorHAnsi"/>
          <w:sz w:val="40"/>
          <w:szCs w:val="40"/>
        </w:rPr>
      </w:pPr>
    </w:p>
    <w:p w14:paraId="482D2DD8" w14:textId="6713320D" w:rsidR="005C2C7A" w:rsidRPr="008D7B00" w:rsidRDefault="005C2C7A" w:rsidP="008D7B00">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ABSTRACT</w:t>
      </w:r>
    </w:p>
    <w:p w14:paraId="08448EB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142E9CFB" w14:textId="1D088EED" w:rsidR="000466C3" w:rsidRPr="006D3BA4" w:rsidRDefault="00107CC1" w:rsidP="000466C3">
      <w:pPr>
        <w:spacing w:before="100" w:beforeAutospacing="1" w:after="100" w:afterAutospacing="1" w:line="360" w:lineRule="auto"/>
        <w:rPr>
          <w:rFonts w:ascii="TimesNewRomanPSMT" w:hAnsi="TimesNewRomanPSMT"/>
        </w:rPr>
      </w:pPr>
      <w:r w:rsidRPr="003D4CF4">
        <w:rPr>
          <w:color w:val="000000" w:themeColor="text1"/>
        </w:rPr>
        <w:t>The conceptualisation of secondary traumatic stress (STS) has been described as multifaceted; thus, researcher</w:t>
      </w:r>
      <w:r>
        <w:rPr>
          <w:color w:val="000000" w:themeColor="text1"/>
        </w:rPr>
        <w:t>s</w:t>
      </w:r>
      <w:r w:rsidRPr="003D4CF4">
        <w:rPr>
          <w:color w:val="000000" w:themeColor="text1"/>
        </w:rPr>
        <w:t xml:space="preserve"> have stated there is a lack of conceptual clarity surrounding STS. The use of different terminology at times to refer to the same concept contributes to this confusion. Closely related concepts of secondary traumatic stress </w:t>
      </w:r>
      <w:r>
        <w:rPr>
          <w:color w:val="000000" w:themeColor="text1"/>
        </w:rPr>
        <w:t xml:space="preserve">such as </w:t>
      </w:r>
      <w:r w:rsidRPr="003D4CF4">
        <w:rPr>
          <w:color w:val="000000" w:themeColor="text1"/>
        </w:rPr>
        <w:t xml:space="preserve">compassion fatigue, burnout, well-being, and vicarious traumatisation, needs to be differentiated and will be differentiated throughout this programme of work. </w:t>
      </w:r>
      <w:r w:rsidR="000466C3" w:rsidRPr="00120A7B">
        <w:rPr>
          <w:rFonts w:ascii="TimesNewRomanPSMT" w:hAnsi="TimesNewRomanPSMT"/>
        </w:rPr>
        <w:t xml:space="preserve">This review of the literature attempts to bring together a </w:t>
      </w:r>
      <w:r w:rsidR="000466C3">
        <w:rPr>
          <w:rFonts w:ascii="TimesNewRomanPSMT" w:hAnsi="TimesNewRomanPSMT"/>
        </w:rPr>
        <w:t xml:space="preserve">variety </w:t>
      </w:r>
      <w:r w:rsidR="000466C3" w:rsidRPr="00120A7B">
        <w:rPr>
          <w:rFonts w:ascii="TimesNewRomanPSMT" w:hAnsi="TimesNewRomanPSMT"/>
        </w:rPr>
        <w:t>of current findings on burnout, secondary trauma, vicarious trauma, and compassion fatigue in articles published between 20</w:t>
      </w:r>
      <w:r w:rsidR="000466C3">
        <w:rPr>
          <w:rFonts w:ascii="TimesNewRomanPSMT" w:hAnsi="TimesNewRomanPSMT"/>
        </w:rPr>
        <w:t>12 a</w:t>
      </w:r>
      <w:r w:rsidR="000466C3" w:rsidRPr="00120A7B">
        <w:rPr>
          <w:rFonts w:ascii="TimesNewRomanPSMT" w:hAnsi="TimesNewRomanPSMT"/>
        </w:rPr>
        <w:t>nd 20</w:t>
      </w:r>
      <w:r w:rsidR="000466C3">
        <w:rPr>
          <w:rFonts w:ascii="TimesNewRomanPSMT" w:hAnsi="TimesNewRomanPSMT"/>
        </w:rPr>
        <w:t>22</w:t>
      </w:r>
      <w:r w:rsidR="000466C3" w:rsidRPr="00120A7B">
        <w:rPr>
          <w:rFonts w:ascii="TimesNewRomanPSMT" w:hAnsi="TimesNewRomanPSMT"/>
        </w:rPr>
        <w:t>. First, the researcher looked for key terminology (i.e., vicarious trauma, secondary trauma, burnout, compassion fatigue) within the article to see what topics they covered. Second the researcher reviewed the articles to see what the articles have in common</w:t>
      </w:r>
      <w:r w:rsidR="000466C3">
        <w:rPr>
          <w:rFonts w:ascii="TimesNewRomanPSMT" w:hAnsi="TimesNewRomanPSMT"/>
        </w:rPr>
        <w:t xml:space="preserve"> through thematic Analysis </w:t>
      </w:r>
      <w:r w:rsidR="000466C3" w:rsidRPr="000466C3">
        <w:rPr>
          <w:rFonts w:ascii="TimesNewRomanPSMT" w:hAnsi="TimesNewRomanPSMT"/>
        </w:rPr>
        <w:t>(Bryon Clarke et al, 2018).</w:t>
      </w:r>
      <w:r w:rsidR="000466C3">
        <w:rPr>
          <w:rFonts w:ascii="TimesNewRomanPSMT" w:hAnsi="TimesNewRomanPSMT"/>
        </w:rPr>
        <w:t xml:space="preserve"> Lastly</w:t>
      </w:r>
      <w:r w:rsidR="000466C3" w:rsidRPr="00120A7B">
        <w:rPr>
          <w:rFonts w:ascii="TimesNewRomanPSMT" w:hAnsi="TimesNewRomanPSMT"/>
        </w:rPr>
        <w:t>, the researcher summari</w:t>
      </w:r>
      <w:r w:rsidR="000466C3">
        <w:rPr>
          <w:rFonts w:ascii="TimesNewRomanPSMT" w:hAnsi="TimesNewRomanPSMT"/>
        </w:rPr>
        <w:t>s</w:t>
      </w:r>
      <w:r w:rsidR="000466C3" w:rsidRPr="00120A7B">
        <w:rPr>
          <w:rFonts w:ascii="TimesNewRomanPSMT" w:hAnsi="TimesNewRomanPSMT"/>
        </w:rPr>
        <w:t>ed what the articles offered in terms of assistance when dealing with trauma</w:t>
      </w:r>
      <w:r w:rsidR="000466C3">
        <w:rPr>
          <w:rFonts w:ascii="TimesNewRomanPSMT" w:hAnsi="TimesNewRomanPSMT"/>
        </w:rPr>
        <w:t xml:space="preserve"> through lower and higher order themes.  </w:t>
      </w:r>
    </w:p>
    <w:p w14:paraId="7E255B54" w14:textId="5B491070" w:rsidR="00107CC1" w:rsidRPr="003D4CF4" w:rsidRDefault="00107CC1" w:rsidP="00107CC1">
      <w:pPr>
        <w:spacing w:before="100" w:beforeAutospacing="1" w:after="100" w:afterAutospacing="1" w:line="480" w:lineRule="auto"/>
        <w:rPr>
          <w:color w:val="000000" w:themeColor="text1"/>
        </w:rPr>
      </w:pPr>
    </w:p>
    <w:p w14:paraId="4922B9E6" w14:textId="77777777" w:rsidR="005C2C7A" w:rsidRPr="00B024D1" w:rsidRDefault="005C2C7A" w:rsidP="005C2C7A">
      <w:pPr>
        <w:ind w:left="720" w:right="194" w:hanging="720"/>
        <w:jc w:val="both"/>
        <w:rPr>
          <w:rFonts w:asciiTheme="minorHAnsi" w:eastAsia="Arial Unicode MS" w:hAnsiTheme="minorHAnsi" w:cstheme="minorHAnsi"/>
        </w:rPr>
      </w:pPr>
    </w:p>
    <w:p w14:paraId="57783B9C" w14:textId="77777777" w:rsidR="005C2C7A" w:rsidRPr="00B024D1" w:rsidRDefault="005C2C7A" w:rsidP="005F69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Theme="minorHAnsi" w:eastAsia="Arial Unicode MS" w:hAnsiTheme="minorHAnsi" w:cstheme="minorHAnsi"/>
          <w:b/>
          <w:u w:val="single"/>
        </w:rPr>
      </w:pPr>
    </w:p>
    <w:p w14:paraId="3A93B60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4FBAE2A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4F966F7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593F350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8E1E6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D4BBCA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D915FD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D16504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C13D00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F21452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A67FA5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FB7C33"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7D88AE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9552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30F7BE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41190D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0EEFB0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5B2101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3E48D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7CCEB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7B1363A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E2CC5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4C61B5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F12D9F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4126B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2B76D442"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105C5B1B" w14:textId="77777777" w:rsidR="00576ADB" w:rsidRPr="00B024D1" w:rsidRDefault="00576ADB">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56D84073" w14:textId="6F503521" w:rsidR="005C2C7A" w:rsidRPr="00B024D1" w:rsidRDefault="007535D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SECTION</w:t>
      </w:r>
      <w:r w:rsidR="00C764A3" w:rsidRPr="00B024D1">
        <w:rPr>
          <w:rFonts w:asciiTheme="minorHAnsi" w:eastAsia="Arial Unicode MS" w:hAnsiTheme="minorHAnsi" w:cstheme="minorHAnsi"/>
          <w:b/>
          <w:sz w:val="28"/>
          <w:szCs w:val="28"/>
        </w:rPr>
        <w:t xml:space="preserve"> 1: INTRODUCTION </w:t>
      </w:r>
      <w:r w:rsidR="00766D97" w:rsidRPr="00B024D1">
        <w:rPr>
          <w:rFonts w:asciiTheme="minorHAnsi" w:eastAsia="Arial Unicode MS" w:hAnsiTheme="minorHAnsi" w:cstheme="minorHAnsi"/>
          <w:b/>
          <w:sz w:val="28"/>
          <w:szCs w:val="28"/>
        </w:rPr>
        <w:t xml:space="preserve">AND RATIONALE </w:t>
      </w:r>
    </w:p>
    <w:p w14:paraId="15E8116F" w14:textId="77777777" w:rsidR="005C2C7A" w:rsidRPr="00B024D1" w:rsidRDefault="005C2C7A" w:rsidP="00F872DD">
      <w:pPr>
        <w:jc w:val="both"/>
        <w:rPr>
          <w:rFonts w:asciiTheme="minorHAnsi" w:eastAsia="Arial Unicode MS" w:hAnsiTheme="minorHAnsi" w:cstheme="minorHAnsi"/>
        </w:rPr>
      </w:pPr>
    </w:p>
    <w:p w14:paraId="4C776EE5" w14:textId="6C549557" w:rsidR="00D3621B" w:rsidRPr="003D4CF4" w:rsidRDefault="00FC4A42" w:rsidP="003D4CF4">
      <w:pPr>
        <w:spacing w:before="100" w:beforeAutospacing="1" w:after="100" w:afterAutospacing="1" w:line="480" w:lineRule="auto"/>
        <w:rPr>
          <w:color w:val="000000" w:themeColor="text1"/>
        </w:rPr>
      </w:pPr>
      <w:r w:rsidRPr="003D4CF4">
        <w:rPr>
          <w:color w:val="000000" w:themeColor="text1"/>
        </w:rPr>
        <w:t xml:space="preserve">Posttraumatic stress disorder </w:t>
      </w:r>
      <w:r w:rsidR="00227634" w:rsidRPr="003D4CF4">
        <w:rPr>
          <w:color w:val="000000" w:themeColor="text1"/>
        </w:rPr>
        <w:t xml:space="preserve">(PTSD) was first listed in the Diagnostic and Statistical Manual of Mental Disorders-III in 1980 (American Psychiatric Association, 1980). </w:t>
      </w:r>
      <w:r w:rsidRPr="003D4CF4">
        <w:rPr>
          <w:color w:val="000000" w:themeColor="text1"/>
        </w:rPr>
        <w:t xml:space="preserve">Research proposed by </w:t>
      </w:r>
      <w:r w:rsidR="008F15CA">
        <w:rPr>
          <w:color w:val="000000" w:themeColor="text1"/>
        </w:rPr>
        <w:t>Summerfield (</w:t>
      </w:r>
      <w:r w:rsidRPr="003D4CF4">
        <w:rPr>
          <w:color w:val="000000" w:themeColor="text1"/>
        </w:rPr>
        <w:t>20</w:t>
      </w:r>
      <w:r w:rsidR="008F15CA">
        <w:rPr>
          <w:color w:val="000000" w:themeColor="text1"/>
        </w:rPr>
        <w:t>0</w:t>
      </w:r>
      <w:r w:rsidRPr="003D4CF4">
        <w:rPr>
          <w:color w:val="000000" w:themeColor="text1"/>
        </w:rPr>
        <w:t xml:space="preserve">1), suggests that </w:t>
      </w:r>
      <w:r w:rsidR="00227634" w:rsidRPr="003D4CF4">
        <w:rPr>
          <w:color w:val="000000" w:themeColor="text1"/>
        </w:rPr>
        <w:t>Veterans of the Vietnam War were the first persons diagnosed with this</w:t>
      </w:r>
      <w:r w:rsidR="008F15CA">
        <w:rPr>
          <w:color w:val="000000" w:themeColor="text1"/>
        </w:rPr>
        <w:t xml:space="preserve"> PTSD</w:t>
      </w:r>
      <w:r w:rsidR="00227634" w:rsidRPr="003D4CF4">
        <w:rPr>
          <w:color w:val="000000" w:themeColor="text1"/>
        </w:rPr>
        <w:t>. Over the past</w:t>
      </w:r>
      <w:r w:rsidRPr="003D4CF4">
        <w:rPr>
          <w:color w:val="000000" w:themeColor="text1"/>
        </w:rPr>
        <w:t xml:space="preserve"> three </w:t>
      </w:r>
      <w:r w:rsidRPr="00D3621B">
        <w:rPr>
          <w:color w:val="000000" w:themeColor="text1"/>
        </w:rPr>
        <w:t>decades</w:t>
      </w:r>
      <w:r w:rsidR="00227634" w:rsidRPr="00D3621B">
        <w:rPr>
          <w:color w:val="000000" w:themeColor="text1"/>
        </w:rPr>
        <w:t>, the psychological effects of direct exposure to extreme traumatic stressors have been well documented.</w:t>
      </w:r>
      <w:r w:rsidR="00227634" w:rsidRPr="003D4CF4">
        <w:rPr>
          <w:color w:val="000000" w:themeColor="text1"/>
        </w:rPr>
        <w:t xml:space="preserve"> </w:t>
      </w:r>
      <w:r w:rsidR="001719BF" w:rsidRPr="003D4CF4">
        <w:rPr>
          <w:color w:val="000000" w:themeColor="text1"/>
        </w:rPr>
        <w:t xml:space="preserve">Despite this, Figley (1988) expressed that secondary exposure can have the same </w:t>
      </w:r>
      <w:r w:rsidR="00227634" w:rsidRPr="003D4CF4">
        <w:rPr>
          <w:color w:val="000000" w:themeColor="text1"/>
        </w:rPr>
        <w:t xml:space="preserve">detrimental effects of </w:t>
      </w:r>
      <w:r w:rsidR="001719BF" w:rsidRPr="003D4CF4">
        <w:rPr>
          <w:color w:val="000000" w:themeColor="text1"/>
        </w:rPr>
        <w:t xml:space="preserve">from an </w:t>
      </w:r>
      <w:r w:rsidR="00227634" w:rsidRPr="003D4CF4">
        <w:rPr>
          <w:color w:val="000000" w:themeColor="text1"/>
        </w:rPr>
        <w:t xml:space="preserve">extreme traumatic stressor </w:t>
      </w:r>
      <w:r w:rsidR="001719BF" w:rsidRPr="003D4CF4">
        <w:rPr>
          <w:color w:val="000000" w:themeColor="text1"/>
        </w:rPr>
        <w:t>as</w:t>
      </w:r>
      <w:r w:rsidR="00227634" w:rsidRPr="003D4CF4">
        <w:rPr>
          <w:color w:val="000000" w:themeColor="text1"/>
        </w:rPr>
        <w:t xml:space="preserve"> those </w:t>
      </w:r>
      <w:r w:rsidR="001719BF" w:rsidRPr="003D4CF4">
        <w:rPr>
          <w:color w:val="000000" w:themeColor="text1"/>
        </w:rPr>
        <w:t xml:space="preserve">who </w:t>
      </w:r>
      <w:r w:rsidR="00227634" w:rsidRPr="003D4CF4">
        <w:rPr>
          <w:color w:val="000000" w:themeColor="text1"/>
        </w:rPr>
        <w:t>experienced the primary exposure</w:t>
      </w:r>
      <w:r w:rsidR="001719BF" w:rsidRPr="003D4CF4">
        <w:rPr>
          <w:color w:val="000000" w:themeColor="text1"/>
        </w:rPr>
        <w:t xml:space="preserve">. </w:t>
      </w:r>
    </w:p>
    <w:p w14:paraId="0353FF80" w14:textId="1BE402EF" w:rsidR="006125EE" w:rsidRPr="003D4CF4" w:rsidRDefault="0013380B" w:rsidP="003D4CF4">
      <w:pPr>
        <w:spacing w:before="100" w:beforeAutospacing="1" w:after="100" w:afterAutospacing="1" w:line="480" w:lineRule="auto"/>
        <w:rPr>
          <w:color w:val="000000" w:themeColor="text1"/>
        </w:rPr>
      </w:pPr>
      <w:r w:rsidRPr="003D4CF4">
        <w:rPr>
          <w:color w:val="000000" w:themeColor="text1"/>
        </w:rPr>
        <w:t>It is fair to say that s</w:t>
      </w:r>
      <w:r w:rsidR="00227634" w:rsidRPr="003D4CF4">
        <w:rPr>
          <w:color w:val="000000" w:themeColor="text1"/>
        </w:rPr>
        <w:t xml:space="preserve">econdary traumatic stress </w:t>
      </w:r>
      <w:r w:rsidRPr="003D4CF4">
        <w:rPr>
          <w:color w:val="000000" w:themeColor="text1"/>
        </w:rPr>
        <w:t xml:space="preserve">is an </w:t>
      </w:r>
      <w:r w:rsidR="00227634" w:rsidRPr="003D4CF4">
        <w:rPr>
          <w:color w:val="000000" w:themeColor="text1"/>
        </w:rPr>
        <w:t>occupational hazard for persons who provide direct patient care to traumati</w:t>
      </w:r>
      <w:r w:rsidRPr="003D4CF4">
        <w:rPr>
          <w:color w:val="000000" w:themeColor="text1"/>
        </w:rPr>
        <w:t>s</w:t>
      </w:r>
      <w:r w:rsidR="00227634" w:rsidRPr="003D4CF4">
        <w:rPr>
          <w:color w:val="000000" w:themeColor="text1"/>
        </w:rPr>
        <w:t xml:space="preserve">ed victims. </w:t>
      </w:r>
      <w:r w:rsidR="00D3621B" w:rsidRPr="00D3621B">
        <w:rPr>
          <w:rFonts w:ascii="TimesNewRomanPSMT" w:hAnsi="TimesNewRomanPSMT"/>
        </w:rPr>
        <w:t>In the field</w:t>
      </w:r>
      <w:r w:rsidR="00D3621B">
        <w:rPr>
          <w:rFonts w:ascii="TimesNewRomanPSMT" w:hAnsi="TimesNewRomanPSMT"/>
        </w:rPr>
        <w:t xml:space="preserve"> of nursing</w:t>
      </w:r>
      <w:r w:rsidR="00D3621B" w:rsidRPr="00D3621B">
        <w:rPr>
          <w:rFonts w:ascii="TimesNewRomanPSMT" w:hAnsi="TimesNewRomanPSMT"/>
        </w:rPr>
        <w:t xml:space="preserve">, burnout, vicarious trauma, secondary trauma and compassion fatigue are all terms often used to describe exhaustion from </w:t>
      </w:r>
      <w:r w:rsidR="008F15CA">
        <w:rPr>
          <w:rFonts w:ascii="TimesNewRomanPSMT" w:hAnsi="TimesNewRomanPSMT"/>
        </w:rPr>
        <w:t>treating</w:t>
      </w:r>
      <w:r w:rsidR="00D3621B" w:rsidRPr="00D3621B">
        <w:rPr>
          <w:rFonts w:ascii="TimesNewRomanPSMT" w:hAnsi="TimesNewRomanPSMT"/>
        </w:rPr>
        <w:t xml:space="preserve"> </w:t>
      </w:r>
      <w:r w:rsidR="008F15CA">
        <w:rPr>
          <w:rFonts w:ascii="TimesNewRomanPSMT" w:hAnsi="TimesNewRomanPSMT"/>
        </w:rPr>
        <w:t>and seeing patients</w:t>
      </w:r>
      <w:r w:rsidR="00D3621B" w:rsidRPr="00D3621B">
        <w:rPr>
          <w:rFonts w:ascii="TimesNewRomanPSMT" w:hAnsi="TimesNewRomanPSMT"/>
        </w:rPr>
        <w:t xml:space="preserve">. </w:t>
      </w:r>
      <w:r w:rsidR="008F15CA">
        <w:rPr>
          <w:rFonts w:ascii="TimesNewRomanPSMT" w:hAnsi="TimesNewRomanPSMT"/>
        </w:rPr>
        <w:t xml:space="preserve">Nurses play a key role in supporting patient health and recover from trauma, such of which puts the nurse in a vulnerable position by experiencing indirect trauma, </w:t>
      </w:r>
      <w:r w:rsidR="008F15CA" w:rsidRPr="00D3621B">
        <w:rPr>
          <w:rFonts w:ascii="TimesNewRomanPSMT" w:hAnsi="TimesNewRomanPSMT"/>
        </w:rPr>
        <w:t xml:space="preserve">such as vicarious trauma, secondary traumatic stress, and compassion fatigue. </w:t>
      </w:r>
      <w:r w:rsidR="00D3621B">
        <w:rPr>
          <w:color w:val="000000" w:themeColor="text1"/>
        </w:rPr>
        <w:t xml:space="preserve">Thus in with </w:t>
      </w:r>
      <w:r w:rsidRPr="003D4CF4">
        <w:rPr>
          <w:color w:val="000000" w:themeColor="text1"/>
        </w:rPr>
        <w:t>Figley</w:t>
      </w:r>
      <w:r w:rsidR="00D3621B">
        <w:rPr>
          <w:color w:val="000000" w:themeColor="text1"/>
        </w:rPr>
        <w:t xml:space="preserve">’s </w:t>
      </w:r>
      <w:r w:rsidRPr="003D4CF4">
        <w:rPr>
          <w:color w:val="000000" w:themeColor="text1"/>
        </w:rPr>
        <w:t xml:space="preserve">(1988) research, </w:t>
      </w:r>
      <w:r w:rsidR="00D3621B">
        <w:rPr>
          <w:color w:val="000000" w:themeColor="text1"/>
        </w:rPr>
        <w:t>suggesting th</w:t>
      </w:r>
      <w:r w:rsidR="008F15CA">
        <w:rPr>
          <w:color w:val="000000" w:themeColor="text1"/>
        </w:rPr>
        <w:t xml:space="preserve">ere </w:t>
      </w:r>
      <w:r w:rsidR="00D3621B">
        <w:rPr>
          <w:color w:val="000000" w:themeColor="text1"/>
        </w:rPr>
        <w:t xml:space="preserve">is </w:t>
      </w:r>
      <w:r w:rsidR="008F15CA">
        <w:rPr>
          <w:color w:val="000000" w:themeColor="text1"/>
        </w:rPr>
        <w:t>a</w:t>
      </w:r>
      <w:r w:rsidR="00D3621B">
        <w:rPr>
          <w:color w:val="000000" w:themeColor="text1"/>
        </w:rPr>
        <w:t xml:space="preserve"> </w:t>
      </w:r>
      <w:r w:rsidRPr="003D4CF4">
        <w:rPr>
          <w:color w:val="000000" w:themeColor="text1"/>
        </w:rPr>
        <w:t xml:space="preserve"> “cost of caring” for health care providers dealing with traumati</w:t>
      </w:r>
      <w:r w:rsidR="00E97F15">
        <w:rPr>
          <w:color w:val="000000" w:themeColor="text1"/>
        </w:rPr>
        <w:t>s</w:t>
      </w:r>
      <w:r w:rsidRPr="003D4CF4">
        <w:rPr>
          <w:color w:val="000000" w:themeColor="text1"/>
        </w:rPr>
        <w:t>ed patients</w:t>
      </w:r>
      <w:r w:rsidR="00D3621B">
        <w:rPr>
          <w:color w:val="000000" w:themeColor="text1"/>
        </w:rPr>
        <w:t xml:space="preserve">. </w:t>
      </w:r>
      <w:r w:rsidRPr="003D4CF4">
        <w:rPr>
          <w:color w:val="000000" w:themeColor="text1"/>
        </w:rPr>
        <w:t xml:space="preserve">Sabo, (2006) </w:t>
      </w:r>
      <w:r w:rsidR="00D3621B">
        <w:rPr>
          <w:color w:val="000000" w:themeColor="text1"/>
        </w:rPr>
        <w:t>further implies</w:t>
      </w:r>
      <w:r w:rsidRPr="003D4CF4">
        <w:rPr>
          <w:color w:val="000000" w:themeColor="text1"/>
        </w:rPr>
        <w:t xml:space="preserve"> that </w:t>
      </w:r>
      <w:r w:rsidR="0028651F" w:rsidRPr="003D4CF4">
        <w:rPr>
          <w:color w:val="000000" w:themeColor="text1"/>
        </w:rPr>
        <w:t xml:space="preserve">caring for </w:t>
      </w:r>
      <w:r w:rsidR="00D3621B">
        <w:rPr>
          <w:color w:val="000000" w:themeColor="text1"/>
        </w:rPr>
        <w:t xml:space="preserve">a </w:t>
      </w:r>
      <w:r w:rsidR="0028651F" w:rsidRPr="003D4CF4">
        <w:rPr>
          <w:color w:val="000000" w:themeColor="text1"/>
        </w:rPr>
        <w:t>patient can lead to personal hatred and self-doubt when the patient face</w:t>
      </w:r>
      <w:r w:rsidR="00D3621B">
        <w:rPr>
          <w:color w:val="000000" w:themeColor="text1"/>
        </w:rPr>
        <w:t>s</w:t>
      </w:r>
      <w:r w:rsidR="0028651F" w:rsidRPr="003D4CF4">
        <w:rPr>
          <w:color w:val="000000" w:themeColor="text1"/>
        </w:rPr>
        <w:t xml:space="preserve"> unpredictable outcomes. </w:t>
      </w:r>
      <w:r w:rsidR="00D3621B">
        <w:rPr>
          <w:color w:val="000000" w:themeColor="text1"/>
        </w:rPr>
        <w:t xml:space="preserve">Despite this, </w:t>
      </w:r>
      <w:r w:rsidR="00FC5545">
        <w:rPr>
          <w:color w:val="000000" w:themeColor="text1"/>
        </w:rPr>
        <w:t xml:space="preserve">nurses </w:t>
      </w:r>
      <w:r w:rsidR="00D3621B">
        <w:rPr>
          <w:color w:val="000000" w:themeColor="text1"/>
        </w:rPr>
        <w:t xml:space="preserve">must be empathetic and form trusting relationships to thriving within their role </w:t>
      </w:r>
      <w:r w:rsidR="00D3621B" w:rsidRPr="00107CC1">
        <w:rPr>
          <w:color w:val="000000" w:themeColor="text1"/>
        </w:rPr>
        <w:t>(</w:t>
      </w:r>
      <w:r w:rsidR="00107CC1">
        <w:rPr>
          <w:color w:val="000000" w:themeColor="text1"/>
        </w:rPr>
        <w:t>David, 2002</w:t>
      </w:r>
      <w:r w:rsidR="00D3621B" w:rsidRPr="00107CC1">
        <w:rPr>
          <w:color w:val="000000" w:themeColor="text1"/>
        </w:rPr>
        <w:t>).</w:t>
      </w:r>
      <w:r w:rsidR="00D3621B">
        <w:rPr>
          <w:color w:val="000000" w:themeColor="text1"/>
        </w:rPr>
        <w:t xml:space="preserve"> </w:t>
      </w:r>
      <w:r w:rsidR="0028651F" w:rsidRPr="003D4CF4">
        <w:rPr>
          <w:color w:val="000000" w:themeColor="text1"/>
        </w:rPr>
        <w:t xml:space="preserve"> </w:t>
      </w:r>
      <w:r w:rsidR="00FC5545">
        <w:rPr>
          <w:rFonts w:ascii="TimesNewRomanPSMT" w:hAnsi="TimesNewRomanPSMT"/>
        </w:rPr>
        <w:t>However, newly qualified nurses are at greater risk of experiencing such forms of indirect trauma as they are often unprepared and provided with the tools to cope with the new experiences and such demands. Although there have been studies on reducing in</w:t>
      </w:r>
      <w:r w:rsidR="00E97F15">
        <w:rPr>
          <w:rFonts w:ascii="TimesNewRomanPSMT" w:hAnsi="TimesNewRomanPSMT"/>
        </w:rPr>
        <w:t>-</w:t>
      </w:r>
      <w:r w:rsidR="00FC5545">
        <w:rPr>
          <w:rFonts w:ascii="TimesNewRomanPSMT" w:hAnsi="TimesNewRomanPSMT"/>
        </w:rPr>
        <w:t>directed trauma with</w:t>
      </w:r>
      <w:r w:rsidR="00E97F15">
        <w:rPr>
          <w:rFonts w:ascii="TimesNewRomanPSMT" w:hAnsi="TimesNewRomanPSMT"/>
        </w:rPr>
        <w:t xml:space="preserve">in </w:t>
      </w:r>
      <w:r w:rsidR="00FC5545">
        <w:rPr>
          <w:rFonts w:ascii="TimesNewRomanPSMT" w:hAnsi="TimesNewRomanPSMT"/>
        </w:rPr>
        <w:t>nursing, there is a lack of research on the experiences of newly qualified nurses within the field</w:t>
      </w:r>
      <w:r w:rsidR="00E97F15">
        <w:rPr>
          <w:rFonts w:ascii="TimesNewRomanPSMT" w:hAnsi="TimesNewRomanPSMT"/>
        </w:rPr>
        <w:t>. Particularly, the resources</w:t>
      </w:r>
      <w:r w:rsidR="00FC5545">
        <w:rPr>
          <w:rFonts w:ascii="TimesNewRomanPSMT" w:hAnsi="TimesNewRomanPSMT"/>
        </w:rPr>
        <w:t xml:space="preserve"> </w:t>
      </w:r>
      <w:r w:rsidR="00E97F15">
        <w:rPr>
          <w:rFonts w:ascii="TimesNewRomanPSMT" w:hAnsi="TimesNewRomanPSMT"/>
        </w:rPr>
        <w:t xml:space="preserve">and education </w:t>
      </w:r>
      <w:r w:rsidR="00FC5545">
        <w:rPr>
          <w:rFonts w:ascii="TimesNewRomanPSMT" w:hAnsi="TimesNewRomanPSMT"/>
        </w:rPr>
        <w:t xml:space="preserve">to support the newly qualified </w:t>
      </w:r>
      <w:r w:rsidR="00E97F15">
        <w:rPr>
          <w:rFonts w:ascii="TimesNewRomanPSMT" w:hAnsi="TimesNewRomanPSMT"/>
        </w:rPr>
        <w:t xml:space="preserve">nurses </w:t>
      </w:r>
      <w:r w:rsidR="00FC5545">
        <w:rPr>
          <w:rFonts w:ascii="TimesNewRomanPSMT" w:hAnsi="TimesNewRomanPSMT"/>
        </w:rPr>
        <w:t xml:space="preserve">to cope </w:t>
      </w:r>
      <w:r w:rsidR="00E97F15">
        <w:rPr>
          <w:rFonts w:ascii="TimesNewRomanPSMT" w:hAnsi="TimesNewRomanPSMT"/>
        </w:rPr>
        <w:t>and manage the</w:t>
      </w:r>
      <w:r w:rsidR="00FC5545">
        <w:rPr>
          <w:rFonts w:ascii="TimesNewRomanPSMT" w:hAnsi="TimesNewRomanPSMT"/>
        </w:rPr>
        <w:t xml:space="preserve"> exposure to trauma.</w:t>
      </w:r>
    </w:p>
    <w:p w14:paraId="3B6019D0" w14:textId="0AAF7BC3" w:rsidR="00E97F15" w:rsidRPr="003D4CF4" w:rsidRDefault="00E97F15" w:rsidP="003D4CF4">
      <w:pPr>
        <w:spacing w:before="100" w:beforeAutospacing="1" w:after="100" w:afterAutospacing="1" w:line="480" w:lineRule="auto"/>
        <w:rPr>
          <w:color w:val="000000" w:themeColor="text1"/>
        </w:rPr>
      </w:pPr>
      <w:r>
        <w:rPr>
          <w:color w:val="000000" w:themeColor="text1"/>
        </w:rPr>
        <w:lastRenderedPageBreak/>
        <w:t xml:space="preserve">Conceptualisation Clarification </w:t>
      </w:r>
    </w:p>
    <w:p w14:paraId="0172EC4F" w14:textId="12DEC71D" w:rsidR="00227634" w:rsidRPr="003D4CF4" w:rsidRDefault="00291A9B" w:rsidP="003D4CF4">
      <w:pPr>
        <w:spacing w:before="100" w:beforeAutospacing="1" w:after="100" w:afterAutospacing="1" w:line="480" w:lineRule="auto"/>
        <w:rPr>
          <w:color w:val="000000" w:themeColor="text1"/>
        </w:rPr>
      </w:pPr>
      <w:r w:rsidRPr="003D4CF4">
        <w:rPr>
          <w:color w:val="000000" w:themeColor="text1"/>
        </w:rPr>
        <w:t>The conceptualisation of secondary traumatic stress (STS) has been described as multifaceted; thus, researcher</w:t>
      </w:r>
      <w:r w:rsidR="00E97F15">
        <w:rPr>
          <w:color w:val="000000" w:themeColor="text1"/>
        </w:rPr>
        <w:t>s</w:t>
      </w:r>
      <w:r w:rsidRPr="003D4CF4">
        <w:rPr>
          <w:color w:val="000000" w:themeColor="text1"/>
        </w:rPr>
        <w:t xml:space="preserve"> have stated there is a lack of conceptual clarity surrounding STS. </w:t>
      </w:r>
      <w:r w:rsidR="00227634" w:rsidRPr="003D4CF4">
        <w:rPr>
          <w:color w:val="000000" w:themeColor="text1"/>
        </w:rPr>
        <w:t xml:space="preserve">The use of different terminology at times to refer to the same concept contributes to this confusion. Closely related concepts of secondary traumatic stress </w:t>
      </w:r>
      <w:r w:rsidR="00E97F15">
        <w:rPr>
          <w:color w:val="000000" w:themeColor="text1"/>
        </w:rPr>
        <w:t xml:space="preserve">such as </w:t>
      </w:r>
      <w:r w:rsidR="00227634" w:rsidRPr="003D4CF4">
        <w:rPr>
          <w:color w:val="000000" w:themeColor="text1"/>
        </w:rPr>
        <w:t>compassion fatigue, burnout</w:t>
      </w:r>
      <w:r w:rsidR="0001497F" w:rsidRPr="003D4CF4">
        <w:rPr>
          <w:color w:val="000000" w:themeColor="text1"/>
        </w:rPr>
        <w:t xml:space="preserve">, well-being, </w:t>
      </w:r>
      <w:r w:rsidR="00227634" w:rsidRPr="003D4CF4">
        <w:rPr>
          <w:color w:val="000000" w:themeColor="text1"/>
        </w:rPr>
        <w:t xml:space="preserve">and vicarious </w:t>
      </w:r>
      <w:r w:rsidR="0001497F" w:rsidRPr="003D4CF4">
        <w:rPr>
          <w:color w:val="000000" w:themeColor="text1"/>
        </w:rPr>
        <w:t>traumatisation</w:t>
      </w:r>
      <w:r w:rsidR="001B5BA5" w:rsidRPr="003D4CF4">
        <w:rPr>
          <w:color w:val="000000" w:themeColor="text1"/>
        </w:rPr>
        <w:t xml:space="preserve">, </w:t>
      </w:r>
      <w:r w:rsidR="00227634" w:rsidRPr="003D4CF4">
        <w:rPr>
          <w:color w:val="000000" w:themeColor="text1"/>
        </w:rPr>
        <w:t>need</w:t>
      </w:r>
      <w:r w:rsidR="001B5BA5" w:rsidRPr="003D4CF4">
        <w:rPr>
          <w:color w:val="000000" w:themeColor="text1"/>
        </w:rPr>
        <w:t>s</w:t>
      </w:r>
      <w:r w:rsidR="00227634" w:rsidRPr="003D4CF4">
        <w:rPr>
          <w:color w:val="000000" w:themeColor="text1"/>
        </w:rPr>
        <w:t xml:space="preserve"> to be differentiate</w:t>
      </w:r>
      <w:r w:rsidR="001B5BA5" w:rsidRPr="003D4CF4">
        <w:rPr>
          <w:color w:val="000000" w:themeColor="text1"/>
        </w:rPr>
        <w:t xml:space="preserve">d and will be differentiated throughout this programme of work. </w:t>
      </w:r>
    </w:p>
    <w:p w14:paraId="30E03CBC" w14:textId="35D07D39" w:rsidR="00227634" w:rsidRPr="003D4CF4" w:rsidRDefault="00E97F15" w:rsidP="003D4CF4">
      <w:pPr>
        <w:spacing w:before="100" w:beforeAutospacing="1" w:after="100" w:afterAutospacing="1" w:line="480" w:lineRule="auto"/>
        <w:rPr>
          <w:color w:val="000000" w:themeColor="text1"/>
        </w:rPr>
      </w:pPr>
      <w:r>
        <w:rPr>
          <w:color w:val="000000" w:themeColor="text1"/>
        </w:rPr>
        <w:t xml:space="preserve">How </w:t>
      </w:r>
      <w:r w:rsidR="00227634" w:rsidRPr="003D4CF4">
        <w:rPr>
          <w:color w:val="000000" w:themeColor="text1"/>
        </w:rPr>
        <w:t>Secondary Traumatic Stress</w:t>
      </w:r>
      <w:r>
        <w:rPr>
          <w:color w:val="000000" w:themeColor="text1"/>
        </w:rPr>
        <w:t xml:space="preserve"> will be defined within this research?</w:t>
      </w:r>
      <w:r w:rsidR="001B5BA5" w:rsidRPr="003D4CF4">
        <w:rPr>
          <w:color w:val="000000" w:themeColor="text1"/>
        </w:rPr>
        <w:t xml:space="preserve"> </w:t>
      </w:r>
    </w:p>
    <w:p w14:paraId="31EC7C59" w14:textId="5B093569" w:rsidR="002715FA" w:rsidRPr="003D4CF4" w:rsidRDefault="009B72F4" w:rsidP="003D4CF4">
      <w:pPr>
        <w:spacing w:before="100" w:beforeAutospacing="1" w:after="100" w:afterAutospacing="1" w:line="480" w:lineRule="auto"/>
        <w:rPr>
          <w:color w:val="000000" w:themeColor="text1"/>
        </w:rPr>
      </w:pPr>
      <w:r w:rsidRPr="003D4CF4">
        <w:rPr>
          <w:color w:val="000000" w:themeColor="text1"/>
        </w:rPr>
        <w:t xml:space="preserve">In simple terms, Figley (1995) described Secondary traumatic stress as an </w:t>
      </w:r>
      <w:r w:rsidR="00256EAA" w:rsidRPr="003D4CF4">
        <w:rPr>
          <w:color w:val="000000" w:themeColor="text1"/>
        </w:rPr>
        <w:t xml:space="preserve">individual may become traumatised only by learning of a tragic event that has happened to someone else. </w:t>
      </w:r>
      <w:r w:rsidR="007E711A" w:rsidRPr="003D4CF4">
        <w:rPr>
          <w:color w:val="000000" w:themeColor="text1"/>
        </w:rPr>
        <w:t>It has been further defined as a natural reacting emotions and behaviours from gaining knowledge of a traumatising event experienced by a significant other (</w:t>
      </w:r>
      <w:r w:rsidR="000466C3">
        <w:rPr>
          <w:color w:val="000000" w:themeColor="text1"/>
        </w:rPr>
        <w:t>Aston, 2012)</w:t>
      </w:r>
      <w:r w:rsidR="007E711A" w:rsidRPr="003D4CF4">
        <w:rPr>
          <w:color w:val="000000" w:themeColor="text1"/>
        </w:rPr>
        <w:t xml:space="preserve">.  </w:t>
      </w:r>
    </w:p>
    <w:p w14:paraId="153EB825" w14:textId="3473088B" w:rsidR="00C03CD3" w:rsidRPr="003D4CF4" w:rsidRDefault="00961CCC" w:rsidP="003D4CF4">
      <w:pPr>
        <w:spacing w:line="480" w:lineRule="auto"/>
        <w:rPr>
          <w:b/>
          <w:bCs/>
        </w:rPr>
      </w:pPr>
      <w:r w:rsidRPr="003D4CF4">
        <w:rPr>
          <w:b/>
          <w:bCs/>
          <w:color w:val="202124"/>
          <w:shd w:val="clear" w:color="auto" w:fill="FFFFFF"/>
        </w:rPr>
        <w:t xml:space="preserve">Aim of the Narrative Review </w:t>
      </w:r>
    </w:p>
    <w:p w14:paraId="023BD8B3" w14:textId="4CF4E986" w:rsidR="00900E8F" w:rsidRPr="003D4CF4" w:rsidRDefault="00900E8F" w:rsidP="003D4CF4">
      <w:pPr>
        <w:spacing w:line="480" w:lineRule="auto"/>
        <w:jc w:val="both"/>
        <w:rPr>
          <w:rFonts w:eastAsia="Arial Unicode MS"/>
          <w:b/>
          <w:bCs/>
        </w:rPr>
      </w:pPr>
    </w:p>
    <w:p w14:paraId="7186737A" w14:textId="04694A60" w:rsidR="000C7AA7" w:rsidRPr="003D4CF4" w:rsidRDefault="002715FA" w:rsidP="001A1D62">
      <w:pPr>
        <w:spacing w:line="480" w:lineRule="auto"/>
        <w:jc w:val="both"/>
        <w:rPr>
          <w:rFonts w:eastAsia="Arial Unicode MS"/>
        </w:rPr>
      </w:pPr>
      <w:r w:rsidRPr="003D4CF4">
        <w:rPr>
          <w:rFonts w:eastAsia="Arial Unicode MS"/>
        </w:rPr>
        <w:t xml:space="preserve">A reoccurring theme within secondary traumatic stress literature over the past decade is the need </w:t>
      </w:r>
      <w:r w:rsidR="002B45BA" w:rsidRPr="003D4CF4">
        <w:rPr>
          <w:rFonts w:eastAsia="Arial Unicode MS"/>
        </w:rPr>
        <w:t xml:space="preserve">for improved </w:t>
      </w:r>
      <w:r w:rsidRPr="003D4CF4">
        <w:rPr>
          <w:rFonts w:eastAsia="Arial Unicode MS"/>
        </w:rPr>
        <w:t>conceptualis</w:t>
      </w:r>
      <w:r w:rsidR="002B45BA" w:rsidRPr="003D4CF4">
        <w:rPr>
          <w:rFonts w:eastAsia="Arial Unicode MS"/>
        </w:rPr>
        <w:t xml:space="preserve">ation. Past research has integrated STS as </w:t>
      </w:r>
      <w:r w:rsidR="007505C5" w:rsidRPr="003D4CF4">
        <w:rPr>
          <w:rFonts w:eastAsia="Arial Unicode MS"/>
        </w:rPr>
        <w:t>a</w:t>
      </w:r>
      <w:r w:rsidR="002B45BA" w:rsidRPr="003D4CF4">
        <w:rPr>
          <w:rFonts w:eastAsia="Arial Unicode MS"/>
        </w:rPr>
        <w:t xml:space="preserve"> multifaceted construct with </w:t>
      </w:r>
      <w:r w:rsidR="007505C5" w:rsidRPr="003D4CF4">
        <w:rPr>
          <w:rFonts w:eastAsia="Arial Unicode MS"/>
        </w:rPr>
        <w:t>c</w:t>
      </w:r>
      <w:r w:rsidR="002B45BA" w:rsidRPr="003D4CF4">
        <w:rPr>
          <w:rFonts w:eastAsia="Arial Unicode MS"/>
        </w:rPr>
        <w:t xml:space="preserve">ompassion fatigue, burnout, well-being and vicarious traumatisation. Such of which have created ambiguity surrounding the term </w:t>
      </w:r>
      <w:r w:rsidRPr="003D4CF4">
        <w:rPr>
          <w:rFonts w:eastAsia="Arial Unicode MS"/>
        </w:rPr>
        <w:t>secondary traumatic stress</w:t>
      </w:r>
      <w:r w:rsidR="002B45BA" w:rsidRPr="003D4CF4">
        <w:rPr>
          <w:rFonts w:eastAsia="Arial Unicode MS"/>
        </w:rPr>
        <w:t xml:space="preserve">. In line with the research </w:t>
      </w:r>
      <w:r w:rsidR="007505C5" w:rsidRPr="003D4CF4">
        <w:rPr>
          <w:rFonts w:eastAsia="Arial Unicode MS"/>
        </w:rPr>
        <w:t>proposed</w:t>
      </w:r>
      <w:r w:rsidR="002B45BA" w:rsidRPr="003D4CF4">
        <w:rPr>
          <w:rFonts w:eastAsia="Arial Unicode MS"/>
        </w:rPr>
        <w:t xml:space="preserve"> by (</w:t>
      </w:r>
      <w:r w:rsidR="000466C3">
        <w:rPr>
          <w:rFonts w:eastAsia="Arial Unicode MS"/>
        </w:rPr>
        <w:t>Caswell, 2018</w:t>
      </w:r>
      <w:r w:rsidR="002B45BA" w:rsidRPr="003D4CF4">
        <w:rPr>
          <w:rFonts w:eastAsia="Arial Unicode MS"/>
        </w:rPr>
        <w:t xml:space="preserve">), </w:t>
      </w:r>
      <w:r w:rsidR="000C7AA7" w:rsidRPr="003D4CF4">
        <w:rPr>
          <w:rFonts w:eastAsia="Arial Unicode MS"/>
        </w:rPr>
        <w:t xml:space="preserve">the majority of the key factors ‘integrated’ with STS </w:t>
      </w:r>
      <w:r w:rsidR="007D30D6" w:rsidRPr="003D4CF4">
        <w:rPr>
          <w:rFonts w:eastAsia="Arial Unicode MS"/>
        </w:rPr>
        <w:t>deserve</w:t>
      </w:r>
      <w:r w:rsidR="002B45BA" w:rsidRPr="003D4CF4">
        <w:rPr>
          <w:rFonts w:eastAsia="Arial Unicode MS"/>
        </w:rPr>
        <w:t xml:space="preserve"> the right for </w:t>
      </w:r>
      <w:r w:rsidR="007D30D6" w:rsidRPr="003D4CF4">
        <w:rPr>
          <w:rFonts w:eastAsia="Arial Unicode MS"/>
        </w:rPr>
        <w:t>their own categorisatio</w:t>
      </w:r>
      <w:r w:rsidR="000C7AA7" w:rsidRPr="003D4CF4">
        <w:rPr>
          <w:rFonts w:eastAsia="Arial Unicode MS"/>
        </w:rPr>
        <w:t>n. However,</w:t>
      </w:r>
      <w:r w:rsidR="007D30D6" w:rsidRPr="003D4CF4">
        <w:rPr>
          <w:rFonts w:eastAsia="Arial Unicode MS"/>
        </w:rPr>
        <w:t xml:space="preserve"> </w:t>
      </w:r>
      <w:r w:rsidR="000C7AA7" w:rsidRPr="003D4CF4">
        <w:rPr>
          <w:rFonts w:eastAsia="Arial Unicode MS"/>
        </w:rPr>
        <w:t xml:space="preserve">research from </w:t>
      </w:r>
      <w:r w:rsidR="000466C3">
        <w:rPr>
          <w:rFonts w:eastAsia="Arial Unicode MS"/>
        </w:rPr>
        <w:t>(Caswell, 2018)</w:t>
      </w:r>
      <w:r w:rsidR="000C7AA7" w:rsidRPr="003D4CF4">
        <w:rPr>
          <w:rFonts w:eastAsia="Arial Unicode MS"/>
        </w:rPr>
        <w:t xml:space="preserve"> proposes that </w:t>
      </w:r>
      <w:r w:rsidR="007D30D6" w:rsidRPr="003D4CF4">
        <w:rPr>
          <w:rFonts w:eastAsia="Arial Unicode MS"/>
        </w:rPr>
        <w:t xml:space="preserve">they are closely linked to </w:t>
      </w:r>
      <w:r w:rsidR="00961CCC" w:rsidRPr="003D4CF4">
        <w:rPr>
          <w:rFonts w:eastAsia="Arial Unicode MS"/>
        </w:rPr>
        <w:t>STS</w:t>
      </w:r>
      <w:r w:rsidR="000C7AA7" w:rsidRPr="003D4CF4">
        <w:rPr>
          <w:rFonts w:eastAsia="Arial Unicode MS"/>
        </w:rPr>
        <w:t xml:space="preserve">. </w:t>
      </w:r>
    </w:p>
    <w:p w14:paraId="7EBA2636" w14:textId="77777777" w:rsidR="00197385" w:rsidRPr="003D4CF4" w:rsidRDefault="00197385" w:rsidP="001A1D62">
      <w:pPr>
        <w:spacing w:line="480" w:lineRule="auto"/>
        <w:jc w:val="both"/>
        <w:rPr>
          <w:rFonts w:eastAsia="Arial Unicode MS"/>
        </w:rPr>
      </w:pPr>
    </w:p>
    <w:p w14:paraId="1B02B145" w14:textId="083B4D29" w:rsidR="00F6632C" w:rsidRDefault="000C7AA7" w:rsidP="001A1D62">
      <w:pPr>
        <w:pStyle w:val="NormalWeb"/>
        <w:spacing w:line="480" w:lineRule="auto"/>
        <w:rPr>
          <w:rFonts w:eastAsia="Arial Unicode MS"/>
        </w:rPr>
      </w:pPr>
      <w:r w:rsidRPr="003D4CF4">
        <w:rPr>
          <w:rFonts w:eastAsia="Arial Unicode MS"/>
        </w:rPr>
        <w:lastRenderedPageBreak/>
        <w:t>The purpose of this narrative review is to provide an overview of</w:t>
      </w:r>
      <w:r w:rsidR="00F6632C">
        <w:rPr>
          <w:rFonts w:eastAsia="Arial Unicode MS"/>
        </w:rPr>
        <w:t xml:space="preserve"> the</w:t>
      </w:r>
      <w:r w:rsidR="00197385" w:rsidRPr="003D4CF4">
        <w:rPr>
          <w:rFonts w:eastAsia="Arial Unicode MS"/>
        </w:rPr>
        <w:t xml:space="preserve"> </w:t>
      </w:r>
      <w:r w:rsidR="00F6632C">
        <w:rPr>
          <w:rFonts w:eastAsia="Arial Unicode MS"/>
        </w:rPr>
        <w:t xml:space="preserve">research surrounding </w:t>
      </w:r>
      <w:r w:rsidRPr="003D4CF4">
        <w:rPr>
          <w:rFonts w:eastAsia="Arial Unicode MS"/>
        </w:rPr>
        <w:t>burnout, well-being and vicarious traumatisation</w:t>
      </w:r>
      <w:r w:rsidR="00197385" w:rsidRPr="003D4CF4">
        <w:rPr>
          <w:rFonts w:eastAsia="Arial Unicode MS"/>
        </w:rPr>
        <w:t xml:space="preserve"> </w:t>
      </w:r>
      <w:r w:rsidR="003D4CF4" w:rsidRPr="003D4CF4">
        <w:rPr>
          <w:rFonts w:eastAsia="Arial Unicode MS"/>
        </w:rPr>
        <w:t>in field of nursing</w:t>
      </w:r>
      <w:r w:rsidR="00F6632C">
        <w:rPr>
          <w:rFonts w:eastAsia="Arial Unicode MS"/>
        </w:rPr>
        <w:t>, particularly surrounding the support and education for newly qualified nurses</w:t>
      </w:r>
      <w:r w:rsidR="003D4CF4" w:rsidRPr="003D4CF4">
        <w:rPr>
          <w:rFonts w:eastAsia="Arial Unicode MS"/>
        </w:rPr>
        <w:t xml:space="preserve">. Furthermore, to </w:t>
      </w:r>
      <w:r w:rsidR="007505C5" w:rsidRPr="003D4CF4">
        <w:rPr>
          <w:rFonts w:eastAsia="Arial Unicode MS"/>
        </w:rPr>
        <w:t>attempt to bring understanding</w:t>
      </w:r>
      <w:r w:rsidR="00F6632C">
        <w:rPr>
          <w:rFonts w:eastAsia="Arial Unicode MS"/>
        </w:rPr>
        <w:t xml:space="preserve"> and </w:t>
      </w:r>
      <w:r w:rsidR="007505C5" w:rsidRPr="003D4CF4">
        <w:rPr>
          <w:rFonts w:eastAsia="Arial Unicode MS"/>
        </w:rPr>
        <w:t>differentiation of Compassion fatigue, burnout, well-being and vicarious traumatisation within nursing.</w:t>
      </w:r>
      <w:r w:rsidR="003D4CF4" w:rsidRPr="003D4CF4">
        <w:rPr>
          <w:rFonts w:eastAsia="Arial Unicode MS"/>
        </w:rPr>
        <w:t xml:space="preserve"> </w:t>
      </w:r>
      <w:r w:rsidR="00F6632C">
        <w:rPr>
          <w:rFonts w:eastAsia="Arial Unicode MS"/>
        </w:rPr>
        <w:t xml:space="preserve">Lastly, to provide theoretically informed recommendations to support newly qualified nursing dealing and managing STS. </w:t>
      </w:r>
    </w:p>
    <w:p w14:paraId="70D31F81" w14:textId="14C8D1E3" w:rsidR="00F6632C" w:rsidRDefault="00F6632C" w:rsidP="001A1D62">
      <w:pPr>
        <w:pStyle w:val="NormalWeb"/>
        <w:spacing w:line="480" w:lineRule="auto"/>
        <w:rPr>
          <w:rFonts w:eastAsia="Arial Unicode MS"/>
        </w:rPr>
      </w:pPr>
      <w:r>
        <w:rPr>
          <w:rFonts w:eastAsia="Arial Unicode MS"/>
        </w:rPr>
        <w:t xml:space="preserve">In simple terms: </w:t>
      </w:r>
    </w:p>
    <w:p w14:paraId="6B48C116" w14:textId="506ADA57" w:rsidR="000E4AFD" w:rsidRDefault="00F6632C" w:rsidP="000E4AFD">
      <w:pPr>
        <w:pStyle w:val="NormalWeb"/>
        <w:spacing w:line="480" w:lineRule="auto"/>
        <w:rPr>
          <w:rFonts w:ascii="TimesNewRomanPSMT" w:hAnsi="TimesNewRomanPSMT"/>
        </w:rPr>
      </w:pPr>
      <w:r w:rsidRPr="000E4AFD">
        <w:rPr>
          <w:rFonts w:eastAsia="Arial Unicode MS"/>
        </w:rPr>
        <w:t xml:space="preserve">Aim: </w:t>
      </w:r>
      <w:r w:rsidR="002F70C4" w:rsidRPr="000E4AFD">
        <w:rPr>
          <w:rFonts w:eastAsia="Arial Unicode MS"/>
        </w:rPr>
        <w:t>A</w:t>
      </w:r>
      <w:r w:rsidRPr="000E4AFD">
        <w:rPr>
          <w:rFonts w:eastAsia="Arial Unicode MS"/>
        </w:rPr>
        <w:t xml:space="preserve">n </w:t>
      </w:r>
      <w:r w:rsidR="002F70C4" w:rsidRPr="000E4AFD">
        <w:rPr>
          <w:rFonts w:eastAsia="Arial Unicode MS"/>
        </w:rPr>
        <w:t>narrative review of the education to support and cop</w:t>
      </w:r>
      <w:r w:rsidR="000E4AFD" w:rsidRPr="000E4AFD">
        <w:rPr>
          <w:rFonts w:eastAsia="Arial Unicode MS"/>
        </w:rPr>
        <w:t xml:space="preserve">ing </w:t>
      </w:r>
      <w:r w:rsidR="002F70C4" w:rsidRPr="000E4AFD">
        <w:rPr>
          <w:rFonts w:eastAsia="Arial Unicode MS"/>
        </w:rPr>
        <w:t xml:space="preserve">with </w:t>
      </w:r>
      <w:r w:rsidRPr="000E4AFD">
        <w:rPr>
          <w:rFonts w:eastAsia="Arial Unicode MS"/>
        </w:rPr>
        <w:t xml:space="preserve">burnout, well-being and vicarious traumatisation </w:t>
      </w:r>
      <w:r w:rsidR="002F70C4" w:rsidRPr="000E4AFD">
        <w:rPr>
          <w:rFonts w:eastAsia="Arial Unicode MS"/>
        </w:rPr>
        <w:t>within</w:t>
      </w:r>
      <w:r w:rsidRPr="000E4AFD">
        <w:rPr>
          <w:rFonts w:eastAsia="Arial Unicode MS"/>
        </w:rPr>
        <w:t xml:space="preserve"> field of nursing</w:t>
      </w:r>
      <w:r w:rsidR="002F70C4" w:rsidRPr="000E4AFD">
        <w:rPr>
          <w:rFonts w:eastAsia="Arial Unicode MS"/>
        </w:rPr>
        <w:t>.</w:t>
      </w:r>
      <w:r w:rsidR="002F70C4">
        <w:rPr>
          <w:rFonts w:eastAsia="Arial Unicode MS"/>
        </w:rPr>
        <w:t xml:space="preserve"> </w:t>
      </w:r>
    </w:p>
    <w:p w14:paraId="61246093" w14:textId="77777777" w:rsidR="000E4AFD" w:rsidRDefault="000E4AFD" w:rsidP="000E4AFD">
      <w:pPr>
        <w:pStyle w:val="NormalWeb"/>
        <w:numPr>
          <w:ilvl w:val="0"/>
          <w:numId w:val="28"/>
        </w:numPr>
        <w:spacing w:line="480" w:lineRule="auto"/>
        <w:rPr>
          <w:rFonts w:ascii="TimesNewRomanPSMT" w:hAnsi="TimesNewRomanPSMT"/>
        </w:rPr>
      </w:pPr>
      <w:r>
        <w:rPr>
          <w:rFonts w:ascii="TimesNewRomanPSMT" w:hAnsi="TimesNewRomanPSMT"/>
        </w:rPr>
        <w:t>To discover</w:t>
      </w:r>
      <w:r w:rsidRPr="001A1D62">
        <w:rPr>
          <w:rFonts w:ascii="TimesNewRomanPSMT" w:hAnsi="TimesNewRomanPSMT"/>
        </w:rPr>
        <w:t xml:space="preserve"> </w:t>
      </w:r>
      <w:r>
        <w:rPr>
          <w:rFonts w:ascii="TimesNewRomanPSMT" w:hAnsi="TimesNewRomanPSMT"/>
        </w:rPr>
        <w:t xml:space="preserve">the </w:t>
      </w:r>
      <w:r w:rsidRPr="001A1D62">
        <w:rPr>
          <w:rFonts w:ascii="TimesNewRomanPSMT" w:hAnsi="TimesNewRomanPSMT"/>
        </w:rPr>
        <w:t xml:space="preserve">tools </w:t>
      </w:r>
      <w:r>
        <w:rPr>
          <w:rFonts w:ascii="TimesNewRomanPSMT" w:hAnsi="TimesNewRomanPSMT"/>
        </w:rPr>
        <w:t xml:space="preserve">provided to the newly qualified nurses to </w:t>
      </w:r>
      <w:r w:rsidRPr="001A1D62">
        <w:rPr>
          <w:rFonts w:ascii="TimesNewRomanPSMT" w:hAnsi="TimesNewRomanPSMT"/>
        </w:rPr>
        <w:t>identify burnout, compassion fatigue, vicarious trauma and secondary trauma</w:t>
      </w:r>
      <w:r>
        <w:rPr>
          <w:rFonts w:ascii="TimesNewRomanPSMT" w:hAnsi="TimesNewRomanPSMT"/>
        </w:rPr>
        <w:t xml:space="preserve">. </w:t>
      </w:r>
    </w:p>
    <w:p w14:paraId="4B99E3B5" w14:textId="77777777" w:rsidR="000E4AFD" w:rsidRDefault="000E4AFD" w:rsidP="000E4AFD">
      <w:pPr>
        <w:pStyle w:val="NormalWeb"/>
        <w:numPr>
          <w:ilvl w:val="0"/>
          <w:numId w:val="28"/>
        </w:numPr>
        <w:spacing w:line="480" w:lineRule="auto"/>
        <w:rPr>
          <w:rFonts w:ascii="TimesNewRomanPSMT" w:hAnsi="TimesNewRomanPSMT"/>
        </w:rPr>
      </w:pPr>
      <w:r>
        <w:rPr>
          <w:rFonts w:ascii="TimesNewRomanPSMT" w:hAnsi="TimesNewRomanPSMT"/>
        </w:rPr>
        <w:t>To explore</w:t>
      </w:r>
      <w:r w:rsidRPr="001A1D62">
        <w:rPr>
          <w:rFonts w:ascii="TimesNewRomanPSMT" w:hAnsi="TimesNewRomanPSMT"/>
        </w:rPr>
        <w:t xml:space="preserve"> </w:t>
      </w:r>
      <w:r>
        <w:rPr>
          <w:rFonts w:ascii="TimesNewRomanPSMT" w:hAnsi="TimesNewRomanPSMT"/>
        </w:rPr>
        <w:t>the</w:t>
      </w:r>
      <w:r w:rsidRPr="001A1D62">
        <w:rPr>
          <w:rFonts w:ascii="TimesNewRomanPSMT" w:hAnsi="TimesNewRomanPSMT"/>
        </w:rPr>
        <w:t xml:space="preserve"> </w:t>
      </w:r>
      <w:r>
        <w:rPr>
          <w:rFonts w:ascii="TimesNewRomanPSMT" w:hAnsi="TimesNewRomanPSMT"/>
        </w:rPr>
        <w:t xml:space="preserve">skills and </w:t>
      </w:r>
      <w:r w:rsidRPr="001A1D62">
        <w:rPr>
          <w:rFonts w:ascii="TimesNewRomanPSMT" w:hAnsi="TimesNewRomanPSMT"/>
        </w:rPr>
        <w:t>identif</w:t>
      </w:r>
      <w:r>
        <w:rPr>
          <w:rFonts w:ascii="TimesNewRomanPSMT" w:hAnsi="TimesNewRomanPSMT"/>
        </w:rPr>
        <w:t>y the</w:t>
      </w:r>
      <w:r w:rsidRPr="001A1D62">
        <w:rPr>
          <w:rFonts w:ascii="TimesNewRomanPSMT" w:hAnsi="TimesNewRomanPSMT"/>
        </w:rPr>
        <w:t xml:space="preserve"> measure</w:t>
      </w:r>
      <w:r>
        <w:rPr>
          <w:rFonts w:ascii="TimesNewRomanPSMT" w:hAnsi="TimesNewRomanPSMT"/>
        </w:rPr>
        <w:t>s in place to monitor</w:t>
      </w:r>
      <w:r w:rsidRPr="001A1D62">
        <w:rPr>
          <w:rFonts w:ascii="TimesNewRomanPSMT" w:hAnsi="TimesNewRomanPSMT"/>
        </w:rPr>
        <w:t xml:space="preserve"> burnout, compassion fatigue, vicarious trauma and secondary trauma</w:t>
      </w:r>
      <w:r>
        <w:rPr>
          <w:rFonts w:ascii="TimesNewRomanPSMT" w:hAnsi="TimesNewRomanPSMT"/>
        </w:rPr>
        <w:t xml:space="preserve">. </w:t>
      </w:r>
    </w:p>
    <w:p w14:paraId="69C17DB4" w14:textId="77777777" w:rsidR="000E4AFD" w:rsidRDefault="000E4AFD" w:rsidP="000E4AFD">
      <w:pPr>
        <w:pStyle w:val="NormalWeb"/>
        <w:numPr>
          <w:ilvl w:val="0"/>
          <w:numId w:val="28"/>
        </w:numPr>
        <w:spacing w:line="480" w:lineRule="auto"/>
        <w:rPr>
          <w:rFonts w:ascii="TimesNewRomanPSMT" w:hAnsi="TimesNewRomanPSMT"/>
        </w:rPr>
      </w:pPr>
      <w:r>
        <w:rPr>
          <w:rFonts w:ascii="TimesNewRomanPSMT" w:hAnsi="TimesNewRomanPSMT"/>
        </w:rPr>
        <w:t xml:space="preserve">To </w:t>
      </w:r>
      <w:r w:rsidRPr="001A1D62">
        <w:rPr>
          <w:rFonts w:ascii="TimesNewRomanPSMT" w:hAnsi="TimesNewRomanPSMT"/>
        </w:rPr>
        <w:t xml:space="preserve">identify the warning signs and ways to prevent and treat burnout, compassion fatigue, vicarious trauma and secondary trauma within </w:t>
      </w:r>
      <w:r>
        <w:rPr>
          <w:rFonts w:ascii="TimesNewRomanPSMT" w:hAnsi="TimesNewRomanPSMT"/>
        </w:rPr>
        <w:t xml:space="preserve">nurses  </w:t>
      </w:r>
    </w:p>
    <w:p w14:paraId="3F005242" w14:textId="77777777" w:rsidR="000E4AFD" w:rsidRPr="00F6632C" w:rsidRDefault="000E4AFD" w:rsidP="000E4AFD">
      <w:pPr>
        <w:pStyle w:val="NormalWeb"/>
        <w:numPr>
          <w:ilvl w:val="0"/>
          <w:numId w:val="28"/>
        </w:numPr>
        <w:spacing w:line="480" w:lineRule="auto"/>
        <w:rPr>
          <w:rFonts w:ascii="TimesNewRomanPSMT" w:hAnsi="TimesNewRomanPSMT"/>
        </w:rPr>
      </w:pPr>
      <w:r>
        <w:rPr>
          <w:rFonts w:ascii="TimesNewRomanPSMT" w:hAnsi="TimesNewRomanPSMT"/>
        </w:rPr>
        <w:t xml:space="preserve">To provide </w:t>
      </w:r>
      <w:r w:rsidRPr="001A1D62">
        <w:rPr>
          <w:rFonts w:ascii="TimesNewRomanPSMT" w:hAnsi="TimesNewRomanPSMT"/>
          <w:shd w:val="clear" w:color="auto" w:fill="FFFFFF"/>
        </w:rPr>
        <w:t xml:space="preserve">recommendations </w:t>
      </w:r>
      <w:r>
        <w:rPr>
          <w:rFonts w:ascii="TimesNewRomanPSMT" w:hAnsi="TimesNewRomanPSMT"/>
          <w:shd w:val="clear" w:color="auto" w:fill="FFFFFF"/>
        </w:rPr>
        <w:t xml:space="preserve">for </w:t>
      </w:r>
      <w:r w:rsidRPr="001A1D62">
        <w:rPr>
          <w:rFonts w:ascii="TimesNewRomanPSMT" w:hAnsi="TimesNewRomanPSMT"/>
          <w:shd w:val="clear" w:color="auto" w:fill="FFFFFF"/>
        </w:rPr>
        <w:t xml:space="preserve">planning, implementing, and evaluating </w:t>
      </w:r>
      <w:r w:rsidRPr="001A1D62">
        <w:rPr>
          <w:rFonts w:ascii="Cambria" w:hAnsi="Cambria"/>
          <w:shd w:val="clear" w:color="auto" w:fill="FFFFFF"/>
        </w:rPr>
        <w:t xml:space="preserve">the </w:t>
      </w:r>
      <w:r>
        <w:rPr>
          <w:rFonts w:ascii="Cambria" w:hAnsi="Cambria"/>
          <w:shd w:val="clear" w:color="auto" w:fill="FFFFFF"/>
        </w:rPr>
        <w:t>nurses</w:t>
      </w:r>
      <w:r w:rsidRPr="001A1D62">
        <w:rPr>
          <w:rFonts w:ascii="Cambria" w:hAnsi="Cambria"/>
          <w:shd w:val="clear" w:color="auto" w:fill="FFFFFF"/>
        </w:rPr>
        <w:t xml:space="preserve"> experiences and needed support in these areas</w:t>
      </w:r>
      <w:r>
        <w:rPr>
          <w:rFonts w:ascii="Cambria" w:hAnsi="Cambria"/>
          <w:shd w:val="clear" w:color="auto" w:fill="FFFFFF"/>
        </w:rPr>
        <w:t xml:space="preserve">. </w:t>
      </w:r>
    </w:p>
    <w:p w14:paraId="0A608F16" w14:textId="77777777" w:rsidR="000E4AFD" w:rsidRPr="003D4CF4" w:rsidRDefault="000E4AFD" w:rsidP="000E4AFD">
      <w:pPr>
        <w:spacing w:line="480" w:lineRule="auto"/>
        <w:jc w:val="both"/>
        <w:rPr>
          <w:rFonts w:eastAsia="Arial Unicode MS"/>
        </w:rPr>
      </w:pPr>
    </w:p>
    <w:p w14:paraId="355E020E" w14:textId="77777777" w:rsidR="000E4AFD" w:rsidRPr="009F3595" w:rsidRDefault="000E4AFD" w:rsidP="000E4AFD">
      <w:pPr>
        <w:jc w:val="both"/>
        <w:rPr>
          <w:rFonts w:asciiTheme="minorHAnsi" w:eastAsia="Arial Unicode MS" w:hAnsiTheme="minorHAnsi" w:cstheme="minorHAnsi"/>
          <w:b/>
          <w:bCs/>
        </w:rPr>
      </w:pPr>
    </w:p>
    <w:p w14:paraId="72819C5D" w14:textId="77777777" w:rsidR="000E4AFD" w:rsidRDefault="000E4AFD" w:rsidP="000E4AFD">
      <w:pPr>
        <w:jc w:val="both"/>
        <w:rPr>
          <w:rFonts w:asciiTheme="minorHAnsi" w:eastAsia="Arial Unicode MS" w:hAnsiTheme="minorHAnsi" w:cstheme="minorHAnsi"/>
          <w:b/>
          <w:bCs/>
        </w:rPr>
      </w:pPr>
    </w:p>
    <w:p w14:paraId="71588E59" w14:textId="77777777" w:rsidR="000E4AFD" w:rsidRPr="00B024D1" w:rsidRDefault="000E4AFD" w:rsidP="000E4AFD">
      <w:pPr>
        <w:ind w:left="709"/>
        <w:jc w:val="both"/>
        <w:rPr>
          <w:rFonts w:asciiTheme="minorHAnsi" w:eastAsia="Arial Unicode MS" w:hAnsiTheme="minorHAnsi" w:cstheme="minorHAnsi"/>
          <w:b/>
          <w:sz w:val="28"/>
          <w:szCs w:val="28"/>
          <w:u w:val="single"/>
        </w:rPr>
      </w:pPr>
    </w:p>
    <w:p w14:paraId="6D59E231" w14:textId="77777777" w:rsidR="000E4AFD" w:rsidRPr="00F872DD" w:rsidRDefault="000E4AFD" w:rsidP="000E4AFD">
      <w:pPr>
        <w:rPr>
          <w:rFonts w:asciiTheme="minorHAnsi" w:eastAsia="Arial Unicode MS" w:hAnsiTheme="minorHAnsi" w:cstheme="minorHAnsi"/>
          <w:b/>
          <w:sz w:val="28"/>
          <w:szCs w:val="28"/>
        </w:rPr>
      </w:pPr>
      <w:r w:rsidRPr="000466C3">
        <w:rPr>
          <w:rFonts w:asciiTheme="minorHAnsi" w:eastAsia="Arial Unicode MS" w:hAnsiTheme="minorHAnsi" w:cstheme="minorHAnsi"/>
          <w:b/>
          <w:sz w:val="28"/>
          <w:szCs w:val="28"/>
        </w:rPr>
        <w:t>SECTION 2: METHODOLOGY &amp; METHODS</w:t>
      </w:r>
    </w:p>
    <w:p w14:paraId="2C47675D" w14:textId="77777777" w:rsidR="000E4AFD" w:rsidRPr="00203B3D" w:rsidRDefault="000E4AFD" w:rsidP="000E4A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highlight w:val="red"/>
        </w:rPr>
      </w:pPr>
    </w:p>
    <w:p w14:paraId="4A553479" w14:textId="77777777" w:rsidR="000E4AFD" w:rsidRPr="00203B3D" w:rsidRDefault="000E4AFD" w:rsidP="000E4AFD">
      <w:pPr>
        <w:spacing w:line="360" w:lineRule="auto"/>
        <w:rPr>
          <w:rFonts w:asciiTheme="minorHAnsi" w:eastAsia="Arial Unicode MS" w:hAnsiTheme="minorHAnsi" w:cstheme="minorHAnsi"/>
          <w:bCs/>
          <w:highlight w:val="red"/>
        </w:rPr>
      </w:pPr>
      <w:bookmarkStart w:id="0" w:name="_Hlk499540418"/>
    </w:p>
    <w:p w14:paraId="41CAF00E" w14:textId="644CA201" w:rsidR="000E4AFD" w:rsidRPr="00F872DD" w:rsidRDefault="000E4AFD" w:rsidP="000E4AFD">
      <w:pPr>
        <w:spacing w:line="480" w:lineRule="auto"/>
        <w:jc w:val="both"/>
        <w:rPr>
          <w:rFonts w:eastAsia="Arial Unicode MS"/>
        </w:rPr>
      </w:pPr>
      <w:bookmarkStart w:id="1" w:name="OLE_LINK1"/>
      <w:bookmarkStart w:id="2" w:name="OLE_LINK2"/>
      <w:r w:rsidRPr="00F872DD">
        <w:rPr>
          <w:rFonts w:eastAsia="Arial Unicode MS"/>
        </w:rPr>
        <w:t xml:space="preserve">The literature search was performed through December 2022, using google scholar, PubMed and </w:t>
      </w:r>
      <w:r>
        <w:rPr>
          <w:rFonts w:eastAsia="Arial Unicode MS"/>
        </w:rPr>
        <w:t xml:space="preserve">ProQuest </w:t>
      </w:r>
      <w:r w:rsidRPr="00F872DD">
        <w:rPr>
          <w:rFonts w:eastAsia="Arial Unicode MS"/>
        </w:rPr>
        <w:t xml:space="preserve">Such literature search allows the research to be theoretically informed through </w:t>
      </w:r>
      <w:r w:rsidRPr="00F872DD">
        <w:rPr>
          <w:rFonts w:eastAsia="Arial Unicode MS"/>
        </w:rPr>
        <w:lastRenderedPageBreak/>
        <w:t xml:space="preserve">credible research surrounding the </w:t>
      </w:r>
      <w:r>
        <w:rPr>
          <w:rFonts w:eastAsia="Arial Unicode MS"/>
        </w:rPr>
        <w:t xml:space="preserve">aims of this research </w:t>
      </w:r>
      <w:r w:rsidRPr="00F872DD">
        <w:rPr>
          <w:rFonts w:eastAsia="Arial Unicode MS"/>
        </w:rPr>
        <w:t>(</w:t>
      </w:r>
      <w:r w:rsidR="000466C3">
        <w:rPr>
          <w:rFonts w:eastAsia="Arial Unicode MS"/>
        </w:rPr>
        <w:t>Patton, 2020</w:t>
      </w:r>
      <w:r w:rsidRPr="000466C3">
        <w:rPr>
          <w:rFonts w:eastAsia="Arial Unicode MS"/>
        </w:rPr>
        <w:t>).</w:t>
      </w:r>
      <w:r w:rsidRPr="00F872DD">
        <w:rPr>
          <w:rFonts w:eastAsia="Arial Unicode MS"/>
        </w:rPr>
        <w:t xml:space="preserve"> To provide an ‘efficient’ narrative review, the literature search was restricted to articles published in the last </w:t>
      </w:r>
      <w:r>
        <w:rPr>
          <w:rFonts w:eastAsia="Arial Unicode MS"/>
        </w:rPr>
        <w:t xml:space="preserve">10 </w:t>
      </w:r>
      <w:r w:rsidRPr="00F872DD">
        <w:rPr>
          <w:rFonts w:eastAsia="Arial Unicode MS"/>
        </w:rPr>
        <w:t>year</w:t>
      </w:r>
      <w:r>
        <w:rPr>
          <w:rFonts w:eastAsia="Arial Unicode MS"/>
        </w:rPr>
        <w:t>s</w:t>
      </w:r>
      <w:r w:rsidRPr="00F872DD">
        <w:rPr>
          <w:rFonts w:eastAsia="Arial Unicode MS"/>
        </w:rPr>
        <w:t xml:space="preserve"> (20</w:t>
      </w:r>
      <w:r>
        <w:rPr>
          <w:rFonts w:eastAsia="Arial Unicode MS"/>
        </w:rPr>
        <w:t>12</w:t>
      </w:r>
      <w:r w:rsidRPr="00F872DD">
        <w:rPr>
          <w:rFonts w:eastAsia="Arial Unicode MS"/>
        </w:rPr>
        <w:t xml:space="preserve">-22). </w:t>
      </w:r>
    </w:p>
    <w:bookmarkEnd w:id="1"/>
    <w:bookmarkEnd w:id="2"/>
    <w:p w14:paraId="21682AB8" w14:textId="77777777" w:rsidR="000E4AFD" w:rsidRPr="002575A8" w:rsidRDefault="000E4AFD" w:rsidP="000E4AFD">
      <w:pPr>
        <w:pStyle w:val="NormalWeb"/>
        <w:spacing w:line="480" w:lineRule="auto"/>
      </w:pPr>
      <w:r w:rsidRPr="001A1D62">
        <w:rPr>
          <w:rFonts w:ascii="TimesNewRomanPSMT" w:hAnsi="TimesNewRomanPSMT"/>
        </w:rPr>
        <w:t>A total of 10</w:t>
      </w:r>
      <w:r>
        <w:rPr>
          <w:rFonts w:ascii="TimesNewRomanPSMT" w:hAnsi="TimesNewRomanPSMT"/>
        </w:rPr>
        <w:t>13</w:t>
      </w:r>
      <w:r w:rsidRPr="001A1D62">
        <w:rPr>
          <w:rFonts w:ascii="TimesNewRomanPSMT" w:hAnsi="TimesNewRomanPSMT"/>
        </w:rPr>
        <w:t xml:space="preserve"> articles were retrieved, (</w:t>
      </w:r>
      <w:r>
        <w:rPr>
          <w:rFonts w:ascii="TimesNewRomanPSMT" w:hAnsi="TimesNewRomanPSMT"/>
        </w:rPr>
        <w:t>522</w:t>
      </w:r>
      <w:r w:rsidRPr="001A1D62">
        <w:rPr>
          <w:rFonts w:ascii="TimesNewRomanPSMT" w:hAnsi="TimesNewRomanPSMT"/>
        </w:rPr>
        <w:t xml:space="preserve"> from</w:t>
      </w:r>
      <w:r>
        <w:rPr>
          <w:rFonts w:ascii="TimesNewRomanPSMT" w:hAnsi="TimesNewRomanPSMT"/>
        </w:rPr>
        <w:t xml:space="preserve"> PubMed</w:t>
      </w:r>
      <w:r w:rsidRPr="001A1D62">
        <w:rPr>
          <w:rFonts w:ascii="TimesNewRomanPSMT" w:hAnsi="TimesNewRomanPSMT"/>
        </w:rPr>
        <w:t xml:space="preserve">, 469 from </w:t>
      </w:r>
      <w:r>
        <w:rPr>
          <w:rFonts w:ascii="TimesNewRomanPSMT" w:hAnsi="TimesNewRomanPSMT"/>
        </w:rPr>
        <w:t>Google scholar and 22 ProQuest</w:t>
      </w:r>
      <w:r w:rsidRPr="001A1D62">
        <w:rPr>
          <w:rFonts w:ascii="TimesNewRomanPSMT" w:hAnsi="TimesNewRomanPSMT"/>
        </w:rPr>
        <w:t xml:space="preserve">) </w:t>
      </w:r>
      <w:r>
        <w:rPr>
          <w:rFonts w:ascii="TimesNewRomanPSMT" w:hAnsi="TimesNewRomanPSMT"/>
        </w:rPr>
        <w:t xml:space="preserve">out </w:t>
      </w:r>
      <w:r w:rsidRPr="001A1D62">
        <w:rPr>
          <w:rFonts w:ascii="TimesNewRomanPSMT" w:hAnsi="TimesNewRomanPSMT"/>
        </w:rPr>
        <w:t>of which</w:t>
      </w:r>
      <w:r>
        <w:rPr>
          <w:rFonts w:ascii="TimesNewRomanPSMT" w:hAnsi="TimesNewRomanPSMT"/>
        </w:rPr>
        <w:t xml:space="preserve"> 44 </w:t>
      </w:r>
      <w:r w:rsidRPr="001A1D62">
        <w:rPr>
          <w:rFonts w:ascii="TimesNewRomanPSMT" w:hAnsi="TimesNewRomanPSMT"/>
        </w:rPr>
        <w:t xml:space="preserve">articles were identified as eligible during pre-screening. </w:t>
      </w:r>
      <w:r w:rsidRPr="002575A8">
        <w:rPr>
          <w:rFonts w:ascii="TimesNewRomanPSMT" w:hAnsi="TimesNewRomanPSMT"/>
        </w:rPr>
        <w:t xml:space="preserve">The researcher pre-screened articles by removing articles based on the titles first, followed by the abstracts second. The research pre-screened articles but removed articles that were not from journals and did not collect data or were not literature reviews. After the removal of duplicate articles based on reading title and abstract review, </w:t>
      </w:r>
      <w:r>
        <w:rPr>
          <w:rFonts w:ascii="TimesNewRomanPSMT" w:hAnsi="TimesNewRomanPSMT"/>
        </w:rPr>
        <w:t>21</w:t>
      </w:r>
      <w:r w:rsidRPr="002575A8">
        <w:rPr>
          <w:rFonts w:ascii="TimesNewRomanPSMT" w:hAnsi="TimesNewRomanPSMT"/>
        </w:rPr>
        <w:t xml:space="preserve"> articles remained to analyse. Finally, the researcher looked for key words in the abstracts of the 2</w:t>
      </w:r>
      <w:r>
        <w:rPr>
          <w:rFonts w:ascii="TimesNewRomanPSMT" w:hAnsi="TimesNewRomanPSMT"/>
        </w:rPr>
        <w:t xml:space="preserve">1 </w:t>
      </w:r>
      <w:r w:rsidRPr="002575A8">
        <w:rPr>
          <w:rFonts w:ascii="TimesNewRomanPSMT" w:hAnsi="TimesNewRomanPSMT"/>
        </w:rPr>
        <w:t xml:space="preserve">articles and kept any article that gave suggestions or areas of inclusion to the research topic or assistance for a classroom setting. The researcher identified </w:t>
      </w:r>
      <w:r>
        <w:rPr>
          <w:rFonts w:ascii="TimesNewRomanPSMT" w:hAnsi="TimesNewRomanPSMT"/>
        </w:rPr>
        <w:t>8</w:t>
      </w:r>
      <w:r w:rsidRPr="002575A8">
        <w:rPr>
          <w:rFonts w:ascii="TimesNewRomanPSMT" w:hAnsi="TimesNewRomanPSMT"/>
        </w:rPr>
        <w:t xml:space="preserve"> articles that the met final criteria. These articles enhanced our understanding of </w:t>
      </w:r>
      <w:r>
        <w:rPr>
          <w:rFonts w:ascii="TimesNewRomanPSMT" w:hAnsi="TimesNewRomanPSMT"/>
        </w:rPr>
        <w:t xml:space="preserve">trauma and support within nursing. </w:t>
      </w:r>
      <w:r w:rsidRPr="002575A8">
        <w:rPr>
          <w:rFonts w:ascii="TimesNewRomanPSMT" w:hAnsi="TimesNewRomanPSMT"/>
        </w:rPr>
        <w:t xml:space="preserve">For details on the </w:t>
      </w:r>
      <w:r>
        <w:rPr>
          <w:rFonts w:ascii="TimesNewRomanPSMT" w:hAnsi="TimesNewRomanPSMT"/>
        </w:rPr>
        <w:t xml:space="preserve">8 </w:t>
      </w:r>
      <w:r w:rsidRPr="002575A8">
        <w:rPr>
          <w:rFonts w:ascii="TimesNewRomanPSMT" w:hAnsi="TimesNewRomanPSMT"/>
        </w:rPr>
        <w:t xml:space="preserve">articles refer to </w:t>
      </w:r>
      <w:r>
        <w:rPr>
          <w:rFonts w:ascii="TimesNewRomanPSMT" w:hAnsi="TimesNewRomanPSMT"/>
        </w:rPr>
        <w:t xml:space="preserve">(Appendix </w:t>
      </w:r>
      <w:r w:rsidRPr="002575A8">
        <w:rPr>
          <w:rFonts w:ascii="TimesNewRomanPSMT" w:hAnsi="TimesNewRomanPSMT"/>
        </w:rPr>
        <w:t xml:space="preserve">Table </w:t>
      </w:r>
      <w:r>
        <w:rPr>
          <w:rFonts w:ascii="TimesNewRomanPSMT" w:hAnsi="TimesNewRomanPSMT"/>
        </w:rPr>
        <w:t>1)</w:t>
      </w:r>
      <w:r w:rsidRPr="002575A8">
        <w:rPr>
          <w:rFonts w:ascii="TimesNewRomanPSMT" w:hAnsi="TimesNewRomanPSMT"/>
        </w:rPr>
        <w:t xml:space="preserve">. </w:t>
      </w:r>
    </w:p>
    <w:bookmarkEnd w:id="0"/>
    <w:p w14:paraId="343BA252" w14:textId="77777777" w:rsidR="000E4AFD" w:rsidRPr="00203B3D" w:rsidRDefault="000E4AFD" w:rsidP="000E4AFD">
      <w:pPr>
        <w:rPr>
          <w:rFonts w:asciiTheme="minorHAnsi" w:eastAsia="Arial Unicode MS" w:hAnsiTheme="minorHAnsi" w:cstheme="minorHAnsi"/>
          <w:highlight w:val="red"/>
        </w:rPr>
      </w:pPr>
    </w:p>
    <w:p w14:paraId="6ECEF695" w14:textId="77777777" w:rsidR="000E4AFD" w:rsidRPr="00203B3D" w:rsidRDefault="000E4AFD" w:rsidP="000E4A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highlight w:val="red"/>
        </w:rPr>
      </w:pPr>
    </w:p>
    <w:p w14:paraId="14D6A752" w14:textId="77777777" w:rsidR="000E4AFD" w:rsidRPr="00B024D1" w:rsidRDefault="000E4AFD" w:rsidP="000E4AFD">
      <w:pPr>
        <w:rPr>
          <w:rFonts w:asciiTheme="minorHAnsi" w:eastAsia="Arial Unicode MS" w:hAnsiTheme="minorHAnsi" w:cstheme="minorHAnsi"/>
          <w:b/>
          <w:sz w:val="28"/>
          <w:szCs w:val="28"/>
        </w:rPr>
      </w:pPr>
    </w:p>
    <w:p w14:paraId="09DDAB91" w14:textId="77777777" w:rsidR="000E4AFD" w:rsidRPr="00120A7B" w:rsidRDefault="000E4AFD" w:rsidP="000E4A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 xml:space="preserve">SECTION 3:  </w:t>
      </w:r>
      <w:r>
        <w:rPr>
          <w:rFonts w:asciiTheme="minorHAnsi" w:eastAsia="Arial Unicode MS" w:hAnsiTheme="minorHAnsi" w:cstheme="minorHAnsi"/>
          <w:b/>
          <w:sz w:val="28"/>
          <w:szCs w:val="28"/>
        </w:rPr>
        <w:t xml:space="preserve">Results </w:t>
      </w:r>
    </w:p>
    <w:p w14:paraId="180B84B0" w14:textId="178B4BE2" w:rsidR="000E4AFD" w:rsidRPr="006D3BA4" w:rsidRDefault="000E4AFD" w:rsidP="000466C3">
      <w:pPr>
        <w:spacing w:before="100" w:beforeAutospacing="1" w:after="100" w:afterAutospacing="1" w:line="360" w:lineRule="auto"/>
        <w:rPr>
          <w:rFonts w:ascii="TimesNewRomanPSMT" w:hAnsi="TimesNewRomanPSMT"/>
        </w:rPr>
      </w:pPr>
      <w:r w:rsidRPr="00120A7B">
        <w:rPr>
          <w:rFonts w:ascii="TimesNewRomanPSMT" w:hAnsi="TimesNewRomanPSMT"/>
        </w:rPr>
        <w:t xml:space="preserve">This review of the literature attempts to bring together a </w:t>
      </w:r>
      <w:r>
        <w:rPr>
          <w:rFonts w:ascii="TimesNewRomanPSMT" w:hAnsi="TimesNewRomanPSMT"/>
        </w:rPr>
        <w:t xml:space="preserve">variety </w:t>
      </w:r>
      <w:r w:rsidRPr="00120A7B">
        <w:rPr>
          <w:rFonts w:ascii="TimesNewRomanPSMT" w:hAnsi="TimesNewRomanPSMT"/>
        </w:rPr>
        <w:t>of current findings on burnout, secondary trauma, vicarious trauma, and compassion fatigue in articles published between 20</w:t>
      </w:r>
      <w:r>
        <w:rPr>
          <w:rFonts w:ascii="TimesNewRomanPSMT" w:hAnsi="TimesNewRomanPSMT"/>
        </w:rPr>
        <w:t>12 a</w:t>
      </w:r>
      <w:r w:rsidRPr="00120A7B">
        <w:rPr>
          <w:rFonts w:ascii="TimesNewRomanPSMT" w:hAnsi="TimesNewRomanPSMT"/>
        </w:rPr>
        <w:t>nd 20</w:t>
      </w:r>
      <w:r>
        <w:rPr>
          <w:rFonts w:ascii="TimesNewRomanPSMT" w:hAnsi="TimesNewRomanPSMT"/>
        </w:rPr>
        <w:t>22</w:t>
      </w:r>
      <w:r w:rsidRPr="00120A7B">
        <w:rPr>
          <w:rFonts w:ascii="TimesNewRomanPSMT" w:hAnsi="TimesNewRomanPSMT"/>
        </w:rPr>
        <w:t>. First, the researcher looked for key terminology (i.e., vicarious trauma, secondary trauma, burnout, compassion fatigue) within the article to see what topics they covered. Second the researcher reviewed the articles to see what the articles have in common</w:t>
      </w:r>
      <w:r>
        <w:rPr>
          <w:rFonts w:ascii="TimesNewRomanPSMT" w:hAnsi="TimesNewRomanPSMT"/>
        </w:rPr>
        <w:t xml:space="preserve"> through thematic Analysis </w:t>
      </w:r>
      <w:r w:rsidRPr="000466C3">
        <w:rPr>
          <w:rFonts w:ascii="TimesNewRomanPSMT" w:hAnsi="TimesNewRomanPSMT"/>
        </w:rPr>
        <w:t>(</w:t>
      </w:r>
      <w:r w:rsidR="000466C3" w:rsidRPr="000466C3">
        <w:rPr>
          <w:rFonts w:ascii="TimesNewRomanPSMT" w:hAnsi="TimesNewRomanPSMT"/>
        </w:rPr>
        <w:t>Bryon Clarke et al, 2018</w:t>
      </w:r>
      <w:r w:rsidRPr="000466C3">
        <w:rPr>
          <w:rFonts w:ascii="TimesNewRomanPSMT" w:hAnsi="TimesNewRomanPSMT"/>
        </w:rPr>
        <w:t>).</w:t>
      </w:r>
      <w:r>
        <w:rPr>
          <w:rFonts w:ascii="TimesNewRomanPSMT" w:hAnsi="TimesNewRomanPSMT"/>
        </w:rPr>
        <w:t xml:space="preserve"> Lastly</w:t>
      </w:r>
      <w:r w:rsidRPr="00120A7B">
        <w:rPr>
          <w:rFonts w:ascii="TimesNewRomanPSMT" w:hAnsi="TimesNewRomanPSMT"/>
        </w:rPr>
        <w:t>, the researcher summari</w:t>
      </w:r>
      <w:r>
        <w:rPr>
          <w:rFonts w:ascii="TimesNewRomanPSMT" w:hAnsi="TimesNewRomanPSMT"/>
        </w:rPr>
        <w:t>s</w:t>
      </w:r>
      <w:r w:rsidRPr="00120A7B">
        <w:rPr>
          <w:rFonts w:ascii="TimesNewRomanPSMT" w:hAnsi="TimesNewRomanPSMT"/>
        </w:rPr>
        <w:t>ed what the articles offered in terms of assistance when dealing with trauma</w:t>
      </w:r>
      <w:r>
        <w:rPr>
          <w:rFonts w:ascii="TimesNewRomanPSMT" w:hAnsi="TimesNewRomanPSMT"/>
        </w:rPr>
        <w:t xml:space="preserve"> through lower and higher order themes</w:t>
      </w:r>
      <w:r w:rsidR="000466C3">
        <w:rPr>
          <w:rFonts w:ascii="TimesNewRomanPSMT" w:hAnsi="TimesNewRomanPSMT"/>
        </w:rPr>
        <w:t>.</w:t>
      </w:r>
      <w:r>
        <w:rPr>
          <w:rFonts w:ascii="TimesNewRomanPSMT" w:hAnsi="TimesNewRomanPSMT"/>
        </w:rPr>
        <w:t xml:space="preserve"> </w:t>
      </w:r>
    </w:p>
    <w:p w14:paraId="0CEE1175" w14:textId="77777777" w:rsidR="000E4AFD" w:rsidRDefault="000E4AFD" w:rsidP="000E4AFD">
      <w:pPr>
        <w:spacing w:before="100" w:beforeAutospacing="1" w:after="100" w:afterAutospacing="1"/>
        <w:rPr>
          <w:rFonts w:ascii="TimesNewRomanPS" w:hAnsi="TimesNewRomanPS"/>
          <w:b/>
          <w:bCs/>
        </w:rPr>
      </w:pPr>
      <w:r w:rsidRPr="003F466B">
        <w:rPr>
          <w:rFonts w:ascii="TimesNewRomanPS" w:hAnsi="TimesNewRomanPS"/>
          <w:b/>
          <w:bCs/>
        </w:rPr>
        <w:t xml:space="preserve">A critical evaluation </w:t>
      </w:r>
      <w:r>
        <w:rPr>
          <w:rFonts w:ascii="TimesNewRomanPS" w:hAnsi="TimesNewRomanPS"/>
          <w:b/>
          <w:bCs/>
        </w:rPr>
        <w:t xml:space="preserve">and common themes </w:t>
      </w:r>
    </w:p>
    <w:p w14:paraId="191CF0A3" w14:textId="24206DDA" w:rsidR="00F6632C" w:rsidRDefault="000E4AFD" w:rsidP="000E4AFD">
      <w:pPr>
        <w:pStyle w:val="NormalWeb"/>
        <w:spacing w:line="480" w:lineRule="auto"/>
        <w:rPr>
          <w:rFonts w:eastAsia="Arial Unicode MS"/>
        </w:rPr>
      </w:pPr>
      <w:r w:rsidRPr="00B841CF">
        <w:lastRenderedPageBreak/>
        <w:t xml:space="preserve">It is fair to say that the studies </w:t>
      </w:r>
      <w:r w:rsidRPr="003F466B">
        <w:t>recogni</w:t>
      </w:r>
      <w:r w:rsidRPr="00B841CF">
        <w:t>s</w:t>
      </w:r>
      <w:r w:rsidRPr="003F466B">
        <w:t xml:space="preserve">e that professional burnout is a phenomenon that can occur in most any </w:t>
      </w:r>
      <w:r w:rsidRPr="00B841CF">
        <w:t>‘</w:t>
      </w:r>
      <w:r w:rsidRPr="003F466B">
        <w:t>social work setting</w:t>
      </w:r>
      <w:r w:rsidRPr="00B841CF">
        <w:t xml:space="preserve">’. It has been conceptualised that </w:t>
      </w:r>
      <w:r w:rsidRPr="003F466B">
        <w:t>vicarious trauma, secondary traumatic stress, and compassion fatigue are unique to direct practice with crisis and trauma population</w:t>
      </w:r>
      <w:r w:rsidRPr="00B841CF">
        <w:t xml:space="preserve">.  </w:t>
      </w:r>
      <w:r>
        <w:t>Although, all studies stated that there is no clear ‘definition’ to both secondary traumatic stress, compassion fatigue and vicarious trauma, which makes</w:t>
      </w:r>
    </w:p>
    <w:p w14:paraId="3E3CB564" w14:textId="2C3AEAA7" w:rsidR="000E4AFD" w:rsidRDefault="00F6632C" w:rsidP="000E4AFD">
      <w:pPr>
        <w:pStyle w:val="NormalWeb"/>
        <w:spacing w:line="480" w:lineRule="auto"/>
      </w:pPr>
      <w:r>
        <w:rPr>
          <w:rFonts w:ascii="TimesNewRomanPSMT" w:hAnsi="TimesNewRomanPSMT"/>
        </w:rPr>
        <w:t xml:space="preserve">Objectives: </w:t>
      </w:r>
    </w:p>
    <w:p w14:paraId="63A1DB58" w14:textId="32E1F9A8" w:rsidR="00B841CF" w:rsidRPr="0064306E" w:rsidRDefault="0064306E" w:rsidP="00B841CF">
      <w:pPr>
        <w:spacing w:line="360" w:lineRule="auto"/>
      </w:pPr>
      <w:r>
        <w:t>it a phenomenon that is difficult to measure, educate and monitor. In contrast t</w:t>
      </w:r>
      <w:r w:rsidR="00367897" w:rsidRPr="00B841CF">
        <w:t xml:space="preserve">hroughout the studies, it was popular </w:t>
      </w:r>
      <w:r w:rsidR="00107F6B" w:rsidRPr="00B841CF">
        <w:t>that trauma history</w:t>
      </w:r>
      <w:r>
        <w:t xml:space="preserve"> within the person plays a pivotal around the high order themes (Vicarious trauma, secondary trauma stress, compassion fatigue and burnout). In light of this a</w:t>
      </w:r>
      <w:r w:rsidR="00107F6B" w:rsidRPr="00B841CF">
        <w:t xml:space="preserve"> lack of organi</w:t>
      </w:r>
      <w:r>
        <w:t>s</w:t>
      </w:r>
      <w:r w:rsidR="00107F6B" w:rsidRPr="00B841CF">
        <w:t xml:space="preserve">ational structure and </w:t>
      </w:r>
      <w:r w:rsidR="00367897" w:rsidRPr="00B841CF">
        <w:t>in</w:t>
      </w:r>
      <w:r w:rsidR="00107F6B" w:rsidRPr="00B841CF">
        <w:t>adequate supervision</w:t>
      </w:r>
      <w:r w:rsidR="00367897" w:rsidRPr="00B841CF">
        <w:t xml:space="preserve"> and support, were themes </w:t>
      </w:r>
      <w:r>
        <w:t>throughout the studies</w:t>
      </w:r>
      <w:r w:rsidR="00367897" w:rsidRPr="00B841CF">
        <w:t xml:space="preserve"> t</w:t>
      </w:r>
      <w:r>
        <w:t>hat were popular towards</w:t>
      </w:r>
      <w:r w:rsidR="00367897" w:rsidRPr="00B841CF">
        <w:t xml:space="preserve"> occupational burnout. </w:t>
      </w:r>
      <w:r w:rsidR="00B841CF" w:rsidRPr="00B841CF">
        <w:t xml:space="preserve">Furthermore, coping strategies and ‘preventive strategies’ further related around the relationship with </w:t>
      </w:r>
      <w:r w:rsidR="00B841CF" w:rsidRPr="00B841CF">
        <w:rPr>
          <w:color w:val="212121"/>
          <w:shd w:val="clear" w:color="auto" w:fill="FFFFFF"/>
        </w:rPr>
        <w:t xml:space="preserve">emotional distress in relation to communication skills, ethical rounds, and mindfulness, all of which are proposed to have a pivotal role in personal development.  </w:t>
      </w:r>
    </w:p>
    <w:p w14:paraId="7893A305" w14:textId="42FE1CCF" w:rsidR="00106E57" w:rsidRDefault="0064306E" w:rsidP="007649A6">
      <w:pPr>
        <w:spacing w:before="100" w:beforeAutospacing="1" w:after="100" w:afterAutospacing="1" w:line="360" w:lineRule="auto"/>
        <w:rPr>
          <w:rFonts w:ascii="TimesNewRomanPSMT" w:hAnsi="TimesNewRomanPSMT"/>
        </w:rPr>
      </w:pPr>
      <w:r w:rsidRPr="0064306E">
        <w:rPr>
          <w:rFonts w:ascii="TimesNewRomanPSMT" w:hAnsi="TimesNewRomanPSMT"/>
        </w:rPr>
        <w:t>The articles that were reviewed have a lot of similar themes. Every narrative mentioned disturbances in life in some form. There are different levels of PTSD, self-reported vicarious trauma, and belief disruption, according to the studies. Contrarily, belief disruption was based on the practitioners' personal trauma and did not indicate vicarious trauma.</w:t>
      </w:r>
      <w:r w:rsidR="00106E57">
        <w:rPr>
          <w:rFonts w:ascii="TimesNewRomanPSMT" w:hAnsi="TimesNewRomanPSMT"/>
        </w:rPr>
        <w:t xml:space="preserve"> Such personal factors or some would say ecological systems </w:t>
      </w:r>
      <w:r w:rsidR="000466C3">
        <w:rPr>
          <w:rFonts w:ascii="TimesNewRomanPSMT" w:hAnsi="TimesNewRomanPSMT"/>
        </w:rPr>
        <w:t>(Nancy, 2009</w:t>
      </w:r>
      <w:r w:rsidR="00106E57" w:rsidRPr="000466C3">
        <w:rPr>
          <w:rFonts w:ascii="TimesNewRomanPSMT" w:hAnsi="TimesNewRomanPSMT"/>
        </w:rPr>
        <w:t>),</w:t>
      </w:r>
      <w:r w:rsidR="00106E57">
        <w:rPr>
          <w:rFonts w:ascii="TimesNewRomanPSMT" w:hAnsi="TimesNewRomanPSMT"/>
        </w:rPr>
        <w:t xml:space="preserve"> refer to how likely the individual is to develop </w:t>
      </w:r>
      <w:r w:rsidR="00106E57" w:rsidRPr="00120A7B">
        <w:rPr>
          <w:rFonts w:ascii="TimesNewRomanPSMT" w:hAnsi="TimesNewRomanPSMT"/>
        </w:rPr>
        <w:t xml:space="preserve">vicarious trauma, burnout secondary trauma and compassion fatigue. </w:t>
      </w:r>
      <w:r w:rsidR="00106E57">
        <w:rPr>
          <w:rFonts w:ascii="TimesNewRomanPSMT" w:hAnsi="TimesNewRomanPSMT"/>
        </w:rPr>
        <w:t>For example, someone who is exposed to</w:t>
      </w:r>
      <w:r w:rsidR="00106E57" w:rsidRPr="00120A7B">
        <w:rPr>
          <w:rFonts w:ascii="TimesNewRomanPSMT" w:hAnsi="TimesNewRomanPSMT"/>
        </w:rPr>
        <w:t xml:space="preserve"> personal history of </w:t>
      </w:r>
      <w:r w:rsidR="00106E57">
        <w:t>violence</w:t>
      </w:r>
      <w:r w:rsidR="00106E57" w:rsidRPr="00120A7B">
        <w:rPr>
          <w:rFonts w:ascii="TimesNewRomanPSMT" w:hAnsi="TimesNewRomanPSMT"/>
        </w:rPr>
        <w:t>, and disruption of cognitive abilities</w:t>
      </w:r>
      <w:r w:rsidR="00106E57">
        <w:rPr>
          <w:rFonts w:ascii="TimesNewRomanPSMT" w:hAnsi="TimesNewRomanPSMT"/>
        </w:rPr>
        <w:t xml:space="preserve"> are have increased chance of</w:t>
      </w:r>
      <w:r w:rsidR="00106E57" w:rsidRPr="00106E57">
        <w:rPr>
          <w:rFonts w:ascii="TimesNewRomanPSMT" w:hAnsi="TimesNewRomanPSMT"/>
        </w:rPr>
        <w:t xml:space="preserve"> </w:t>
      </w:r>
      <w:r w:rsidR="00106E57" w:rsidRPr="00120A7B">
        <w:rPr>
          <w:rFonts w:ascii="TimesNewRomanPSMT" w:hAnsi="TimesNewRomanPSMT"/>
        </w:rPr>
        <w:t xml:space="preserve">secondary trauma or burnout. </w:t>
      </w:r>
    </w:p>
    <w:p w14:paraId="42F37F5F" w14:textId="77777777" w:rsidR="00106E57" w:rsidRDefault="00106E57" w:rsidP="00367897">
      <w:pPr>
        <w:spacing w:before="100" w:beforeAutospacing="1" w:after="100" w:afterAutospacing="1"/>
        <w:rPr>
          <w:rFonts w:ascii="TimesNewRomanPSMT" w:hAnsi="TimesNewRomanPSMT"/>
        </w:rPr>
      </w:pPr>
    </w:p>
    <w:p w14:paraId="40A56F65" w14:textId="52E1FEA9" w:rsidR="00367897" w:rsidRDefault="00367897" w:rsidP="00367897">
      <w:pPr>
        <w:spacing w:before="100" w:beforeAutospacing="1" w:after="100" w:afterAutospacing="1"/>
        <w:rPr>
          <w:rFonts w:ascii="TimesNewRomanPS" w:hAnsi="TimesNewRomanPS"/>
          <w:b/>
          <w:bCs/>
        </w:rPr>
      </w:pPr>
      <w:r w:rsidRPr="003F466B">
        <w:rPr>
          <w:rFonts w:ascii="TimesNewRomanPS" w:hAnsi="TimesNewRomanPS"/>
          <w:b/>
          <w:bCs/>
        </w:rPr>
        <w:t>Identify areas of controversy and/or methodological weaknesses within the</w:t>
      </w:r>
      <w:r>
        <w:rPr>
          <w:rFonts w:ascii="TimesNewRomanPS" w:hAnsi="TimesNewRomanPS"/>
          <w:b/>
          <w:bCs/>
        </w:rPr>
        <w:t xml:space="preserve"> </w:t>
      </w:r>
      <w:r w:rsidRPr="003F466B">
        <w:rPr>
          <w:rFonts w:ascii="TimesNewRomanPS" w:hAnsi="TimesNewRomanPS"/>
          <w:b/>
          <w:bCs/>
        </w:rPr>
        <w:t>literature</w:t>
      </w:r>
    </w:p>
    <w:p w14:paraId="40183D4F" w14:textId="6DDFBB7A" w:rsidR="006C4519" w:rsidRDefault="003037D8" w:rsidP="006C4519">
      <w:pPr>
        <w:spacing w:before="100" w:beforeAutospacing="1" w:after="100" w:afterAutospacing="1" w:line="360" w:lineRule="auto"/>
        <w:rPr>
          <w:sz w:val="22"/>
          <w:szCs w:val="22"/>
        </w:rPr>
      </w:pPr>
      <w:r w:rsidRPr="00B451C4">
        <w:rPr>
          <w:sz w:val="22"/>
          <w:szCs w:val="22"/>
        </w:rPr>
        <w:t>In line with the rationale of this literature review, tools</w:t>
      </w:r>
      <w:r w:rsidR="00120A7B" w:rsidRPr="00B451C4">
        <w:rPr>
          <w:sz w:val="22"/>
          <w:szCs w:val="22"/>
        </w:rPr>
        <w:t xml:space="preserve"> touched on </w:t>
      </w:r>
      <w:r w:rsidRPr="00B451C4">
        <w:rPr>
          <w:sz w:val="22"/>
          <w:szCs w:val="22"/>
        </w:rPr>
        <w:t>to</w:t>
      </w:r>
      <w:r w:rsidR="00120A7B" w:rsidRPr="00B451C4">
        <w:rPr>
          <w:sz w:val="22"/>
          <w:szCs w:val="22"/>
        </w:rPr>
        <w:t xml:space="preserve"> </w:t>
      </w:r>
      <w:r w:rsidRPr="00B451C4">
        <w:rPr>
          <w:sz w:val="22"/>
          <w:szCs w:val="22"/>
        </w:rPr>
        <w:t xml:space="preserve">occupational </w:t>
      </w:r>
      <w:r w:rsidR="00120A7B" w:rsidRPr="00B451C4">
        <w:rPr>
          <w:sz w:val="22"/>
          <w:szCs w:val="22"/>
        </w:rPr>
        <w:t>burnout, compassion fatigue, vicarious and secondary traumas as well as provide skills to measure the concepts</w:t>
      </w:r>
      <w:r w:rsidR="007649A6" w:rsidRPr="00B451C4">
        <w:rPr>
          <w:sz w:val="22"/>
          <w:szCs w:val="22"/>
        </w:rPr>
        <w:t xml:space="preserve"> within the workplace</w:t>
      </w:r>
      <w:r w:rsidR="00120A7B" w:rsidRPr="00B451C4">
        <w:rPr>
          <w:sz w:val="22"/>
          <w:szCs w:val="22"/>
        </w:rPr>
        <w:t xml:space="preserve">. The researcher </w:t>
      </w:r>
      <w:r w:rsidR="006C4519">
        <w:rPr>
          <w:sz w:val="22"/>
          <w:szCs w:val="22"/>
        </w:rPr>
        <w:t>analysed</w:t>
      </w:r>
      <w:r w:rsidR="00120A7B" w:rsidRPr="00B451C4">
        <w:rPr>
          <w:sz w:val="22"/>
          <w:szCs w:val="22"/>
        </w:rPr>
        <w:t xml:space="preserve"> the information and found the following themes that explain burnout</w:t>
      </w:r>
      <w:r w:rsidR="00050A23">
        <w:rPr>
          <w:sz w:val="22"/>
          <w:szCs w:val="22"/>
        </w:rPr>
        <w:t xml:space="preserve">, </w:t>
      </w:r>
      <w:r w:rsidR="00120A7B" w:rsidRPr="00B451C4">
        <w:rPr>
          <w:sz w:val="22"/>
          <w:szCs w:val="22"/>
        </w:rPr>
        <w:t>vicarious trauma</w:t>
      </w:r>
      <w:r w:rsidR="00050A23">
        <w:rPr>
          <w:sz w:val="22"/>
          <w:szCs w:val="22"/>
        </w:rPr>
        <w:t xml:space="preserve"> and </w:t>
      </w:r>
      <w:r w:rsidR="00120A7B" w:rsidRPr="00B451C4">
        <w:rPr>
          <w:sz w:val="22"/>
          <w:szCs w:val="22"/>
        </w:rPr>
        <w:t>secondary trauma</w:t>
      </w:r>
      <w:r w:rsidR="00050A23">
        <w:rPr>
          <w:sz w:val="22"/>
          <w:szCs w:val="22"/>
        </w:rPr>
        <w:t>tic stress</w:t>
      </w:r>
      <w:r w:rsidR="00120A7B" w:rsidRPr="00B451C4">
        <w:rPr>
          <w:sz w:val="22"/>
          <w:szCs w:val="22"/>
        </w:rPr>
        <w:t xml:space="preserve">. </w:t>
      </w:r>
    </w:p>
    <w:p w14:paraId="2423BA3F" w14:textId="5655F5E8" w:rsidR="00D750A8" w:rsidRPr="00D8307A" w:rsidRDefault="006C4519" w:rsidP="00D750A8">
      <w:pPr>
        <w:pStyle w:val="NormalWeb"/>
        <w:spacing w:line="360" w:lineRule="auto"/>
        <w:rPr>
          <w:color w:val="212121"/>
          <w:shd w:val="clear" w:color="auto" w:fill="FFFFFF"/>
        </w:rPr>
      </w:pPr>
      <w:r w:rsidRPr="00D750A8">
        <w:lastRenderedPageBreak/>
        <w:t>A p</w:t>
      </w:r>
      <w:r w:rsidR="00050A23" w:rsidRPr="00D750A8">
        <w:t xml:space="preserve">opular way to measure burnout from the findings were </w:t>
      </w:r>
      <w:r w:rsidR="00120A7B" w:rsidRPr="00D750A8">
        <w:t xml:space="preserve">Maslach Burnout Inventory (MBI) (Maslach </w:t>
      </w:r>
      <w:r w:rsidR="00B451C4" w:rsidRPr="00D750A8">
        <w:t xml:space="preserve">and </w:t>
      </w:r>
      <w:r w:rsidR="00120A7B" w:rsidRPr="00D750A8">
        <w:t>Jackson, 1981</w:t>
      </w:r>
      <w:r w:rsidR="00B451C4" w:rsidRPr="00D750A8">
        <w:t xml:space="preserve">) and the Professional Quality of Life scale (ProQOL) which is been recommended through theorists to use on a regular basis to assess both organizational and individual risk of burnout and trauma-related conditions in “high-risk” environments. Maslach burnout inventory includes </w:t>
      </w:r>
      <w:r w:rsidR="00120A7B" w:rsidRPr="00D750A8">
        <w:t>22 items divided into three subscales: emotional exhaustion, depersonali</w:t>
      </w:r>
      <w:r w:rsidR="00050A23" w:rsidRPr="00D750A8">
        <w:t>s</w:t>
      </w:r>
      <w:r w:rsidR="00120A7B" w:rsidRPr="00D750A8">
        <w:t>ation, and personal accomplishment.</w:t>
      </w:r>
      <w:r w:rsidR="00CF1D3A" w:rsidRPr="00D750A8">
        <w:t xml:space="preserve"> In contrast b</w:t>
      </w:r>
      <w:r w:rsidR="00120A7B" w:rsidRPr="00D750A8">
        <w:t xml:space="preserve">urnout is viewed as a continuous variable, </w:t>
      </w:r>
      <w:r w:rsidR="00050A23" w:rsidRPr="00D750A8">
        <w:t xml:space="preserve">Research proposes that although we have tried to measure trauma, it is a 'constant variable' that depends on the individual experience of trauma, aligned with their Ecological systems (Newell and MacNeil, 2010). </w:t>
      </w:r>
      <w:r w:rsidR="00CF1D3A" w:rsidRPr="00D750A8">
        <w:t>Such of which highlights that t</w:t>
      </w:r>
      <w:r w:rsidR="00120A7B" w:rsidRPr="00D750A8">
        <w:t xml:space="preserve">here is no one way to measure burnout, compassion fatigue, and vicarious trauma. </w:t>
      </w:r>
      <w:r w:rsidR="00CF1D3A" w:rsidRPr="00D750A8">
        <w:t xml:space="preserve"> </w:t>
      </w:r>
      <w:r w:rsidR="00050A23" w:rsidRPr="00D750A8">
        <w:t>Furthermore, Van Mol et al,</w:t>
      </w:r>
      <w:r w:rsidR="00387A86" w:rsidRPr="00D750A8">
        <w:t xml:space="preserve"> </w:t>
      </w:r>
      <w:r w:rsidR="00050A23" w:rsidRPr="00D750A8">
        <w:t xml:space="preserve">(2015) </w:t>
      </w:r>
      <w:r w:rsidR="00120A7B" w:rsidRPr="00D750A8">
        <w:t xml:space="preserve">research </w:t>
      </w:r>
      <w:r w:rsidR="00387A86" w:rsidRPr="00D750A8">
        <w:t xml:space="preserve">identified a </w:t>
      </w:r>
      <w:r w:rsidR="00387A86" w:rsidRPr="00D750A8">
        <w:rPr>
          <w:shd w:val="clear" w:color="auto" w:fill="FFFFFF"/>
        </w:rPr>
        <w:t xml:space="preserve">broad range of intervention strategies, including various intensivist work schedules, training programmes on coping with emotional discomfort, increasing communication skills, and relaxing techniques, emerged from the current literature search. Although, </w:t>
      </w:r>
      <w:r w:rsidR="00D750A8" w:rsidRPr="00D750A8">
        <w:rPr>
          <w:shd w:val="clear" w:color="auto" w:fill="FFFFFF"/>
        </w:rPr>
        <w:t>it</w:t>
      </w:r>
      <w:r w:rsidR="00387A86" w:rsidRPr="00D750A8">
        <w:rPr>
          <w:shd w:val="clear" w:color="auto" w:fill="FFFFFF"/>
        </w:rPr>
        <w:t xml:space="preserve"> can be said that these are a broad range of interventions which need to be systematically considered (Yang et al, 2012)</w:t>
      </w:r>
      <w:r w:rsidR="00120A7B" w:rsidRPr="00D750A8">
        <w:t xml:space="preserve">. </w:t>
      </w:r>
      <w:r w:rsidR="00D750A8" w:rsidRPr="00D750A8">
        <w:t xml:space="preserve">Research further suggests that a person who is exposed to personal history of violence, and disruption of cognitive abilities are have increased chance of secondary trauma or burnout. However, there is little research around methods in how the employer identifies the following within nurses, particularly within longitudinal research. Shorey’s </w:t>
      </w:r>
      <w:r w:rsidR="00D750A8">
        <w:t xml:space="preserve">(2022) </w:t>
      </w:r>
      <w:r w:rsidR="00D750A8" w:rsidRPr="00D750A8">
        <w:t>research, further elaborates on</w:t>
      </w:r>
      <w:r w:rsidR="00D750A8">
        <w:t xml:space="preserve"> </w:t>
      </w:r>
      <w:r w:rsidR="00D8307A">
        <w:t xml:space="preserve">the following through </w:t>
      </w:r>
      <w:r w:rsidR="00D750A8">
        <w:t>four high order</w:t>
      </w:r>
      <w:r w:rsidR="00D750A8">
        <w:rPr>
          <w:color w:val="212121"/>
          <w:shd w:val="clear" w:color="auto" w:fill="FFFFFF"/>
        </w:rPr>
        <w:t>,</w:t>
      </w:r>
      <w:r w:rsidR="00D750A8" w:rsidRPr="00D750A8">
        <w:rPr>
          <w:color w:val="212121"/>
          <w:shd w:val="clear" w:color="auto" w:fill="FFFFFF"/>
        </w:rPr>
        <w:t xml:space="preserve"> the four main themes were (1) "instantaneous response to the trauma," (2) "finding hope in the midst of chaos," (3) "dealing with the aftermath," and (4) "resolution to move on." </w:t>
      </w:r>
      <w:r w:rsidR="00D8307A">
        <w:rPr>
          <w:color w:val="212121"/>
          <w:shd w:val="clear" w:color="auto" w:fill="FFFFFF"/>
        </w:rPr>
        <w:t>It was further proposed that c</w:t>
      </w:r>
      <w:r w:rsidR="00D750A8" w:rsidRPr="00D750A8">
        <w:rPr>
          <w:color w:val="212121"/>
          <w:shd w:val="clear" w:color="auto" w:fill="FFFFFF"/>
        </w:rPr>
        <w:t>ommunication and teamwork</w:t>
      </w:r>
      <w:r w:rsidR="00D8307A">
        <w:rPr>
          <w:color w:val="212121"/>
          <w:shd w:val="clear" w:color="auto" w:fill="FFFFFF"/>
        </w:rPr>
        <w:t xml:space="preserve"> within the health care profession </w:t>
      </w:r>
      <w:r w:rsidR="00D750A8" w:rsidRPr="00D750A8">
        <w:rPr>
          <w:color w:val="212121"/>
          <w:shd w:val="clear" w:color="auto" w:fill="FFFFFF"/>
        </w:rPr>
        <w:t>identified</w:t>
      </w:r>
      <w:r w:rsidR="00D8307A">
        <w:rPr>
          <w:color w:val="212121"/>
          <w:shd w:val="clear" w:color="auto" w:fill="FFFFFF"/>
        </w:rPr>
        <w:t xml:space="preserve"> numerous</w:t>
      </w:r>
      <w:r w:rsidR="00D750A8" w:rsidRPr="00D750A8">
        <w:rPr>
          <w:color w:val="212121"/>
          <w:shd w:val="clear" w:color="auto" w:fill="FFFFFF"/>
        </w:rPr>
        <w:t xml:space="preserve"> challenges contributed </w:t>
      </w:r>
      <w:r w:rsidR="00D8307A">
        <w:rPr>
          <w:color w:val="212121"/>
          <w:shd w:val="clear" w:color="auto" w:fill="FFFFFF"/>
        </w:rPr>
        <w:t xml:space="preserve">through management, </w:t>
      </w:r>
      <w:r w:rsidR="00D750A8" w:rsidRPr="00D750A8">
        <w:rPr>
          <w:color w:val="212121"/>
          <w:shd w:val="clear" w:color="auto" w:fill="FFFFFF"/>
        </w:rPr>
        <w:t xml:space="preserve">hierarchy and lack of </w:t>
      </w:r>
      <w:r w:rsidR="00D8307A">
        <w:rPr>
          <w:color w:val="212121"/>
          <w:shd w:val="clear" w:color="auto" w:fill="FFFFFF"/>
        </w:rPr>
        <w:t xml:space="preserve">organisational structure.   </w:t>
      </w:r>
    </w:p>
    <w:p w14:paraId="1FC1D06E" w14:textId="09ACD1B7" w:rsidR="00120A7B" w:rsidRDefault="00120A7B" w:rsidP="00D750A8">
      <w:pPr>
        <w:spacing w:line="360" w:lineRule="auto"/>
        <w:rPr>
          <w:rFonts w:asciiTheme="minorHAnsi" w:eastAsia="Arial Unicode MS" w:hAnsiTheme="minorHAnsi" w:cstheme="minorHAnsi"/>
        </w:rPr>
      </w:pPr>
    </w:p>
    <w:p w14:paraId="02E643CA" w14:textId="77777777" w:rsidR="00120A7B" w:rsidRPr="00B024D1" w:rsidRDefault="00120A7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CB70CFC" w14:textId="77777777" w:rsidR="00120A7B" w:rsidRPr="000466C3" w:rsidRDefault="00120A7B" w:rsidP="00120A7B">
      <w:pPr>
        <w:spacing w:before="100" w:beforeAutospacing="1" w:after="100" w:afterAutospacing="1"/>
        <w:rPr>
          <w:b/>
          <w:bCs/>
          <w:sz w:val="32"/>
          <w:szCs w:val="32"/>
        </w:rPr>
      </w:pPr>
      <w:r w:rsidRPr="000466C3">
        <w:rPr>
          <w:rFonts w:ascii="TimesNewRomanPS" w:hAnsi="TimesNewRomanPS"/>
          <w:b/>
          <w:bCs/>
          <w:sz w:val="32"/>
          <w:szCs w:val="32"/>
        </w:rPr>
        <w:t xml:space="preserve">Discussion </w:t>
      </w:r>
    </w:p>
    <w:p w14:paraId="24249A48" w14:textId="70380AD8" w:rsidR="00120A7B" w:rsidRPr="0049643D" w:rsidRDefault="00120A7B" w:rsidP="0049643D">
      <w:pPr>
        <w:spacing w:before="100" w:beforeAutospacing="1" w:after="100" w:afterAutospacing="1" w:line="360" w:lineRule="auto"/>
        <w:rPr>
          <w:rFonts w:ascii="TimesNewRomanPSMT" w:hAnsi="TimesNewRomanPSMT"/>
        </w:rPr>
      </w:pPr>
      <w:r w:rsidRPr="00BE6609">
        <w:rPr>
          <w:rFonts w:ascii="TimesNewRomanPSMT" w:hAnsi="TimesNewRomanPSMT"/>
        </w:rPr>
        <w:t>Despite the large body of research, burnout</w:t>
      </w:r>
      <w:r w:rsidR="00D8307A" w:rsidRPr="00BE6609">
        <w:rPr>
          <w:rFonts w:ascii="TimesNewRomanPSMT" w:hAnsi="TimesNewRomanPSMT"/>
        </w:rPr>
        <w:t>, compassio</w:t>
      </w:r>
      <w:r w:rsidR="00BE6609" w:rsidRPr="00BE6609">
        <w:rPr>
          <w:rFonts w:ascii="TimesNewRomanPSMT" w:hAnsi="TimesNewRomanPSMT"/>
        </w:rPr>
        <w:t>n fatigue, secondary traumatic stress, wellbeing and vicarious trauma remains</w:t>
      </w:r>
      <w:r w:rsidRPr="00BE6609">
        <w:rPr>
          <w:rFonts w:ascii="TimesNewRomanPSMT" w:hAnsi="TimesNewRomanPSMT"/>
        </w:rPr>
        <w:t xml:space="preserve"> an unclear c</w:t>
      </w:r>
      <w:r w:rsidR="00BE6609" w:rsidRPr="00BE6609">
        <w:rPr>
          <w:rFonts w:ascii="TimesNewRomanPSMT" w:hAnsi="TimesNewRomanPSMT"/>
        </w:rPr>
        <w:t>onstruc</w:t>
      </w:r>
      <w:r w:rsidR="00BE6609">
        <w:rPr>
          <w:rFonts w:ascii="TimesNewRomanPSMT" w:hAnsi="TimesNewRomanPSMT"/>
        </w:rPr>
        <w:t>t</w:t>
      </w:r>
      <w:r w:rsidRPr="00120A7B">
        <w:rPr>
          <w:rFonts w:ascii="TimesNewRomanPSMT" w:hAnsi="TimesNewRomanPSMT"/>
        </w:rPr>
        <w:t xml:space="preserve">. However, </w:t>
      </w:r>
      <w:r w:rsidR="00BE6609">
        <w:rPr>
          <w:rFonts w:ascii="TimesNewRomanPSMT" w:hAnsi="TimesNewRomanPSMT"/>
        </w:rPr>
        <w:t xml:space="preserve">it is evident from the research that ‘burnout’ can occur more likely, within everyday life, than secondary traumatic stress, vicarious trauma and compassion fatigue.  In contrast from the finding the studies within this research area are few than 100 people. Furthermore, there is a lack of longitudinal </w:t>
      </w:r>
      <w:r w:rsidR="00BE6609">
        <w:rPr>
          <w:rFonts w:ascii="TimesNewRomanPSMT" w:hAnsi="TimesNewRomanPSMT"/>
        </w:rPr>
        <w:lastRenderedPageBreak/>
        <w:t xml:space="preserve">research within this sector surrounding ‘preventive’ strategies and coping methods within the field of nursing. In light of this, there no specific information following racial demographics and a lack of specific personality traits that may increase the </w:t>
      </w:r>
      <w:r w:rsidR="0049643D">
        <w:rPr>
          <w:rFonts w:ascii="TimesNewRomanPSMT" w:hAnsi="TimesNewRomanPSMT"/>
        </w:rPr>
        <w:t>chances of secondary trauma. Some of the research finding within the articles were contradictory, as some stated h</w:t>
      </w:r>
      <w:r w:rsidRPr="00120A7B">
        <w:rPr>
          <w:rFonts w:ascii="TimesNewRomanPSMT" w:hAnsi="TimesNewRomanPSMT"/>
        </w:rPr>
        <w:t>igh work pressure was correlated with burnout in one study yet in a few others it was unrelated.</w:t>
      </w:r>
      <w:r w:rsidR="0049643D">
        <w:rPr>
          <w:rFonts w:ascii="TimesNewRomanPSMT" w:hAnsi="TimesNewRomanPSMT"/>
        </w:rPr>
        <w:t xml:space="preserve"> An increasing concern, was how research papers attempted to measure trauma and within the same paper, stated the ‘following cannot be measured as it a variable construct’. </w:t>
      </w:r>
      <w:r w:rsidRPr="00120A7B">
        <w:rPr>
          <w:rFonts w:ascii="TimesNewRomanPSMT" w:hAnsi="TimesNewRomanPSMT"/>
        </w:rPr>
        <w:t xml:space="preserve">In </w:t>
      </w:r>
      <w:r w:rsidR="0049643D">
        <w:rPr>
          <w:rFonts w:ascii="TimesNewRomanPSMT" w:hAnsi="TimesNewRomanPSMT"/>
        </w:rPr>
        <w:t>three</w:t>
      </w:r>
      <w:r w:rsidRPr="00120A7B">
        <w:rPr>
          <w:rFonts w:ascii="TimesNewRomanPSMT" w:hAnsi="TimesNewRomanPSMT"/>
        </w:rPr>
        <w:t xml:space="preserve"> of the</w:t>
      </w:r>
      <w:r w:rsidR="0049643D">
        <w:rPr>
          <w:rFonts w:ascii="TimesNewRomanPSMT" w:hAnsi="TimesNewRomanPSMT"/>
        </w:rPr>
        <w:t xml:space="preserve"> following</w:t>
      </w:r>
      <w:r w:rsidRPr="00120A7B">
        <w:rPr>
          <w:rFonts w:ascii="TimesNewRomanPSMT" w:hAnsi="TimesNewRomanPSMT"/>
        </w:rPr>
        <w:t xml:space="preserve"> studies, the</w:t>
      </w:r>
      <w:r w:rsidR="0049643D">
        <w:rPr>
          <w:rFonts w:ascii="TimesNewRomanPSMT" w:hAnsi="TimesNewRomanPSMT"/>
        </w:rPr>
        <w:t xml:space="preserve"> </w:t>
      </w:r>
      <w:r w:rsidRPr="00120A7B">
        <w:rPr>
          <w:rFonts w:ascii="TimesNewRomanPSMT" w:hAnsi="TimesNewRomanPSMT"/>
        </w:rPr>
        <w:t xml:space="preserve">response rate was less than 50 percent. </w:t>
      </w:r>
      <w:r w:rsidR="0049643D">
        <w:rPr>
          <w:rFonts w:ascii="TimesNewRomanPSMT" w:hAnsi="TimesNewRomanPSMT"/>
        </w:rPr>
        <w:t xml:space="preserve">Henceforth, it </w:t>
      </w:r>
      <w:r w:rsidRPr="00120A7B">
        <w:rPr>
          <w:rFonts w:ascii="TimesNewRomanPSMT" w:hAnsi="TimesNewRomanPSMT"/>
        </w:rPr>
        <w:t>simply cannot be conclud</w:t>
      </w:r>
      <w:r w:rsidR="00B063B0">
        <w:rPr>
          <w:rFonts w:ascii="TimesNewRomanPSMT" w:hAnsi="TimesNewRomanPSMT"/>
        </w:rPr>
        <w:t xml:space="preserve">e </w:t>
      </w:r>
      <w:r w:rsidR="00B063B0" w:rsidRPr="00120A7B">
        <w:rPr>
          <w:rFonts w:ascii="TimesNewRomanPSMT" w:hAnsi="TimesNewRomanPSMT"/>
        </w:rPr>
        <w:t xml:space="preserve">burnout </w:t>
      </w:r>
      <w:r w:rsidR="00B063B0">
        <w:rPr>
          <w:rFonts w:ascii="TimesNewRomanPSMT" w:hAnsi="TimesNewRomanPSMT"/>
        </w:rPr>
        <w:t>is</w:t>
      </w:r>
      <w:r w:rsidR="0049643D">
        <w:rPr>
          <w:rFonts w:ascii="TimesNewRomanPSMT" w:hAnsi="TimesNewRomanPSMT"/>
        </w:rPr>
        <w:t xml:space="preserve"> </w:t>
      </w:r>
      <w:r w:rsidRPr="00120A7B">
        <w:rPr>
          <w:rFonts w:ascii="TimesNewRomanPSMT" w:hAnsi="TimesNewRomanPSMT"/>
        </w:rPr>
        <w:t>due to the lack of proper supervision</w:t>
      </w:r>
      <w:r w:rsidR="0049643D">
        <w:rPr>
          <w:rFonts w:ascii="TimesNewRomanPSMT" w:hAnsi="TimesNewRomanPSMT"/>
        </w:rPr>
        <w:t xml:space="preserve"> and organisational </w:t>
      </w:r>
      <w:r w:rsidR="00B063B0">
        <w:rPr>
          <w:rFonts w:ascii="TimesNewRomanPSMT" w:hAnsi="TimesNewRomanPSMT"/>
        </w:rPr>
        <w:t>structure.</w:t>
      </w:r>
      <w:r w:rsidRPr="00120A7B">
        <w:rPr>
          <w:rFonts w:ascii="TimesNewRomanPSMT" w:hAnsi="TimesNewRomanPSMT"/>
        </w:rPr>
        <w:t xml:space="preserve"> </w:t>
      </w:r>
    </w:p>
    <w:p w14:paraId="2B3F836A" w14:textId="30EC48FE" w:rsidR="00120A7B" w:rsidRPr="00107CC1" w:rsidRDefault="0049643D" w:rsidP="00107CC1">
      <w:pPr>
        <w:spacing w:before="100" w:beforeAutospacing="1" w:after="100" w:afterAutospacing="1" w:line="360" w:lineRule="auto"/>
        <w:rPr>
          <w:rFonts w:ascii="TimesNewRomanPSMT" w:hAnsi="TimesNewRomanPSMT"/>
        </w:rPr>
      </w:pPr>
      <w:r>
        <w:rPr>
          <w:rFonts w:ascii="TimesNewRomanPSMT" w:hAnsi="TimesNewRomanPSMT"/>
        </w:rPr>
        <w:t xml:space="preserve">In </w:t>
      </w:r>
      <w:r w:rsidR="00B063B0">
        <w:rPr>
          <w:rFonts w:ascii="TimesNewRomanPSMT" w:hAnsi="TimesNewRomanPSMT"/>
        </w:rPr>
        <w:t>a</w:t>
      </w:r>
      <w:r w:rsidR="00120A7B" w:rsidRPr="00120A7B">
        <w:rPr>
          <w:rFonts w:ascii="TimesNewRomanPSMT" w:hAnsi="TimesNewRomanPSMT"/>
        </w:rPr>
        <w:t>ddition</w:t>
      </w:r>
      <w:r>
        <w:rPr>
          <w:rFonts w:ascii="TimesNewRomanPSMT" w:hAnsi="TimesNewRomanPSMT"/>
        </w:rPr>
        <w:t xml:space="preserve">, a large scale of </w:t>
      </w:r>
      <w:r w:rsidR="00B063B0">
        <w:rPr>
          <w:rFonts w:ascii="TimesNewRomanPSMT" w:hAnsi="TimesNewRomanPSMT"/>
        </w:rPr>
        <w:t>the research i</w:t>
      </w:r>
      <w:r>
        <w:rPr>
          <w:rFonts w:ascii="TimesNewRomanPSMT" w:hAnsi="TimesNewRomanPSMT"/>
        </w:rPr>
        <w:t xml:space="preserve">dentified that </w:t>
      </w:r>
      <w:r w:rsidR="00B063B0">
        <w:rPr>
          <w:rFonts w:ascii="TimesNewRomanPSMT" w:hAnsi="TimesNewRomanPSMT"/>
        </w:rPr>
        <w:t>experience</w:t>
      </w:r>
      <w:r>
        <w:rPr>
          <w:rFonts w:ascii="TimesNewRomanPSMT" w:hAnsi="TimesNewRomanPSMT"/>
        </w:rPr>
        <w:t xml:space="preserve"> to trauma, </w:t>
      </w:r>
      <w:r w:rsidR="00B063B0">
        <w:rPr>
          <w:rFonts w:ascii="TimesNewRomanPSMT" w:hAnsi="TimesNewRomanPSMT"/>
        </w:rPr>
        <w:t>increases the</w:t>
      </w:r>
      <w:r>
        <w:rPr>
          <w:rFonts w:ascii="TimesNewRomanPSMT" w:hAnsi="TimesNewRomanPSMT"/>
        </w:rPr>
        <w:t xml:space="preserve"> percentage of experiencing secondary trauma </w:t>
      </w:r>
      <w:r w:rsidR="00B063B0">
        <w:rPr>
          <w:rFonts w:ascii="TimesNewRomanPSMT" w:hAnsi="TimesNewRomanPSMT"/>
        </w:rPr>
        <w:t>stress</w:t>
      </w:r>
      <w:r>
        <w:rPr>
          <w:rFonts w:ascii="TimesNewRomanPSMT" w:hAnsi="TimesNewRomanPSMT"/>
        </w:rPr>
        <w:t xml:space="preserve"> and</w:t>
      </w:r>
      <w:r w:rsidR="00B063B0">
        <w:rPr>
          <w:rFonts w:ascii="TimesNewRomanPSMT" w:hAnsi="TimesNewRomanPSMT"/>
        </w:rPr>
        <w:t xml:space="preserve"> </w:t>
      </w:r>
      <w:r>
        <w:rPr>
          <w:rFonts w:ascii="TimesNewRomanPSMT" w:hAnsi="TimesNewRomanPSMT"/>
        </w:rPr>
        <w:t>bu</w:t>
      </w:r>
      <w:r w:rsidR="00B063B0">
        <w:rPr>
          <w:rFonts w:ascii="TimesNewRomanPSMT" w:hAnsi="TimesNewRomanPSMT"/>
        </w:rPr>
        <w:t xml:space="preserve">rnout once more. However, the search studies proposed no method in screening and checking the individual previous history. Such of which plays a pivotal role in </w:t>
      </w:r>
      <w:r w:rsidR="00120A7B" w:rsidRPr="00120A7B">
        <w:rPr>
          <w:rFonts w:ascii="TimesNewRomanPSMT" w:hAnsi="TimesNewRomanPSMT"/>
        </w:rPr>
        <w:t xml:space="preserve">implementing self-care, it is important to include information about good supervision, dealing with your own trauma and how it related to burnout. Implementing how to give proper supervision will help </w:t>
      </w:r>
      <w:r w:rsidR="00B063B0">
        <w:rPr>
          <w:rFonts w:ascii="TimesNewRomanPSMT" w:hAnsi="TimesNewRomanPSMT"/>
        </w:rPr>
        <w:t xml:space="preserve">members of staff and hierarchy </w:t>
      </w:r>
      <w:r w:rsidR="00120A7B" w:rsidRPr="00120A7B">
        <w:rPr>
          <w:rFonts w:ascii="TimesNewRomanPSMT" w:hAnsi="TimesNewRomanPSMT"/>
        </w:rPr>
        <w:t>and prepare them to be in that supervisory role.</w:t>
      </w:r>
      <w:r w:rsidR="00107CC1">
        <w:rPr>
          <w:rFonts w:ascii="TimesNewRomanPSMT" w:hAnsi="TimesNewRomanPSMT"/>
        </w:rPr>
        <w:t xml:space="preserve"> Despite this</w:t>
      </w:r>
      <w:r w:rsidR="00B063B0">
        <w:rPr>
          <w:rFonts w:ascii="TimesNewRomanPSMT" w:hAnsi="TimesNewRomanPSMT"/>
        </w:rPr>
        <w:t>, the literature articulating ‘preventative strateg</w:t>
      </w:r>
      <w:r w:rsidR="00107CC1">
        <w:rPr>
          <w:rFonts w:ascii="TimesNewRomanPSMT" w:hAnsi="TimesNewRomanPSMT"/>
        </w:rPr>
        <w:t>ies</w:t>
      </w:r>
      <w:r w:rsidR="00B063B0">
        <w:rPr>
          <w:rFonts w:ascii="TimesNewRomanPSMT" w:hAnsi="TimesNewRomanPSMT"/>
        </w:rPr>
        <w:t>’, there was little evidence of proactive methods that can be used for the health carer provide</w:t>
      </w:r>
      <w:r w:rsidR="00107CC1">
        <w:rPr>
          <w:rFonts w:ascii="TimesNewRomanPSMT" w:hAnsi="TimesNewRomanPSMT"/>
        </w:rPr>
        <w:t>r</w:t>
      </w:r>
      <w:r w:rsidR="00B063B0">
        <w:rPr>
          <w:rFonts w:ascii="TimesNewRomanPSMT" w:hAnsi="TimesNewRomanPSMT"/>
        </w:rPr>
        <w:t xml:space="preserve">s. Thus, lacking direction in terms how and </w:t>
      </w:r>
      <w:r w:rsidR="00107CC1">
        <w:rPr>
          <w:rFonts w:ascii="TimesNewRomanPSMT" w:hAnsi="TimesNewRomanPSMT"/>
        </w:rPr>
        <w:t>where resources</w:t>
      </w:r>
      <w:r w:rsidR="00B063B0">
        <w:rPr>
          <w:rFonts w:ascii="TimesNewRomanPSMT" w:hAnsi="TimesNewRomanPSMT"/>
        </w:rPr>
        <w:t xml:space="preserve"> </w:t>
      </w:r>
      <w:r w:rsidR="00107CC1">
        <w:rPr>
          <w:rFonts w:ascii="TimesNewRomanPSMT" w:hAnsi="TimesNewRomanPSMT"/>
        </w:rPr>
        <w:t>could be used today</w:t>
      </w:r>
      <w:r w:rsidR="00B063B0">
        <w:rPr>
          <w:rFonts w:ascii="TimesNewRomanPSMT" w:hAnsi="TimesNewRomanPSMT"/>
        </w:rPr>
        <w:t xml:space="preserve">. </w:t>
      </w:r>
      <w:r w:rsidR="00120A7B" w:rsidRPr="00120A7B">
        <w:rPr>
          <w:rFonts w:ascii="TimesNewRomanPSMT" w:hAnsi="TimesNewRomanPSMT"/>
        </w:rPr>
        <w:t xml:space="preserve"> Finally, based finding that lack of organizational structure in the work environment it would be important to know if a creative and interactive work environment is helpful in reducing the competing demands of employment and academics, potentially resulting in reduced risk of burnout. </w:t>
      </w:r>
      <w:r w:rsidR="00107CC1" w:rsidRPr="00107CC1">
        <w:rPr>
          <w:rFonts w:ascii="TimesNewRomanPSMT" w:hAnsi="TimesNewRomanPSMT"/>
        </w:rPr>
        <w:t>Finally, given the absence of organisational structure in the workplace, it is crucial to understand if a creative and interactive work environment may assist employees balance the demands of their jobs and their academic obligations, thereby lowering their risk of burnout.</w:t>
      </w:r>
    </w:p>
    <w:p w14:paraId="3F2CB54A"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1339CBE"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410FC18"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AA3DABE"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B0B8370"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3BE466A"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5A02B78"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CB0881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B60B630"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3A2A4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383A533" w14:textId="77777777" w:rsidR="005C2C7A" w:rsidRPr="00B024D1" w:rsidRDefault="005C2C7A" w:rsidP="00B024D1">
      <w:pPr>
        <w:adjustRightInd w:val="0"/>
        <w:spacing w:line="360" w:lineRule="auto"/>
        <w:ind w:right="-51"/>
        <w:jc w:val="both"/>
        <w:rPr>
          <w:rFonts w:asciiTheme="minorHAnsi" w:eastAsia="Arial Unicode MS" w:hAnsiTheme="minorHAnsi" w:cstheme="minorHAnsi"/>
        </w:rPr>
      </w:pPr>
    </w:p>
    <w:p w14:paraId="03B545DD"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r w:rsidRPr="006D6DBD">
        <w:rPr>
          <w:rFonts w:eastAsia="Arial Unicode MS"/>
          <w:b/>
        </w:rPr>
        <w:t xml:space="preserve">Section 4 – Recommendations and conclusion </w:t>
      </w:r>
    </w:p>
    <w:p w14:paraId="5C45F26B"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p>
    <w:p w14:paraId="0271E97D"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r w:rsidRPr="006D6DBD">
        <w:rPr>
          <w:rFonts w:eastAsia="Arial Unicode MS"/>
          <w:b/>
        </w:rPr>
        <w:t xml:space="preserve">Recommendation 1: </w:t>
      </w:r>
    </w:p>
    <w:p w14:paraId="67170220"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rPr>
      </w:pPr>
      <w:r w:rsidRPr="006D6DBD">
        <w:rPr>
          <w:bCs/>
        </w:rPr>
        <w:t>Getting to know the person (Social baggage) by having an induction meeting as there is an increased chance of STS / compassion fatigue / burnout when the individual has previously gone through high levels of trauma in their history. Therefore, these members of staff are more vulnerable and should have coping strategies put into place and closely monitored (</w:t>
      </w:r>
      <w:proofErr w:type="spellStart"/>
      <w:r w:rsidRPr="006D6DBD">
        <w:rPr>
          <w:bCs/>
        </w:rPr>
        <w:t>Jaeckle</w:t>
      </w:r>
      <w:proofErr w:type="spellEnd"/>
      <w:r w:rsidRPr="006D6DBD">
        <w:rPr>
          <w:bCs/>
        </w:rPr>
        <w:t xml:space="preserve">, et al, 2022). </w:t>
      </w:r>
    </w:p>
    <w:p w14:paraId="78B97BC9"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rPr>
      </w:pPr>
    </w:p>
    <w:p w14:paraId="7ECED004"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r w:rsidRPr="006D6DBD">
        <w:rPr>
          <w:b/>
        </w:rPr>
        <w:t xml:space="preserve">Recommendation 2: </w:t>
      </w:r>
    </w:p>
    <w:p w14:paraId="5F0F2F59" w14:textId="77777777" w:rsidR="00107CC1" w:rsidRPr="00415C79"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r w:rsidRPr="00415C79">
        <w:t>Education through continues professional development (CPDs) throughout the year to all staff, with multilevel interventions to address STS/</w:t>
      </w:r>
      <w:r w:rsidRPr="006D6DBD">
        <w:t xml:space="preserve"> </w:t>
      </w:r>
      <w:r w:rsidRPr="00415C79">
        <w:t>Compassion fatigue</w:t>
      </w:r>
      <w:r w:rsidRPr="006D6DBD">
        <w:t xml:space="preserve"> / Burnout</w:t>
      </w:r>
      <w:r w:rsidRPr="00415C79">
        <w:t xml:space="preserve"> (Aycock and Boyle, 2009), </w:t>
      </w:r>
      <w:r w:rsidRPr="006D6DBD">
        <w:t xml:space="preserve">Gaining knowledge </w:t>
      </w:r>
      <w:r w:rsidRPr="00415C79">
        <w:t xml:space="preserve">will allow individuals to develop a range of coping </w:t>
      </w:r>
      <w:r w:rsidRPr="006D6DBD">
        <w:t>strategies</w:t>
      </w:r>
      <w:r w:rsidRPr="00415C79">
        <w:t xml:space="preserve"> to support them throughout their occupation (Awe, et al, 2010). </w:t>
      </w:r>
    </w:p>
    <w:p w14:paraId="649859F3"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p>
    <w:p w14:paraId="43BF9957"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r w:rsidRPr="006D6DBD">
        <w:rPr>
          <w:rFonts w:eastAsia="Arial Unicode MS"/>
          <w:b/>
        </w:rPr>
        <w:t xml:space="preserve">Recommendation 3: </w:t>
      </w:r>
    </w:p>
    <w:p w14:paraId="286A852F"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415C79">
        <w:t>Maben and Bridges (2022) suggest that having regular appointments to support mental health and well</w:t>
      </w:r>
      <w:r w:rsidRPr="006D6DBD">
        <w:t>be</w:t>
      </w:r>
      <w:r w:rsidRPr="00415C79">
        <w:t xml:space="preserve">ing should be </w:t>
      </w:r>
      <w:r w:rsidRPr="006D6DBD">
        <w:t>prioritised</w:t>
      </w:r>
      <w:r w:rsidRPr="00415C79">
        <w:t xml:space="preserve"> like </w:t>
      </w:r>
      <w:r w:rsidRPr="006D6DBD">
        <w:t>surgeries</w:t>
      </w:r>
      <w:r w:rsidRPr="00415C79">
        <w:t xml:space="preserve"> and dentists. Thus, regular compulsory appointments will be highly supportive for members of staff. </w:t>
      </w:r>
      <w:r w:rsidRPr="006D6DBD">
        <w:t xml:space="preserve">Providing this support will help to prevent the negative outcomes. </w:t>
      </w:r>
    </w:p>
    <w:p w14:paraId="1984291A"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7E2999CA"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bCs/>
        </w:rPr>
      </w:pPr>
      <w:r w:rsidRPr="006D6DBD">
        <w:rPr>
          <w:b/>
          <w:bCs/>
        </w:rPr>
        <w:t>Recommendation 4:</w:t>
      </w:r>
    </w:p>
    <w:p w14:paraId="1CFDE84D"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6D6DBD">
        <w:t xml:space="preserve">Burnout is known to be a “gateway to compassion fatigue”, Studies have shown that there is a lack of longitudinal research on gathering this evidence. </w:t>
      </w:r>
    </w:p>
    <w:p w14:paraId="53C586A5"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5BCB5C61"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23A3D96B" w14:textId="77777777" w:rsidR="00107CC1" w:rsidRPr="006D6DBD"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bCs/>
        </w:rPr>
      </w:pPr>
      <w:r w:rsidRPr="006D6DBD">
        <w:rPr>
          <w:b/>
          <w:bCs/>
        </w:rPr>
        <w:t xml:space="preserve">Conclusion </w:t>
      </w:r>
    </w:p>
    <w:p w14:paraId="5FD8B217" w14:textId="77777777" w:rsidR="00107CC1" w:rsidRPr="00E210BC"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bCs/>
        </w:rPr>
      </w:pPr>
      <w:r w:rsidRPr="00E210BC">
        <w:t xml:space="preserve">As an overview of the research, personal factors need to be considered, along with the ecological systems of oneself. </w:t>
      </w:r>
    </w:p>
    <w:p w14:paraId="1734FC7E" w14:textId="77777777" w:rsidR="00107CC1" w:rsidRPr="006D6DBD" w:rsidRDefault="00107CC1" w:rsidP="00107CC1">
      <w:pPr>
        <w:pStyle w:val="NormalWeb"/>
        <w:spacing w:line="360" w:lineRule="auto"/>
      </w:pPr>
      <w:r w:rsidRPr="00E210BC">
        <w:t xml:space="preserve">Furthermore, communication played a </w:t>
      </w:r>
      <w:r w:rsidRPr="006D6DBD">
        <w:t>pivotal role</w:t>
      </w:r>
      <w:r w:rsidRPr="00E210BC">
        <w:t xml:space="preserve"> within the research papers through both hierarchy and the nurses. In light of this research conceptualised that burnout is caused by poor time-management</w:t>
      </w:r>
      <w:r w:rsidRPr="006D6DBD">
        <w:t xml:space="preserve">, </w:t>
      </w:r>
      <w:r w:rsidRPr="00E210BC">
        <w:t xml:space="preserve">organisation and a lack of support and resources from management. </w:t>
      </w:r>
      <w:r w:rsidRPr="00E210BC">
        <w:lastRenderedPageBreak/>
        <w:t>Lastly, in order to apply this theory into practice through interventions, it needs to be systematic and through a longitudinal study to promote further research</w:t>
      </w:r>
      <w:r w:rsidRPr="006D6DBD">
        <w:t xml:space="preserve"> (Delaney, 2018). </w:t>
      </w:r>
    </w:p>
    <w:p w14:paraId="66C722F8" w14:textId="77777777" w:rsidR="00107CC1" w:rsidRPr="00E210BC" w:rsidRDefault="00107CC1" w:rsidP="00107CC1">
      <w:pPr>
        <w:pStyle w:val="NormalWeb"/>
        <w:spacing w:line="360" w:lineRule="auto"/>
      </w:pPr>
      <w:r w:rsidRPr="006D6DBD">
        <w:t xml:space="preserve">Despite this research of conceptualisation there is still a lack of conceptual clarity surrounding secondary traumatic stress as everyone is independent on their own experiences and some coping strategies might work for oneself may not work for another. </w:t>
      </w:r>
    </w:p>
    <w:p w14:paraId="009582F4" w14:textId="77777777" w:rsidR="00107CC1" w:rsidRPr="00415C79" w:rsidRDefault="00107CC1" w:rsidP="00107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bCs/>
        </w:rPr>
      </w:pPr>
    </w:p>
    <w:p w14:paraId="2C655E3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359994EA"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FF29811" w14:textId="6BD33BD1"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1AAA9AD" w14:textId="2B3C294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3E08D4C0" w14:textId="73D68D8F"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9018F8E" w14:textId="1BECDD94"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FD49EF" w14:textId="580A477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D65754E" w14:textId="5852049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D869A66" w14:textId="0FDE25D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85E09A2" w14:textId="2AA480F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3F459E7" w14:textId="5029A20C"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3A89DD" w14:textId="28C7C58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2F137D1" w14:textId="4AF6FEC1"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09803F0" w14:textId="62DBCF2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25A6D127" w14:textId="0BB29D23"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E4304A1" w14:textId="4C15882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1161191" w14:textId="76ACE51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1DE1958" w14:textId="207F2B6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49B0A725" w14:textId="19090E09"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07966EC" w14:textId="7777777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8C0B3D1"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13BF4B7F"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CBFF04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A717C8D" w14:textId="77777777" w:rsidR="005C2C7A" w:rsidRPr="00B024D1" w:rsidRDefault="005C2C7A" w:rsidP="005C2C7A">
      <w:pPr>
        <w:ind w:left="720"/>
        <w:jc w:val="both"/>
        <w:rPr>
          <w:rFonts w:asciiTheme="minorHAnsi" w:eastAsia="Arial Unicode MS" w:hAnsiTheme="minorHAnsi" w:cstheme="minorHAnsi"/>
        </w:rPr>
      </w:pPr>
    </w:p>
    <w:p w14:paraId="4EC4263B" w14:textId="77777777" w:rsidR="005C2C7A" w:rsidRPr="00B024D1" w:rsidRDefault="005C2C7A" w:rsidP="005C2C7A">
      <w:pPr>
        <w:ind w:left="720" w:right="194"/>
        <w:jc w:val="both"/>
        <w:rPr>
          <w:rFonts w:asciiTheme="minorHAnsi" w:eastAsia="Arial Unicode MS" w:hAnsiTheme="minorHAnsi" w:cstheme="minorHAnsi"/>
        </w:rPr>
      </w:pPr>
    </w:p>
    <w:p w14:paraId="55FB8CAF" w14:textId="77777777" w:rsidR="005C2C7A" w:rsidRPr="00B024D1" w:rsidRDefault="005C2C7A" w:rsidP="005C2C7A">
      <w:pPr>
        <w:ind w:left="720" w:right="194" w:hanging="720"/>
        <w:jc w:val="both"/>
        <w:rPr>
          <w:rFonts w:asciiTheme="minorHAnsi" w:eastAsia="Arial Unicode MS" w:hAnsiTheme="minorHAnsi" w:cstheme="minorHAnsi"/>
        </w:rPr>
      </w:pPr>
    </w:p>
    <w:p w14:paraId="77C28812" w14:textId="77777777" w:rsidR="009F5D6C" w:rsidRPr="00B024D1" w:rsidRDefault="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2E50FAF4" w14:textId="1861B752" w:rsidR="005C2C7A" w:rsidRPr="00B024D1"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REFERENCING</w:t>
      </w:r>
    </w:p>
    <w:p w14:paraId="73B83343"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1065C226" w14:textId="77777777" w:rsidR="006C4519" w:rsidRPr="006C4519" w:rsidRDefault="006C4519" w:rsidP="006C4519">
      <w:pPr>
        <w:pStyle w:val="NormalWeb"/>
        <w:rPr>
          <w:sz w:val="20"/>
          <w:szCs w:val="20"/>
        </w:rPr>
      </w:pPr>
      <w:r w:rsidRPr="006C4519">
        <w:rPr>
          <w:rFonts w:ascii="Arimo" w:hAnsi="Arimo"/>
          <w:sz w:val="20"/>
          <w:szCs w:val="20"/>
        </w:rPr>
        <w:t xml:space="preserve">Cummings, C., Singer, J., Hisaka, R. and Benuto, L.T., 2021. Compassion satisfaction to combat work-related burnout, vicarious trauma, and secondary traumatic stress. Journal of interpersonal violence, 36(9-10), pp.NP5304-NP5319. </w:t>
      </w:r>
    </w:p>
    <w:p w14:paraId="2AD5EE7E" w14:textId="77777777" w:rsidR="006C4519" w:rsidRPr="006C4519" w:rsidRDefault="006C4519" w:rsidP="006C4519">
      <w:pPr>
        <w:pStyle w:val="NormalWeb"/>
        <w:rPr>
          <w:sz w:val="20"/>
          <w:szCs w:val="20"/>
        </w:rPr>
      </w:pPr>
      <w:r w:rsidRPr="006C4519">
        <w:rPr>
          <w:rFonts w:ascii="Arimo" w:hAnsi="Arimo"/>
          <w:sz w:val="20"/>
          <w:szCs w:val="20"/>
        </w:rPr>
        <w:t xml:space="preserve">Delaney, M.C., 2018. Caring for the caregivers: Evaluation of the effect of an eight-week pilot mindful self-compassion (MSC) training program on nurses’ compassion fatigue and resilience. PloS one, 13(11), p.e0207261. </w:t>
      </w:r>
    </w:p>
    <w:p w14:paraId="6C2B2493" w14:textId="77777777" w:rsidR="006C4519" w:rsidRPr="006C4519" w:rsidRDefault="006C4519" w:rsidP="006C4519">
      <w:pPr>
        <w:pStyle w:val="NormalWeb"/>
        <w:rPr>
          <w:sz w:val="20"/>
          <w:szCs w:val="20"/>
        </w:rPr>
      </w:pPr>
      <w:r w:rsidRPr="006C4519">
        <w:rPr>
          <w:rFonts w:ascii="Arimo" w:hAnsi="Arimo"/>
          <w:sz w:val="20"/>
          <w:szCs w:val="20"/>
        </w:rPr>
        <w:t xml:space="preserve">Figley, C.R., 1988. Toward a field of traumatic stress. Journal of Traumatic Stress, 1(1), pp.3-16. </w:t>
      </w:r>
    </w:p>
    <w:p w14:paraId="4E26FC36" w14:textId="77777777" w:rsidR="006C4519" w:rsidRPr="006C4519" w:rsidRDefault="006C4519" w:rsidP="006C4519">
      <w:pPr>
        <w:pStyle w:val="NormalWeb"/>
        <w:rPr>
          <w:sz w:val="20"/>
          <w:szCs w:val="20"/>
        </w:rPr>
      </w:pPr>
      <w:r w:rsidRPr="006C4519">
        <w:rPr>
          <w:rFonts w:ascii="Arimo" w:hAnsi="Arimo"/>
          <w:sz w:val="20"/>
          <w:szCs w:val="20"/>
        </w:rPr>
        <w:t xml:space="preserve">Newell, J.M. and MacNeil, G.A., 2010. Professional burnout, vicarious trauma, secondary traumatic stress, and compassion fatigue. Best practices in mental health, 6(2), pp.57-68. </w:t>
      </w:r>
    </w:p>
    <w:p w14:paraId="48A6712B" w14:textId="77777777" w:rsidR="006C4519" w:rsidRPr="006C4519" w:rsidRDefault="006C4519" w:rsidP="006C4519">
      <w:pPr>
        <w:pStyle w:val="NormalWeb"/>
        <w:rPr>
          <w:sz w:val="20"/>
          <w:szCs w:val="20"/>
        </w:rPr>
      </w:pPr>
      <w:r w:rsidRPr="006C4519">
        <w:rPr>
          <w:rFonts w:ascii="Arimo" w:hAnsi="Arimo"/>
          <w:sz w:val="20"/>
          <w:szCs w:val="20"/>
        </w:rPr>
        <w:t xml:space="preserve">Shorey, S. and Wong, P.Z.E., 2021. Vicarious Trauma Experienced by Health Care Providers Involved in Traumatic Childbirths: A Meta-Synthesis. Trauma, Violence, &amp; Abuse, p.15248380211013135. </w:t>
      </w:r>
    </w:p>
    <w:p w14:paraId="34505863" w14:textId="77777777" w:rsidR="006C4519" w:rsidRPr="006C4519" w:rsidRDefault="006C4519" w:rsidP="006C4519">
      <w:pPr>
        <w:pStyle w:val="NormalWeb"/>
        <w:rPr>
          <w:sz w:val="20"/>
          <w:szCs w:val="20"/>
        </w:rPr>
      </w:pPr>
      <w:r w:rsidRPr="006C4519">
        <w:rPr>
          <w:rFonts w:ascii="Arimo" w:hAnsi="Arimo"/>
          <w:sz w:val="20"/>
          <w:szCs w:val="20"/>
        </w:rPr>
        <w:t xml:space="preserve">Van Mol, M.M., Kompanje, E.J., Benoit, D.D., Bakker, J. and Nijkamp, M.D., 2015. The prevalence of compassion fatigue and burnout among healthcare professionals in intensive care units: a systematic review. PloS one, 10(8), p.e0136955. </w:t>
      </w:r>
    </w:p>
    <w:p w14:paraId="095B98AC" w14:textId="77777777" w:rsidR="006C4519" w:rsidRPr="006C4519" w:rsidRDefault="006C4519" w:rsidP="006C4519">
      <w:pPr>
        <w:pStyle w:val="NormalWeb"/>
        <w:rPr>
          <w:sz w:val="20"/>
          <w:szCs w:val="20"/>
        </w:rPr>
      </w:pPr>
      <w:r w:rsidRPr="006C4519">
        <w:rPr>
          <w:rFonts w:ascii="Arimo" w:hAnsi="Arimo"/>
          <w:sz w:val="20"/>
          <w:szCs w:val="20"/>
        </w:rPr>
        <w:t xml:space="preserve">Yang, Y.H. and Kim, J.K., 2012. A literature review of compassion fatigue in nursing. Korean Journal of Adult Nursing, 24(1), pp.38-51. </w:t>
      </w:r>
    </w:p>
    <w:p w14:paraId="770F1ECC" w14:textId="77777777" w:rsidR="005C2C7A" w:rsidRPr="00B024D1" w:rsidRDefault="005C2C7A" w:rsidP="006C4519">
      <w:pPr>
        <w:jc w:val="both"/>
        <w:rPr>
          <w:rFonts w:asciiTheme="minorHAnsi" w:eastAsia="Arial Unicode MS" w:hAnsiTheme="minorHAnsi" w:cstheme="minorHAnsi"/>
        </w:rPr>
      </w:pPr>
    </w:p>
    <w:p w14:paraId="1A1D7578" w14:textId="77777777" w:rsidR="005C2C7A" w:rsidRPr="00B024D1" w:rsidRDefault="005C2C7A" w:rsidP="005C2C7A">
      <w:pPr>
        <w:jc w:val="both"/>
        <w:rPr>
          <w:rFonts w:asciiTheme="minorHAnsi" w:eastAsia="Arial Unicode MS" w:hAnsiTheme="minorHAnsi" w:cstheme="minorHAnsi"/>
        </w:rPr>
      </w:pPr>
    </w:p>
    <w:p w14:paraId="77302BB8" w14:textId="77777777" w:rsidR="005C2C7A" w:rsidRPr="00B024D1" w:rsidRDefault="005C2C7A" w:rsidP="005C2C7A">
      <w:pPr>
        <w:jc w:val="both"/>
        <w:rPr>
          <w:rFonts w:asciiTheme="minorHAnsi" w:eastAsia="Arial Unicode MS" w:hAnsiTheme="minorHAnsi" w:cstheme="minorHAnsi"/>
        </w:rPr>
      </w:pPr>
    </w:p>
    <w:p w14:paraId="0E0A3BB7" w14:textId="77777777" w:rsidR="005C2C7A" w:rsidRPr="00B024D1" w:rsidRDefault="005C2C7A" w:rsidP="005C2C7A">
      <w:pPr>
        <w:jc w:val="both"/>
        <w:rPr>
          <w:rFonts w:asciiTheme="minorHAnsi" w:eastAsia="Arial Unicode MS" w:hAnsiTheme="minorHAnsi" w:cstheme="minorHAnsi"/>
        </w:rPr>
      </w:pPr>
    </w:p>
    <w:p w14:paraId="39A19759" w14:textId="77777777" w:rsidR="005C2C7A" w:rsidRPr="00B024D1" w:rsidRDefault="005C2C7A" w:rsidP="005C2C7A">
      <w:pPr>
        <w:jc w:val="both"/>
        <w:rPr>
          <w:rFonts w:asciiTheme="minorHAnsi" w:eastAsia="Arial Unicode MS" w:hAnsiTheme="minorHAnsi" w:cstheme="minorHAnsi"/>
        </w:rPr>
      </w:pPr>
    </w:p>
    <w:p w14:paraId="07381032" w14:textId="77777777" w:rsidR="005C2C7A" w:rsidRPr="00B024D1" w:rsidRDefault="005C2C7A" w:rsidP="005C2C7A">
      <w:pPr>
        <w:jc w:val="both"/>
        <w:rPr>
          <w:rFonts w:asciiTheme="minorHAnsi" w:eastAsia="Arial Unicode MS" w:hAnsiTheme="minorHAnsi" w:cstheme="minorHAnsi"/>
        </w:rPr>
      </w:pPr>
    </w:p>
    <w:p w14:paraId="0CD1FFFF" w14:textId="77777777" w:rsidR="005C2C7A" w:rsidRPr="00B024D1" w:rsidRDefault="005C2C7A" w:rsidP="005C2C7A">
      <w:pPr>
        <w:jc w:val="both"/>
        <w:rPr>
          <w:rFonts w:asciiTheme="minorHAnsi" w:eastAsia="Arial Unicode MS" w:hAnsiTheme="minorHAnsi" w:cstheme="minorHAnsi"/>
        </w:rPr>
      </w:pPr>
    </w:p>
    <w:p w14:paraId="6F568518" w14:textId="77777777" w:rsidR="005C2C7A" w:rsidRPr="00B024D1" w:rsidRDefault="005C2C7A" w:rsidP="005C2C7A">
      <w:pPr>
        <w:jc w:val="both"/>
        <w:rPr>
          <w:rFonts w:asciiTheme="minorHAnsi" w:eastAsia="Arial Unicode MS" w:hAnsiTheme="minorHAnsi" w:cstheme="minorHAnsi"/>
        </w:rPr>
      </w:pPr>
    </w:p>
    <w:p w14:paraId="653CD10B" w14:textId="77777777" w:rsidR="005C2C7A" w:rsidRPr="00B024D1" w:rsidRDefault="005C2C7A" w:rsidP="005C2C7A">
      <w:pPr>
        <w:jc w:val="both"/>
        <w:rPr>
          <w:rFonts w:asciiTheme="minorHAnsi" w:eastAsia="Arial Unicode MS" w:hAnsiTheme="minorHAnsi" w:cstheme="minorHAnsi"/>
        </w:rPr>
      </w:pP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657E6029" w:rsidR="005C2C7A" w:rsidRDefault="00107CC1" w:rsidP="005C2C7A">
      <w:pPr>
        <w:jc w:val="both"/>
        <w:rPr>
          <w:rFonts w:asciiTheme="minorHAnsi" w:eastAsia="Arial Unicode MS" w:hAnsiTheme="minorHAnsi" w:cstheme="minorHAnsi"/>
        </w:rPr>
      </w:pPr>
      <w:r>
        <w:rPr>
          <w:rFonts w:asciiTheme="minorHAnsi" w:eastAsia="Arial Unicode MS" w:hAnsiTheme="minorHAnsi" w:cstheme="minorHAnsi"/>
        </w:rPr>
        <w:lastRenderedPageBreak/>
        <w:t xml:space="preserve">Appendix </w:t>
      </w:r>
    </w:p>
    <w:p w14:paraId="3C3BF5BD" w14:textId="634F1C44" w:rsidR="00107CC1" w:rsidRDefault="00107CC1" w:rsidP="005C2C7A">
      <w:pPr>
        <w:jc w:val="both"/>
        <w:rPr>
          <w:rFonts w:asciiTheme="minorHAnsi" w:eastAsia="Arial Unicode MS" w:hAnsiTheme="minorHAnsi" w:cstheme="minorHAnsi"/>
        </w:rPr>
      </w:pPr>
    </w:p>
    <w:p w14:paraId="2C35108A" w14:textId="0AC85534" w:rsidR="00107CC1" w:rsidRDefault="00107CC1" w:rsidP="005C2C7A">
      <w:pPr>
        <w:jc w:val="both"/>
        <w:rPr>
          <w:rFonts w:asciiTheme="minorHAnsi" w:eastAsia="Arial Unicode MS" w:hAnsiTheme="minorHAnsi" w:cstheme="minorHAnsi"/>
        </w:rPr>
      </w:pPr>
    </w:p>
    <w:p w14:paraId="427961EA" w14:textId="4504E3F6" w:rsidR="00107CC1" w:rsidRPr="00B024D1" w:rsidRDefault="00107CC1" w:rsidP="005C2C7A">
      <w:pPr>
        <w:jc w:val="both"/>
        <w:rPr>
          <w:rFonts w:asciiTheme="minorHAnsi" w:eastAsia="Arial Unicode MS" w:hAnsiTheme="minorHAnsi" w:cstheme="minorHAnsi"/>
        </w:rPr>
      </w:pPr>
      <w:r>
        <w:rPr>
          <w:rFonts w:asciiTheme="minorHAnsi" w:eastAsia="Arial Unicode MS" w:hAnsiTheme="minorHAnsi" w:cstheme="minorHAnsi"/>
          <w:noProof/>
        </w:rPr>
        <w:drawing>
          <wp:inline distT="0" distB="0" distL="0" distR="0" wp14:anchorId="67AA2F54" wp14:editId="6AA08D1F">
            <wp:extent cx="4147176" cy="8211645"/>
            <wp:effectExtent l="0" t="0" r="635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53062" cy="8223299"/>
                    </a:xfrm>
                    <a:prstGeom prst="rect">
                      <a:avLst/>
                    </a:prstGeom>
                  </pic:spPr>
                </pic:pic>
              </a:graphicData>
            </a:graphic>
          </wp:inline>
        </w:drawing>
      </w:r>
    </w:p>
    <w:p w14:paraId="2F46F814" w14:textId="77777777" w:rsidR="005C2C7A" w:rsidRPr="00B024D1" w:rsidRDefault="005C2C7A" w:rsidP="005C2C7A">
      <w:pPr>
        <w:jc w:val="both"/>
        <w:rPr>
          <w:rFonts w:asciiTheme="minorHAnsi" w:eastAsia="Arial Unicode MS" w:hAnsiTheme="minorHAnsi" w:cstheme="minorHAnsi"/>
        </w:rPr>
      </w:pPr>
    </w:p>
    <w:p w14:paraId="50A7E005" w14:textId="77777777" w:rsidR="005C2C7A" w:rsidRPr="00B024D1" w:rsidRDefault="005C2C7A" w:rsidP="005C2C7A">
      <w:pPr>
        <w:jc w:val="both"/>
        <w:rPr>
          <w:rFonts w:asciiTheme="minorHAnsi" w:eastAsia="Arial Unicode MS" w:hAnsiTheme="minorHAnsi" w:cstheme="minorHAnsi"/>
        </w:rPr>
      </w:pPr>
    </w:p>
    <w:p w14:paraId="534A07F7" w14:textId="04BCDDD1" w:rsidR="005C2C7A" w:rsidRPr="00B024D1" w:rsidRDefault="00107CC1" w:rsidP="005C2C7A">
      <w:pPr>
        <w:jc w:val="both"/>
        <w:rPr>
          <w:rFonts w:asciiTheme="minorHAnsi" w:eastAsia="Arial Unicode MS" w:hAnsiTheme="minorHAnsi" w:cstheme="minorHAnsi"/>
        </w:rPr>
      </w:pPr>
      <w:r>
        <w:rPr>
          <w:rFonts w:asciiTheme="minorHAnsi" w:eastAsia="Arial Unicode MS" w:hAnsiTheme="minorHAnsi" w:cstheme="minorHAnsi"/>
          <w:noProof/>
        </w:rPr>
        <w:drawing>
          <wp:inline distT="0" distB="0" distL="0" distR="0" wp14:anchorId="5C96548B" wp14:editId="68E6E214">
            <wp:extent cx="6244066" cy="7914290"/>
            <wp:effectExtent l="0" t="0" r="4445" b="0"/>
            <wp:docPr id="39" name="Picture 39" descr="A picture containing text, crossword puzzle,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crossword puzzle, receip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57707" cy="7931580"/>
                    </a:xfrm>
                    <a:prstGeom prst="rect">
                      <a:avLst/>
                    </a:prstGeom>
                  </pic:spPr>
                </pic:pic>
              </a:graphicData>
            </a:graphic>
          </wp:inline>
        </w:drawing>
      </w:r>
    </w:p>
    <w:p w14:paraId="5A207B00" w14:textId="77777777" w:rsidR="005C2C7A" w:rsidRPr="00B024D1" w:rsidRDefault="005C2C7A" w:rsidP="005C2C7A">
      <w:pPr>
        <w:jc w:val="both"/>
        <w:rPr>
          <w:rFonts w:asciiTheme="minorHAnsi" w:eastAsia="Arial Unicode MS" w:hAnsiTheme="minorHAnsi" w:cstheme="minorHAnsi"/>
        </w:rPr>
      </w:pPr>
    </w:p>
    <w:p w14:paraId="2B1B9AE6" w14:textId="77777777" w:rsidR="005C2C7A" w:rsidRPr="00B024D1" w:rsidRDefault="005C2C7A" w:rsidP="005C2C7A">
      <w:pPr>
        <w:jc w:val="both"/>
        <w:rPr>
          <w:rFonts w:asciiTheme="minorHAnsi" w:eastAsia="Arial Unicode MS" w:hAnsiTheme="minorHAnsi" w:cstheme="minorHAnsi"/>
        </w:rPr>
      </w:pPr>
    </w:p>
    <w:p w14:paraId="5D12329C" w14:textId="5C6E5468" w:rsidR="005C2C7A" w:rsidRPr="00B024D1" w:rsidRDefault="005C2C7A" w:rsidP="005C2C7A">
      <w:pPr>
        <w:jc w:val="both"/>
        <w:rPr>
          <w:rFonts w:asciiTheme="minorHAnsi" w:eastAsia="Arial Unicode MS" w:hAnsiTheme="minorHAnsi" w:cstheme="minorHAnsi"/>
        </w:rPr>
      </w:pPr>
    </w:p>
    <w:p w14:paraId="0FA91079" w14:textId="63E99AA4" w:rsidR="00FB62BF" w:rsidRPr="00B024D1" w:rsidRDefault="00FB62BF" w:rsidP="005C2C7A">
      <w:pPr>
        <w:jc w:val="both"/>
        <w:rPr>
          <w:rFonts w:asciiTheme="minorHAnsi" w:eastAsia="Arial Unicode MS" w:hAnsiTheme="minorHAnsi" w:cstheme="minorHAnsi"/>
        </w:rPr>
      </w:pPr>
    </w:p>
    <w:p w14:paraId="13DE779F" w14:textId="589FD3C5" w:rsidR="00FB62BF" w:rsidRPr="00B024D1" w:rsidRDefault="00FB62BF" w:rsidP="005C2C7A">
      <w:pPr>
        <w:jc w:val="both"/>
        <w:rPr>
          <w:rFonts w:asciiTheme="minorHAnsi" w:eastAsia="Arial Unicode MS" w:hAnsiTheme="minorHAnsi" w:cstheme="minorHAnsi"/>
        </w:rPr>
      </w:pPr>
    </w:p>
    <w:p w14:paraId="068C1193" w14:textId="468AE22F" w:rsidR="00FB62BF" w:rsidRPr="00B024D1" w:rsidRDefault="00FB62BF" w:rsidP="005C2C7A">
      <w:pPr>
        <w:jc w:val="both"/>
        <w:rPr>
          <w:rFonts w:asciiTheme="minorHAnsi" w:eastAsia="Arial Unicode MS" w:hAnsiTheme="minorHAnsi" w:cstheme="minorHAns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294744A7" w14:textId="77777777" w:rsidR="00FB62BF" w:rsidRPr="00B024D1" w:rsidRDefault="00FB62BF" w:rsidP="005C2C7A">
      <w:pPr>
        <w:jc w:val="both"/>
        <w:rPr>
          <w:rFonts w:asciiTheme="minorHAnsi" w:eastAsia="Arial Unicode MS" w:hAnsiTheme="minorHAnsi" w:cstheme="minorHAnsi"/>
        </w:rPr>
      </w:pPr>
    </w:p>
    <w:p w14:paraId="1E2C685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8AB60A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1A84727" w14:textId="77777777" w:rsidR="005C2C7A" w:rsidRPr="00B024D1" w:rsidRDefault="005C2C7A" w:rsidP="005C2C7A">
      <w:pPr>
        <w:rPr>
          <w:rFonts w:asciiTheme="minorHAnsi" w:eastAsia="Arial Unicode MS" w:hAnsiTheme="minorHAnsi" w:cstheme="minorHAnsi"/>
          <w:b/>
          <w:i/>
        </w:rPr>
      </w:pPr>
    </w:p>
    <w:p w14:paraId="0E2A6E9E" w14:textId="77777777" w:rsidR="009F5D6C" w:rsidRPr="00B024D1" w:rsidRDefault="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3FBE8480" w14:textId="3B1E22D1" w:rsidR="005C2C7A" w:rsidRPr="00B024D1" w:rsidRDefault="005C2C7A" w:rsidP="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 xml:space="preserve">APPENDICES </w:t>
      </w:r>
    </w:p>
    <w:p w14:paraId="75BF801E" w14:textId="77777777" w:rsidR="005C2C7A" w:rsidRPr="00B024D1"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32"/>
          <w:szCs w:val="32"/>
        </w:rPr>
      </w:pPr>
    </w:p>
    <w:p w14:paraId="51F4678D" w14:textId="7D5D6777" w:rsidR="001D7BC5" w:rsidRPr="00B024D1" w:rsidRDefault="005B1EBD" w:rsidP="001D7BC5">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Literature Search Strategy </w:t>
      </w:r>
    </w:p>
    <w:p w14:paraId="03572EFB"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468BD454" w14:textId="77777777" w:rsidR="0073183E" w:rsidRPr="00B024D1" w:rsidRDefault="0073183E" w:rsidP="0073183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Critical </w:t>
      </w:r>
      <w:proofErr w:type="spellStart"/>
      <w:r w:rsidRPr="00B024D1">
        <w:rPr>
          <w:rFonts w:asciiTheme="minorHAnsi" w:eastAsia="Arial Unicode MS" w:hAnsiTheme="minorHAnsi" w:cstheme="minorHAnsi"/>
        </w:rPr>
        <w:t>Appriasal</w:t>
      </w:r>
      <w:proofErr w:type="spellEnd"/>
      <w:r w:rsidRPr="00B024D1">
        <w:rPr>
          <w:rFonts w:asciiTheme="minorHAnsi" w:eastAsia="Arial Unicode MS" w:hAnsiTheme="minorHAnsi" w:cstheme="minorHAnsi"/>
        </w:rPr>
        <w:t xml:space="preserve"> Tool</w:t>
      </w:r>
    </w:p>
    <w:p w14:paraId="464E57D1"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C8A9A7" w14:textId="152110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6FFA3D" w14:textId="52DFC4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5B1EBD" w:rsidRPr="00B024D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638" w14:textId="77777777" w:rsidR="005A6104" w:rsidRDefault="005A6104">
      <w:r>
        <w:separator/>
      </w:r>
    </w:p>
  </w:endnote>
  <w:endnote w:type="continuationSeparator" w:id="0">
    <w:p w14:paraId="2A94828A" w14:textId="77777777" w:rsidR="005A6104" w:rsidRDefault="005A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TimesNewRomanPS">
    <w:altName w:val="Times New Roman"/>
    <w:panose1 w:val="020B0604020202020204"/>
    <w:charset w:val="00"/>
    <w:family w:val="roman"/>
    <w:notTrueType/>
    <w:pitch w:val="default"/>
  </w:font>
  <w:font w:name="Arimo">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pPr>
                          <w:r>
                            <w:fldChar w:fldCharType="begin"/>
                          </w:r>
                          <w:r>
                            <w:instrText xml:space="preserve"> PAGE </w:instrText>
                          </w:r>
                          <w:r>
                            <w:fldChar w:fldCharType="separate"/>
                          </w:r>
                          <w:r w:rsidR="00D948AC">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" filled="f" stroked="f">
              <v:textbox inset="0,0,0,0">
                <w:txbxContent>
                  <w:p w14:paraId="3B9B6601" w14:textId="77777777" w:rsidR="00C93C3A" w:rsidRDefault="00D65A4A">
                    <w:pPr>
                      <w:spacing w:before="10"/>
                      <w:ind w:left="40"/>
                    </w:pPr>
                    <w:r>
                      <w:fldChar w:fldCharType="begin"/>
                    </w:r>
                    <w:r>
                      <w:instrText xml:space="preserve"> PAGE </w:instrText>
                    </w:r>
                    <w:r>
                      <w:fldChar w:fldCharType="separate"/>
                    </w:r>
                    <w:r w:rsidR="00D948AC">
                      <w:rPr>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5A6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E27E8" w14:textId="77777777" w:rsidR="005A6104" w:rsidRDefault="005A6104">
      <w:r>
        <w:separator/>
      </w:r>
    </w:p>
  </w:footnote>
  <w:footnote w:type="continuationSeparator" w:id="0">
    <w:p w14:paraId="2EE8175A" w14:textId="77777777" w:rsidR="005A6104" w:rsidRDefault="005A6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5A6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CA9300B"/>
    <w:multiLevelType w:val="hybridMultilevel"/>
    <w:tmpl w:val="478EA99A"/>
    <w:lvl w:ilvl="0" w:tplc="5B5C4F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4B7118F"/>
    <w:multiLevelType w:val="hybridMultilevel"/>
    <w:tmpl w:val="CF6A96B4"/>
    <w:lvl w:ilvl="0" w:tplc="560430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0" w15:restartNumberingAfterBreak="0">
    <w:nsid w:val="40843ADF"/>
    <w:multiLevelType w:val="multilevel"/>
    <w:tmpl w:val="6AFEF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9"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22569C8"/>
    <w:multiLevelType w:val="hybridMultilevel"/>
    <w:tmpl w:val="A21C7E54"/>
    <w:lvl w:ilvl="0" w:tplc="DB1201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6"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7"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6"/>
  </w:num>
  <w:num w:numId="4">
    <w:abstractNumId w:val="2"/>
  </w:num>
  <w:num w:numId="5">
    <w:abstractNumId w:val="9"/>
  </w:num>
  <w:num w:numId="6">
    <w:abstractNumId w:val="25"/>
  </w:num>
  <w:num w:numId="7">
    <w:abstractNumId w:val="26"/>
  </w:num>
  <w:num w:numId="8">
    <w:abstractNumId w:val="18"/>
  </w:num>
  <w:num w:numId="9">
    <w:abstractNumId w:val="13"/>
  </w:num>
  <w:num w:numId="10">
    <w:abstractNumId w:val="12"/>
  </w:num>
  <w:num w:numId="11">
    <w:abstractNumId w:val="15"/>
  </w:num>
  <w:num w:numId="12">
    <w:abstractNumId w:val="17"/>
  </w:num>
  <w:num w:numId="13">
    <w:abstractNumId w:val="20"/>
  </w:num>
  <w:num w:numId="14">
    <w:abstractNumId w:val="16"/>
  </w:num>
  <w:num w:numId="15">
    <w:abstractNumId w:val="8"/>
  </w:num>
  <w:num w:numId="16">
    <w:abstractNumId w:val="14"/>
  </w:num>
  <w:num w:numId="17">
    <w:abstractNumId w:val="22"/>
  </w:num>
  <w:num w:numId="18">
    <w:abstractNumId w:val="24"/>
  </w:num>
  <w:num w:numId="19">
    <w:abstractNumId w:val="4"/>
  </w:num>
  <w:num w:numId="20">
    <w:abstractNumId w:val="19"/>
  </w:num>
  <w:num w:numId="21">
    <w:abstractNumId w:val="23"/>
  </w:num>
  <w:num w:numId="22">
    <w:abstractNumId w:val="0"/>
  </w:num>
  <w:num w:numId="23">
    <w:abstractNumId w:val="1"/>
  </w:num>
  <w:num w:numId="24">
    <w:abstractNumId w:val="27"/>
  </w:num>
  <w:num w:numId="25">
    <w:abstractNumId w:val="10"/>
  </w:num>
  <w:num w:numId="26">
    <w:abstractNumId w:val="7"/>
  </w:num>
  <w:num w:numId="27">
    <w:abstractNumId w:val="2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497F"/>
    <w:rsid w:val="00015DE7"/>
    <w:rsid w:val="00016228"/>
    <w:rsid w:val="000214B7"/>
    <w:rsid w:val="000466C3"/>
    <w:rsid w:val="00050A23"/>
    <w:rsid w:val="00054F55"/>
    <w:rsid w:val="000664B3"/>
    <w:rsid w:val="00073445"/>
    <w:rsid w:val="00076483"/>
    <w:rsid w:val="000A4AF5"/>
    <w:rsid w:val="000B17E0"/>
    <w:rsid w:val="000C7AA7"/>
    <w:rsid w:val="000D08C6"/>
    <w:rsid w:val="000D1DFA"/>
    <w:rsid w:val="000D7CF8"/>
    <w:rsid w:val="000E4AFD"/>
    <w:rsid w:val="000F20D0"/>
    <w:rsid w:val="00105959"/>
    <w:rsid w:val="00106E57"/>
    <w:rsid w:val="00107CC1"/>
    <w:rsid w:val="00107F6B"/>
    <w:rsid w:val="00117461"/>
    <w:rsid w:val="00120A7B"/>
    <w:rsid w:val="00124059"/>
    <w:rsid w:val="0013380B"/>
    <w:rsid w:val="00133A94"/>
    <w:rsid w:val="001475AA"/>
    <w:rsid w:val="00150FB7"/>
    <w:rsid w:val="00157057"/>
    <w:rsid w:val="001719BF"/>
    <w:rsid w:val="00197385"/>
    <w:rsid w:val="001A1D62"/>
    <w:rsid w:val="001B5BA5"/>
    <w:rsid w:val="001D52F6"/>
    <w:rsid w:val="001D5E53"/>
    <w:rsid w:val="001D7BC5"/>
    <w:rsid w:val="00203B3D"/>
    <w:rsid w:val="00211822"/>
    <w:rsid w:val="00226E6E"/>
    <w:rsid w:val="00227634"/>
    <w:rsid w:val="00234426"/>
    <w:rsid w:val="00245BB0"/>
    <w:rsid w:val="00255EE8"/>
    <w:rsid w:val="00256EAA"/>
    <w:rsid w:val="002575A8"/>
    <w:rsid w:val="002715FA"/>
    <w:rsid w:val="00276CAA"/>
    <w:rsid w:val="00282678"/>
    <w:rsid w:val="0028651F"/>
    <w:rsid w:val="00291A9B"/>
    <w:rsid w:val="002B17AF"/>
    <w:rsid w:val="002B45BA"/>
    <w:rsid w:val="002C4AE3"/>
    <w:rsid w:val="002C5B59"/>
    <w:rsid w:val="002D2606"/>
    <w:rsid w:val="002D2E30"/>
    <w:rsid w:val="002D3A89"/>
    <w:rsid w:val="002E01B5"/>
    <w:rsid w:val="002E0B56"/>
    <w:rsid w:val="002F296B"/>
    <w:rsid w:val="002F70C4"/>
    <w:rsid w:val="003037D8"/>
    <w:rsid w:val="00304A2B"/>
    <w:rsid w:val="003200FC"/>
    <w:rsid w:val="00323841"/>
    <w:rsid w:val="00345524"/>
    <w:rsid w:val="00354AE0"/>
    <w:rsid w:val="00367897"/>
    <w:rsid w:val="003758F8"/>
    <w:rsid w:val="003774C2"/>
    <w:rsid w:val="00387A86"/>
    <w:rsid w:val="003A1771"/>
    <w:rsid w:val="003A23C1"/>
    <w:rsid w:val="003A57F1"/>
    <w:rsid w:val="003C1BA6"/>
    <w:rsid w:val="003C546E"/>
    <w:rsid w:val="003C6852"/>
    <w:rsid w:val="003D4CF4"/>
    <w:rsid w:val="003D7004"/>
    <w:rsid w:val="003E5025"/>
    <w:rsid w:val="003E607B"/>
    <w:rsid w:val="003F466B"/>
    <w:rsid w:val="00402BA5"/>
    <w:rsid w:val="00422520"/>
    <w:rsid w:val="00425296"/>
    <w:rsid w:val="00434B66"/>
    <w:rsid w:val="0043569C"/>
    <w:rsid w:val="00447088"/>
    <w:rsid w:val="0046736D"/>
    <w:rsid w:val="0049643D"/>
    <w:rsid w:val="004A6BE9"/>
    <w:rsid w:val="004D1306"/>
    <w:rsid w:val="004D74C4"/>
    <w:rsid w:val="004E078E"/>
    <w:rsid w:val="004E10A4"/>
    <w:rsid w:val="004F032D"/>
    <w:rsid w:val="004F5E55"/>
    <w:rsid w:val="00501252"/>
    <w:rsid w:val="00504BB9"/>
    <w:rsid w:val="00507F4B"/>
    <w:rsid w:val="005208CD"/>
    <w:rsid w:val="0052195A"/>
    <w:rsid w:val="005527C3"/>
    <w:rsid w:val="00576ADB"/>
    <w:rsid w:val="005773D6"/>
    <w:rsid w:val="005837EA"/>
    <w:rsid w:val="00585286"/>
    <w:rsid w:val="00596153"/>
    <w:rsid w:val="005A5613"/>
    <w:rsid w:val="005A572D"/>
    <w:rsid w:val="005A6104"/>
    <w:rsid w:val="005A6E02"/>
    <w:rsid w:val="005B1EBD"/>
    <w:rsid w:val="005C2C7A"/>
    <w:rsid w:val="005C6621"/>
    <w:rsid w:val="005E0223"/>
    <w:rsid w:val="005E6698"/>
    <w:rsid w:val="005F42C8"/>
    <w:rsid w:val="005F6917"/>
    <w:rsid w:val="006075C0"/>
    <w:rsid w:val="006107E7"/>
    <w:rsid w:val="006125EE"/>
    <w:rsid w:val="00620D31"/>
    <w:rsid w:val="00627A58"/>
    <w:rsid w:val="00632E47"/>
    <w:rsid w:val="0063625F"/>
    <w:rsid w:val="0064306E"/>
    <w:rsid w:val="00643926"/>
    <w:rsid w:val="00663910"/>
    <w:rsid w:val="00665E3F"/>
    <w:rsid w:val="006A1E72"/>
    <w:rsid w:val="006A4BF4"/>
    <w:rsid w:val="006B7C10"/>
    <w:rsid w:val="006C4519"/>
    <w:rsid w:val="006D3BA4"/>
    <w:rsid w:val="007239AE"/>
    <w:rsid w:val="00726E45"/>
    <w:rsid w:val="0073183E"/>
    <w:rsid w:val="0073775D"/>
    <w:rsid w:val="007505C5"/>
    <w:rsid w:val="007535DE"/>
    <w:rsid w:val="007649A6"/>
    <w:rsid w:val="00765C8D"/>
    <w:rsid w:val="00766D97"/>
    <w:rsid w:val="00770475"/>
    <w:rsid w:val="007A2B33"/>
    <w:rsid w:val="007A586C"/>
    <w:rsid w:val="007A7A6B"/>
    <w:rsid w:val="007B15A8"/>
    <w:rsid w:val="007D30D6"/>
    <w:rsid w:val="007D7F32"/>
    <w:rsid w:val="007E1664"/>
    <w:rsid w:val="007E698C"/>
    <w:rsid w:val="007E711A"/>
    <w:rsid w:val="007F1481"/>
    <w:rsid w:val="007F55CB"/>
    <w:rsid w:val="00802A09"/>
    <w:rsid w:val="00802A76"/>
    <w:rsid w:val="008205A7"/>
    <w:rsid w:val="00820D61"/>
    <w:rsid w:val="00842C0C"/>
    <w:rsid w:val="00843672"/>
    <w:rsid w:val="00855523"/>
    <w:rsid w:val="0086011A"/>
    <w:rsid w:val="00895CF3"/>
    <w:rsid w:val="008A1EE5"/>
    <w:rsid w:val="008A34A8"/>
    <w:rsid w:val="008A361D"/>
    <w:rsid w:val="008B5D95"/>
    <w:rsid w:val="008D7B00"/>
    <w:rsid w:val="008F15CA"/>
    <w:rsid w:val="008F59AD"/>
    <w:rsid w:val="00900E8F"/>
    <w:rsid w:val="009159E7"/>
    <w:rsid w:val="00915A15"/>
    <w:rsid w:val="00940570"/>
    <w:rsid w:val="00946734"/>
    <w:rsid w:val="009565F3"/>
    <w:rsid w:val="00957325"/>
    <w:rsid w:val="00961CCC"/>
    <w:rsid w:val="009651F0"/>
    <w:rsid w:val="00966BB5"/>
    <w:rsid w:val="00976F5D"/>
    <w:rsid w:val="009B72F4"/>
    <w:rsid w:val="009C46E3"/>
    <w:rsid w:val="009C7069"/>
    <w:rsid w:val="009F3595"/>
    <w:rsid w:val="009F4C67"/>
    <w:rsid w:val="009F5D6C"/>
    <w:rsid w:val="00A06C79"/>
    <w:rsid w:val="00A07143"/>
    <w:rsid w:val="00A21A63"/>
    <w:rsid w:val="00A36DD5"/>
    <w:rsid w:val="00A46DEC"/>
    <w:rsid w:val="00A52878"/>
    <w:rsid w:val="00A612B2"/>
    <w:rsid w:val="00A6532F"/>
    <w:rsid w:val="00AA064B"/>
    <w:rsid w:val="00AC42FC"/>
    <w:rsid w:val="00AD3545"/>
    <w:rsid w:val="00AD4DA2"/>
    <w:rsid w:val="00AE4CEF"/>
    <w:rsid w:val="00B024D1"/>
    <w:rsid w:val="00B063B0"/>
    <w:rsid w:val="00B43FCC"/>
    <w:rsid w:val="00B44B1D"/>
    <w:rsid w:val="00B451C4"/>
    <w:rsid w:val="00B65222"/>
    <w:rsid w:val="00B70607"/>
    <w:rsid w:val="00B75F62"/>
    <w:rsid w:val="00B841CF"/>
    <w:rsid w:val="00B90EDD"/>
    <w:rsid w:val="00BA1F03"/>
    <w:rsid w:val="00BB342A"/>
    <w:rsid w:val="00BB5DE1"/>
    <w:rsid w:val="00BB6640"/>
    <w:rsid w:val="00BC1C53"/>
    <w:rsid w:val="00BE5BBF"/>
    <w:rsid w:val="00BE6609"/>
    <w:rsid w:val="00C03CD3"/>
    <w:rsid w:val="00C13CB4"/>
    <w:rsid w:val="00C307F4"/>
    <w:rsid w:val="00C40B1F"/>
    <w:rsid w:val="00C46B32"/>
    <w:rsid w:val="00C764A3"/>
    <w:rsid w:val="00C82D10"/>
    <w:rsid w:val="00C93C3A"/>
    <w:rsid w:val="00C94C0A"/>
    <w:rsid w:val="00CB3F2D"/>
    <w:rsid w:val="00CB49C0"/>
    <w:rsid w:val="00CD24E2"/>
    <w:rsid w:val="00CD7F96"/>
    <w:rsid w:val="00CF0C37"/>
    <w:rsid w:val="00CF1114"/>
    <w:rsid w:val="00CF1D3A"/>
    <w:rsid w:val="00D02E45"/>
    <w:rsid w:val="00D07172"/>
    <w:rsid w:val="00D11895"/>
    <w:rsid w:val="00D14950"/>
    <w:rsid w:val="00D252A7"/>
    <w:rsid w:val="00D3621B"/>
    <w:rsid w:val="00D54E6A"/>
    <w:rsid w:val="00D65A4A"/>
    <w:rsid w:val="00D6666D"/>
    <w:rsid w:val="00D675CC"/>
    <w:rsid w:val="00D750A8"/>
    <w:rsid w:val="00D759DB"/>
    <w:rsid w:val="00D81AEA"/>
    <w:rsid w:val="00D8307A"/>
    <w:rsid w:val="00D8741F"/>
    <w:rsid w:val="00D936E9"/>
    <w:rsid w:val="00D94875"/>
    <w:rsid w:val="00D948AC"/>
    <w:rsid w:val="00DA272E"/>
    <w:rsid w:val="00DE0039"/>
    <w:rsid w:val="00DE0325"/>
    <w:rsid w:val="00DF310B"/>
    <w:rsid w:val="00E070A5"/>
    <w:rsid w:val="00E40BEA"/>
    <w:rsid w:val="00E42C25"/>
    <w:rsid w:val="00E74CE9"/>
    <w:rsid w:val="00E76E73"/>
    <w:rsid w:val="00E97F15"/>
    <w:rsid w:val="00EA6E7C"/>
    <w:rsid w:val="00EB6165"/>
    <w:rsid w:val="00EC468D"/>
    <w:rsid w:val="00EE3A14"/>
    <w:rsid w:val="00EE4A5B"/>
    <w:rsid w:val="00EF6FBE"/>
    <w:rsid w:val="00F02257"/>
    <w:rsid w:val="00F03B87"/>
    <w:rsid w:val="00F06C7D"/>
    <w:rsid w:val="00F35EB5"/>
    <w:rsid w:val="00F53D77"/>
    <w:rsid w:val="00F6632C"/>
    <w:rsid w:val="00F77E64"/>
    <w:rsid w:val="00F872DD"/>
    <w:rsid w:val="00FB03B5"/>
    <w:rsid w:val="00FB5DC9"/>
    <w:rsid w:val="00FB62BF"/>
    <w:rsid w:val="00FB7FD1"/>
    <w:rsid w:val="00FC4A42"/>
    <w:rsid w:val="00FC4B2C"/>
    <w:rsid w:val="00FC5545"/>
    <w:rsid w:val="00FC79C4"/>
    <w:rsid w:val="00FD3356"/>
    <w:rsid w:val="00FF0EEF"/>
    <w:rsid w:val="00FF25B5"/>
    <w:rsid w:val="00FF5C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4B66"/>
    <w:pPr>
      <w:widowControl/>
      <w:autoSpaceDE/>
      <w:autoSpaceDN/>
    </w:pPr>
    <w:rPr>
      <w:rFonts w:ascii="Times New Roman" w:eastAsia="Times New Roman" w:hAnsi="Times New Roman" w:cs="Times New Roman"/>
      <w:sz w:val="24"/>
      <w:szCs w:val="24"/>
      <w:lang w:val="en-GB" w:eastAsia="en-GB"/>
    </w:rPr>
  </w:style>
  <w:style w:type="paragraph" w:styleId="Heading1">
    <w:name w:val="heading 1"/>
    <w:basedOn w:val="Normal"/>
    <w:uiPriority w:val="1"/>
    <w:qFormat/>
    <w:pPr>
      <w:widowControl w:val="0"/>
      <w:autoSpaceDE w:val="0"/>
      <w:autoSpaceDN w:val="0"/>
      <w:ind w:left="220"/>
      <w:outlineLvl w:val="0"/>
    </w:pPr>
    <w:rPr>
      <w:rFonts w:ascii="Calibri Light" w:eastAsia="Calibri Light" w:hAnsi="Calibri Light" w:cs="Calibri Light"/>
      <w:sz w:val="32"/>
      <w:szCs w:val="32"/>
      <w:lang w:bidi="en-GB"/>
    </w:rPr>
  </w:style>
  <w:style w:type="paragraph" w:styleId="Heading2">
    <w:name w:val="heading 2"/>
    <w:basedOn w:val="Normal"/>
    <w:uiPriority w:val="1"/>
    <w:qFormat/>
    <w:pPr>
      <w:widowControl w:val="0"/>
      <w:autoSpaceDE w:val="0"/>
      <w:autoSpaceDN w:val="0"/>
      <w:ind w:left="220"/>
      <w:outlineLvl w:val="1"/>
    </w:pPr>
    <w:rPr>
      <w:rFonts w:ascii="Calibri Light" w:eastAsia="Calibri Light" w:hAnsi="Calibri Light" w:cs="Calibri Light"/>
      <w:sz w:val="28"/>
      <w:szCs w:val="28"/>
      <w:lang w:bidi="en-GB"/>
    </w:rPr>
  </w:style>
  <w:style w:type="paragraph" w:styleId="Heading3">
    <w:name w:val="heading 3"/>
    <w:basedOn w:val="Normal"/>
    <w:uiPriority w:val="1"/>
    <w:qFormat/>
    <w:pPr>
      <w:widowControl w:val="0"/>
      <w:autoSpaceDE w:val="0"/>
      <w:autoSpaceDN w:val="0"/>
      <w:spacing w:before="10"/>
      <w:ind w:left="40"/>
      <w:outlineLvl w:val="2"/>
    </w:pPr>
    <w:rPr>
      <w:rFonts w:ascii="Calibri Light" w:eastAsia="Calibri Light" w:hAnsi="Calibri Light" w:cs="Calibri Light"/>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widowControl w:val="0"/>
      <w:autoSpaceDE w:val="0"/>
      <w:autoSpaceDN w:val="0"/>
    </w:pPr>
    <w:rPr>
      <w:rFonts w:ascii="Calibri Light" w:eastAsia="Calibri Light" w:hAnsi="Calibri Light" w:cs="Calibri Light"/>
      <w:sz w:val="22"/>
      <w:szCs w:val="22"/>
      <w:lang w:bidi="en-GB"/>
    </w:rPr>
  </w:style>
  <w:style w:type="paragraph" w:styleId="ListParagraph">
    <w:name w:val="List Paragraph"/>
    <w:basedOn w:val="Normal"/>
    <w:uiPriority w:val="34"/>
    <w:qFormat/>
    <w:pPr>
      <w:widowControl w:val="0"/>
      <w:autoSpaceDE w:val="0"/>
      <w:autoSpaceDN w:val="0"/>
      <w:ind w:left="940" w:hanging="360"/>
    </w:pPr>
    <w:rPr>
      <w:rFonts w:ascii="Calibri Light" w:eastAsia="Calibri Light" w:hAnsi="Calibri Light" w:cs="Calibri Light"/>
      <w:sz w:val="22"/>
      <w:szCs w:val="22"/>
      <w:lang w:bidi="en-GB"/>
    </w:rPr>
  </w:style>
  <w:style w:type="paragraph" w:customStyle="1" w:styleId="TableParagraph">
    <w:name w:val="Table Paragraph"/>
    <w:basedOn w:val="Normal"/>
    <w:uiPriority w:val="1"/>
    <w:qFormat/>
    <w:pPr>
      <w:widowControl w:val="0"/>
      <w:autoSpaceDE w:val="0"/>
      <w:autoSpaceDN w:val="0"/>
      <w:ind w:left="107"/>
    </w:pPr>
    <w:rPr>
      <w:rFonts w:ascii="Calibri Light" w:eastAsia="Calibri Light" w:hAnsi="Calibri Light" w:cs="Calibri Light"/>
      <w:sz w:val="22"/>
      <w:szCs w:val="22"/>
      <w:lang w:bidi="en-GB"/>
    </w:r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spacing w:before="100" w:beforeAutospacing="1" w:after="100" w:afterAutospacing="1"/>
    </w:pPr>
  </w:style>
  <w:style w:type="paragraph" w:styleId="Header">
    <w:name w:val="header"/>
    <w:basedOn w:val="Normal"/>
    <w:link w:val="HeaderChar"/>
    <w:uiPriority w:val="99"/>
    <w:unhideWhenUsed/>
    <w:rsid w:val="005C2C7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character" w:customStyle="1" w:styleId="apple-converted-space">
    <w:name w:val="apple-converted-space"/>
    <w:basedOn w:val="DefaultParagraphFont"/>
    <w:rsid w:val="00EB6165"/>
  </w:style>
  <w:style w:type="character" w:styleId="Emphasis">
    <w:name w:val="Emphasis"/>
    <w:basedOn w:val="DefaultParagraphFont"/>
    <w:uiPriority w:val="20"/>
    <w:qFormat/>
    <w:rsid w:val="003A57F1"/>
    <w:rPr>
      <w:i/>
      <w:iCs/>
    </w:rPr>
  </w:style>
  <w:style w:type="character" w:styleId="FollowedHyperlink">
    <w:name w:val="FollowedHyperlink"/>
    <w:basedOn w:val="DefaultParagraphFont"/>
    <w:uiPriority w:val="99"/>
    <w:semiHidden/>
    <w:unhideWhenUsed/>
    <w:rsid w:val="00F022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8650">
      <w:bodyDiv w:val="1"/>
      <w:marLeft w:val="0"/>
      <w:marRight w:val="0"/>
      <w:marTop w:val="0"/>
      <w:marBottom w:val="0"/>
      <w:divBdr>
        <w:top w:val="none" w:sz="0" w:space="0" w:color="auto"/>
        <w:left w:val="none" w:sz="0" w:space="0" w:color="auto"/>
        <w:bottom w:val="none" w:sz="0" w:space="0" w:color="auto"/>
        <w:right w:val="none" w:sz="0" w:space="0" w:color="auto"/>
      </w:divBdr>
      <w:divsChild>
        <w:div w:id="142236041">
          <w:marLeft w:val="0"/>
          <w:marRight w:val="0"/>
          <w:marTop w:val="0"/>
          <w:marBottom w:val="0"/>
          <w:divBdr>
            <w:top w:val="none" w:sz="0" w:space="0" w:color="auto"/>
            <w:left w:val="none" w:sz="0" w:space="0" w:color="auto"/>
            <w:bottom w:val="none" w:sz="0" w:space="0" w:color="auto"/>
            <w:right w:val="none" w:sz="0" w:space="0" w:color="auto"/>
          </w:divBdr>
          <w:divsChild>
            <w:div w:id="1480924716">
              <w:marLeft w:val="0"/>
              <w:marRight w:val="0"/>
              <w:marTop w:val="0"/>
              <w:marBottom w:val="0"/>
              <w:divBdr>
                <w:top w:val="none" w:sz="0" w:space="0" w:color="auto"/>
                <w:left w:val="none" w:sz="0" w:space="0" w:color="auto"/>
                <w:bottom w:val="none" w:sz="0" w:space="0" w:color="auto"/>
                <w:right w:val="none" w:sz="0" w:space="0" w:color="auto"/>
              </w:divBdr>
              <w:divsChild>
                <w:div w:id="18439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7123">
      <w:bodyDiv w:val="1"/>
      <w:marLeft w:val="0"/>
      <w:marRight w:val="0"/>
      <w:marTop w:val="0"/>
      <w:marBottom w:val="0"/>
      <w:divBdr>
        <w:top w:val="none" w:sz="0" w:space="0" w:color="auto"/>
        <w:left w:val="none" w:sz="0" w:space="0" w:color="auto"/>
        <w:bottom w:val="none" w:sz="0" w:space="0" w:color="auto"/>
        <w:right w:val="none" w:sz="0" w:space="0" w:color="auto"/>
      </w:divBdr>
      <w:divsChild>
        <w:div w:id="47802002">
          <w:marLeft w:val="0"/>
          <w:marRight w:val="0"/>
          <w:marTop w:val="0"/>
          <w:marBottom w:val="0"/>
          <w:divBdr>
            <w:top w:val="none" w:sz="0" w:space="0" w:color="auto"/>
            <w:left w:val="none" w:sz="0" w:space="0" w:color="auto"/>
            <w:bottom w:val="none" w:sz="0" w:space="0" w:color="auto"/>
            <w:right w:val="none" w:sz="0" w:space="0" w:color="auto"/>
          </w:divBdr>
          <w:divsChild>
            <w:div w:id="1276984591">
              <w:marLeft w:val="0"/>
              <w:marRight w:val="0"/>
              <w:marTop w:val="0"/>
              <w:marBottom w:val="0"/>
              <w:divBdr>
                <w:top w:val="none" w:sz="0" w:space="0" w:color="auto"/>
                <w:left w:val="none" w:sz="0" w:space="0" w:color="auto"/>
                <w:bottom w:val="none" w:sz="0" w:space="0" w:color="auto"/>
                <w:right w:val="none" w:sz="0" w:space="0" w:color="auto"/>
              </w:divBdr>
              <w:divsChild>
                <w:div w:id="7643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2584">
      <w:bodyDiv w:val="1"/>
      <w:marLeft w:val="0"/>
      <w:marRight w:val="0"/>
      <w:marTop w:val="0"/>
      <w:marBottom w:val="0"/>
      <w:divBdr>
        <w:top w:val="none" w:sz="0" w:space="0" w:color="auto"/>
        <w:left w:val="none" w:sz="0" w:space="0" w:color="auto"/>
        <w:bottom w:val="none" w:sz="0" w:space="0" w:color="auto"/>
        <w:right w:val="none" w:sz="0" w:space="0" w:color="auto"/>
      </w:divBdr>
    </w:div>
    <w:div w:id="186256317">
      <w:bodyDiv w:val="1"/>
      <w:marLeft w:val="0"/>
      <w:marRight w:val="0"/>
      <w:marTop w:val="0"/>
      <w:marBottom w:val="0"/>
      <w:divBdr>
        <w:top w:val="none" w:sz="0" w:space="0" w:color="auto"/>
        <w:left w:val="none" w:sz="0" w:space="0" w:color="auto"/>
        <w:bottom w:val="none" w:sz="0" w:space="0" w:color="auto"/>
        <w:right w:val="none" w:sz="0" w:space="0" w:color="auto"/>
      </w:divBdr>
      <w:divsChild>
        <w:div w:id="1237789450">
          <w:marLeft w:val="0"/>
          <w:marRight w:val="0"/>
          <w:marTop w:val="0"/>
          <w:marBottom w:val="0"/>
          <w:divBdr>
            <w:top w:val="none" w:sz="0" w:space="0" w:color="auto"/>
            <w:left w:val="none" w:sz="0" w:space="0" w:color="auto"/>
            <w:bottom w:val="none" w:sz="0" w:space="0" w:color="auto"/>
            <w:right w:val="none" w:sz="0" w:space="0" w:color="auto"/>
          </w:divBdr>
          <w:divsChild>
            <w:div w:id="712770484">
              <w:marLeft w:val="0"/>
              <w:marRight w:val="0"/>
              <w:marTop w:val="0"/>
              <w:marBottom w:val="0"/>
              <w:divBdr>
                <w:top w:val="none" w:sz="0" w:space="0" w:color="auto"/>
                <w:left w:val="none" w:sz="0" w:space="0" w:color="auto"/>
                <w:bottom w:val="none" w:sz="0" w:space="0" w:color="auto"/>
                <w:right w:val="none" w:sz="0" w:space="0" w:color="auto"/>
              </w:divBdr>
              <w:divsChild>
                <w:div w:id="21172106">
                  <w:marLeft w:val="0"/>
                  <w:marRight w:val="0"/>
                  <w:marTop w:val="0"/>
                  <w:marBottom w:val="0"/>
                  <w:divBdr>
                    <w:top w:val="none" w:sz="0" w:space="0" w:color="auto"/>
                    <w:left w:val="none" w:sz="0" w:space="0" w:color="auto"/>
                    <w:bottom w:val="none" w:sz="0" w:space="0" w:color="auto"/>
                    <w:right w:val="none" w:sz="0" w:space="0" w:color="auto"/>
                  </w:divBdr>
                </w:div>
              </w:divsChild>
            </w:div>
            <w:div w:id="1230113968">
              <w:marLeft w:val="0"/>
              <w:marRight w:val="0"/>
              <w:marTop w:val="0"/>
              <w:marBottom w:val="0"/>
              <w:divBdr>
                <w:top w:val="none" w:sz="0" w:space="0" w:color="auto"/>
                <w:left w:val="none" w:sz="0" w:space="0" w:color="auto"/>
                <w:bottom w:val="none" w:sz="0" w:space="0" w:color="auto"/>
                <w:right w:val="none" w:sz="0" w:space="0" w:color="auto"/>
              </w:divBdr>
              <w:divsChild>
                <w:div w:id="55215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429129">
          <w:marLeft w:val="0"/>
          <w:marRight w:val="0"/>
          <w:marTop w:val="0"/>
          <w:marBottom w:val="0"/>
          <w:divBdr>
            <w:top w:val="none" w:sz="0" w:space="0" w:color="auto"/>
            <w:left w:val="none" w:sz="0" w:space="0" w:color="auto"/>
            <w:bottom w:val="none" w:sz="0" w:space="0" w:color="auto"/>
            <w:right w:val="none" w:sz="0" w:space="0" w:color="auto"/>
          </w:divBdr>
          <w:divsChild>
            <w:div w:id="2137063929">
              <w:marLeft w:val="0"/>
              <w:marRight w:val="0"/>
              <w:marTop w:val="0"/>
              <w:marBottom w:val="0"/>
              <w:divBdr>
                <w:top w:val="none" w:sz="0" w:space="0" w:color="auto"/>
                <w:left w:val="none" w:sz="0" w:space="0" w:color="auto"/>
                <w:bottom w:val="none" w:sz="0" w:space="0" w:color="auto"/>
                <w:right w:val="none" w:sz="0" w:space="0" w:color="auto"/>
              </w:divBdr>
              <w:divsChild>
                <w:div w:id="56762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66986">
      <w:bodyDiv w:val="1"/>
      <w:marLeft w:val="0"/>
      <w:marRight w:val="0"/>
      <w:marTop w:val="0"/>
      <w:marBottom w:val="0"/>
      <w:divBdr>
        <w:top w:val="none" w:sz="0" w:space="0" w:color="auto"/>
        <w:left w:val="none" w:sz="0" w:space="0" w:color="auto"/>
        <w:bottom w:val="none" w:sz="0" w:space="0" w:color="auto"/>
        <w:right w:val="none" w:sz="0" w:space="0" w:color="auto"/>
      </w:divBdr>
    </w:div>
    <w:div w:id="408429236">
      <w:bodyDiv w:val="1"/>
      <w:marLeft w:val="0"/>
      <w:marRight w:val="0"/>
      <w:marTop w:val="0"/>
      <w:marBottom w:val="0"/>
      <w:divBdr>
        <w:top w:val="none" w:sz="0" w:space="0" w:color="auto"/>
        <w:left w:val="none" w:sz="0" w:space="0" w:color="auto"/>
        <w:bottom w:val="none" w:sz="0" w:space="0" w:color="auto"/>
        <w:right w:val="none" w:sz="0" w:space="0" w:color="auto"/>
      </w:divBdr>
      <w:divsChild>
        <w:div w:id="18237496">
          <w:marLeft w:val="0"/>
          <w:marRight w:val="0"/>
          <w:marTop w:val="0"/>
          <w:marBottom w:val="0"/>
          <w:divBdr>
            <w:top w:val="none" w:sz="0" w:space="0" w:color="auto"/>
            <w:left w:val="none" w:sz="0" w:space="0" w:color="auto"/>
            <w:bottom w:val="none" w:sz="0" w:space="0" w:color="auto"/>
            <w:right w:val="none" w:sz="0" w:space="0" w:color="auto"/>
          </w:divBdr>
          <w:divsChild>
            <w:div w:id="2094352589">
              <w:marLeft w:val="0"/>
              <w:marRight w:val="0"/>
              <w:marTop w:val="0"/>
              <w:marBottom w:val="0"/>
              <w:divBdr>
                <w:top w:val="none" w:sz="0" w:space="0" w:color="auto"/>
                <w:left w:val="none" w:sz="0" w:space="0" w:color="auto"/>
                <w:bottom w:val="none" w:sz="0" w:space="0" w:color="auto"/>
                <w:right w:val="none" w:sz="0" w:space="0" w:color="auto"/>
              </w:divBdr>
              <w:divsChild>
                <w:div w:id="29722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001298">
      <w:bodyDiv w:val="1"/>
      <w:marLeft w:val="0"/>
      <w:marRight w:val="0"/>
      <w:marTop w:val="0"/>
      <w:marBottom w:val="0"/>
      <w:divBdr>
        <w:top w:val="none" w:sz="0" w:space="0" w:color="auto"/>
        <w:left w:val="none" w:sz="0" w:space="0" w:color="auto"/>
        <w:bottom w:val="none" w:sz="0" w:space="0" w:color="auto"/>
        <w:right w:val="none" w:sz="0" w:space="0" w:color="auto"/>
      </w:divBdr>
      <w:divsChild>
        <w:div w:id="910695644">
          <w:marLeft w:val="0"/>
          <w:marRight w:val="0"/>
          <w:marTop w:val="0"/>
          <w:marBottom w:val="0"/>
          <w:divBdr>
            <w:top w:val="none" w:sz="0" w:space="0" w:color="auto"/>
            <w:left w:val="none" w:sz="0" w:space="0" w:color="auto"/>
            <w:bottom w:val="none" w:sz="0" w:space="0" w:color="auto"/>
            <w:right w:val="none" w:sz="0" w:space="0" w:color="auto"/>
          </w:divBdr>
          <w:divsChild>
            <w:div w:id="433135393">
              <w:marLeft w:val="0"/>
              <w:marRight w:val="0"/>
              <w:marTop w:val="0"/>
              <w:marBottom w:val="0"/>
              <w:divBdr>
                <w:top w:val="none" w:sz="0" w:space="0" w:color="auto"/>
                <w:left w:val="none" w:sz="0" w:space="0" w:color="auto"/>
                <w:bottom w:val="none" w:sz="0" w:space="0" w:color="auto"/>
                <w:right w:val="none" w:sz="0" w:space="0" w:color="auto"/>
              </w:divBdr>
              <w:divsChild>
                <w:div w:id="1736321645">
                  <w:marLeft w:val="0"/>
                  <w:marRight w:val="0"/>
                  <w:marTop w:val="0"/>
                  <w:marBottom w:val="0"/>
                  <w:divBdr>
                    <w:top w:val="none" w:sz="0" w:space="0" w:color="auto"/>
                    <w:left w:val="none" w:sz="0" w:space="0" w:color="auto"/>
                    <w:bottom w:val="none" w:sz="0" w:space="0" w:color="auto"/>
                    <w:right w:val="none" w:sz="0" w:space="0" w:color="auto"/>
                  </w:divBdr>
                  <w:divsChild>
                    <w:div w:id="3481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843919">
      <w:bodyDiv w:val="1"/>
      <w:marLeft w:val="0"/>
      <w:marRight w:val="0"/>
      <w:marTop w:val="0"/>
      <w:marBottom w:val="0"/>
      <w:divBdr>
        <w:top w:val="none" w:sz="0" w:space="0" w:color="auto"/>
        <w:left w:val="none" w:sz="0" w:space="0" w:color="auto"/>
        <w:bottom w:val="none" w:sz="0" w:space="0" w:color="auto"/>
        <w:right w:val="none" w:sz="0" w:space="0" w:color="auto"/>
      </w:divBdr>
      <w:divsChild>
        <w:div w:id="730809376">
          <w:marLeft w:val="0"/>
          <w:marRight w:val="0"/>
          <w:marTop w:val="180"/>
          <w:marBottom w:val="180"/>
          <w:divBdr>
            <w:top w:val="none" w:sz="0" w:space="0" w:color="auto"/>
            <w:left w:val="none" w:sz="0" w:space="0" w:color="auto"/>
            <w:bottom w:val="none" w:sz="0" w:space="0" w:color="auto"/>
            <w:right w:val="none" w:sz="0" w:space="0" w:color="auto"/>
          </w:divBdr>
        </w:div>
      </w:divsChild>
    </w:div>
    <w:div w:id="774448046">
      <w:bodyDiv w:val="1"/>
      <w:marLeft w:val="0"/>
      <w:marRight w:val="0"/>
      <w:marTop w:val="0"/>
      <w:marBottom w:val="0"/>
      <w:divBdr>
        <w:top w:val="none" w:sz="0" w:space="0" w:color="auto"/>
        <w:left w:val="none" w:sz="0" w:space="0" w:color="auto"/>
        <w:bottom w:val="none" w:sz="0" w:space="0" w:color="auto"/>
        <w:right w:val="none" w:sz="0" w:space="0" w:color="auto"/>
      </w:divBdr>
      <w:divsChild>
        <w:div w:id="768353500">
          <w:marLeft w:val="0"/>
          <w:marRight w:val="0"/>
          <w:marTop w:val="0"/>
          <w:marBottom w:val="0"/>
          <w:divBdr>
            <w:top w:val="none" w:sz="0" w:space="0" w:color="auto"/>
            <w:left w:val="none" w:sz="0" w:space="0" w:color="auto"/>
            <w:bottom w:val="none" w:sz="0" w:space="0" w:color="auto"/>
            <w:right w:val="none" w:sz="0" w:space="0" w:color="auto"/>
          </w:divBdr>
          <w:divsChild>
            <w:div w:id="506362943">
              <w:marLeft w:val="0"/>
              <w:marRight w:val="0"/>
              <w:marTop w:val="0"/>
              <w:marBottom w:val="0"/>
              <w:divBdr>
                <w:top w:val="none" w:sz="0" w:space="0" w:color="auto"/>
                <w:left w:val="none" w:sz="0" w:space="0" w:color="auto"/>
                <w:bottom w:val="none" w:sz="0" w:space="0" w:color="auto"/>
                <w:right w:val="none" w:sz="0" w:space="0" w:color="auto"/>
              </w:divBdr>
              <w:divsChild>
                <w:div w:id="31996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58346">
      <w:bodyDiv w:val="1"/>
      <w:marLeft w:val="0"/>
      <w:marRight w:val="0"/>
      <w:marTop w:val="0"/>
      <w:marBottom w:val="0"/>
      <w:divBdr>
        <w:top w:val="none" w:sz="0" w:space="0" w:color="auto"/>
        <w:left w:val="none" w:sz="0" w:space="0" w:color="auto"/>
        <w:bottom w:val="none" w:sz="0" w:space="0" w:color="auto"/>
        <w:right w:val="none" w:sz="0" w:space="0" w:color="auto"/>
      </w:divBdr>
    </w:div>
    <w:div w:id="862328823">
      <w:bodyDiv w:val="1"/>
      <w:marLeft w:val="0"/>
      <w:marRight w:val="0"/>
      <w:marTop w:val="0"/>
      <w:marBottom w:val="0"/>
      <w:divBdr>
        <w:top w:val="none" w:sz="0" w:space="0" w:color="auto"/>
        <w:left w:val="none" w:sz="0" w:space="0" w:color="auto"/>
        <w:bottom w:val="none" w:sz="0" w:space="0" w:color="auto"/>
        <w:right w:val="none" w:sz="0" w:space="0" w:color="auto"/>
      </w:divBdr>
      <w:divsChild>
        <w:div w:id="636884187">
          <w:marLeft w:val="0"/>
          <w:marRight w:val="0"/>
          <w:marTop w:val="0"/>
          <w:marBottom w:val="0"/>
          <w:divBdr>
            <w:top w:val="none" w:sz="0" w:space="0" w:color="auto"/>
            <w:left w:val="none" w:sz="0" w:space="0" w:color="auto"/>
            <w:bottom w:val="none" w:sz="0" w:space="0" w:color="auto"/>
            <w:right w:val="none" w:sz="0" w:space="0" w:color="auto"/>
          </w:divBdr>
          <w:divsChild>
            <w:div w:id="1541474579">
              <w:marLeft w:val="0"/>
              <w:marRight w:val="0"/>
              <w:marTop w:val="0"/>
              <w:marBottom w:val="0"/>
              <w:divBdr>
                <w:top w:val="none" w:sz="0" w:space="0" w:color="auto"/>
                <w:left w:val="none" w:sz="0" w:space="0" w:color="auto"/>
                <w:bottom w:val="none" w:sz="0" w:space="0" w:color="auto"/>
                <w:right w:val="none" w:sz="0" w:space="0" w:color="auto"/>
              </w:divBdr>
              <w:divsChild>
                <w:div w:id="58912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16490">
      <w:bodyDiv w:val="1"/>
      <w:marLeft w:val="0"/>
      <w:marRight w:val="0"/>
      <w:marTop w:val="0"/>
      <w:marBottom w:val="0"/>
      <w:divBdr>
        <w:top w:val="none" w:sz="0" w:space="0" w:color="auto"/>
        <w:left w:val="none" w:sz="0" w:space="0" w:color="auto"/>
        <w:bottom w:val="none" w:sz="0" w:space="0" w:color="auto"/>
        <w:right w:val="none" w:sz="0" w:space="0" w:color="auto"/>
      </w:divBdr>
      <w:divsChild>
        <w:div w:id="1562015110">
          <w:marLeft w:val="0"/>
          <w:marRight w:val="0"/>
          <w:marTop w:val="0"/>
          <w:marBottom w:val="0"/>
          <w:divBdr>
            <w:top w:val="none" w:sz="0" w:space="0" w:color="auto"/>
            <w:left w:val="none" w:sz="0" w:space="0" w:color="auto"/>
            <w:bottom w:val="none" w:sz="0" w:space="0" w:color="auto"/>
            <w:right w:val="none" w:sz="0" w:space="0" w:color="auto"/>
          </w:divBdr>
          <w:divsChild>
            <w:div w:id="1713386545">
              <w:marLeft w:val="0"/>
              <w:marRight w:val="0"/>
              <w:marTop w:val="0"/>
              <w:marBottom w:val="0"/>
              <w:divBdr>
                <w:top w:val="none" w:sz="0" w:space="0" w:color="auto"/>
                <w:left w:val="none" w:sz="0" w:space="0" w:color="auto"/>
                <w:bottom w:val="none" w:sz="0" w:space="0" w:color="auto"/>
                <w:right w:val="none" w:sz="0" w:space="0" w:color="auto"/>
              </w:divBdr>
              <w:divsChild>
                <w:div w:id="5421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37690">
      <w:bodyDiv w:val="1"/>
      <w:marLeft w:val="0"/>
      <w:marRight w:val="0"/>
      <w:marTop w:val="0"/>
      <w:marBottom w:val="0"/>
      <w:divBdr>
        <w:top w:val="none" w:sz="0" w:space="0" w:color="auto"/>
        <w:left w:val="none" w:sz="0" w:space="0" w:color="auto"/>
        <w:bottom w:val="none" w:sz="0" w:space="0" w:color="auto"/>
        <w:right w:val="none" w:sz="0" w:space="0" w:color="auto"/>
      </w:divBdr>
      <w:divsChild>
        <w:div w:id="400713357">
          <w:marLeft w:val="0"/>
          <w:marRight w:val="0"/>
          <w:marTop w:val="0"/>
          <w:marBottom w:val="0"/>
          <w:divBdr>
            <w:top w:val="none" w:sz="0" w:space="0" w:color="auto"/>
            <w:left w:val="none" w:sz="0" w:space="0" w:color="auto"/>
            <w:bottom w:val="none" w:sz="0" w:space="0" w:color="auto"/>
            <w:right w:val="none" w:sz="0" w:space="0" w:color="auto"/>
          </w:divBdr>
          <w:divsChild>
            <w:div w:id="1329558753">
              <w:marLeft w:val="0"/>
              <w:marRight w:val="0"/>
              <w:marTop w:val="0"/>
              <w:marBottom w:val="0"/>
              <w:divBdr>
                <w:top w:val="none" w:sz="0" w:space="0" w:color="auto"/>
                <w:left w:val="none" w:sz="0" w:space="0" w:color="auto"/>
                <w:bottom w:val="none" w:sz="0" w:space="0" w:color="auto"/>
                <w:right w:val="none" w:sz="0" w:space="0" w:color="auto"/>
              </w:divBdr>
              <w:divsChild>
                <w:div w:id="206058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190762">
      <w:bodyDiv w:val="1"/>
      <w:marLeft w:val="0"/>
      <w:marRight w:val="0"/>
      <w:marTop w:val="0"/>
      <w:marBottom w:val="0"/>
      <w:divBdr>
        <w:top w:val="none" w:sz="0" w:space="0" w:color="auto"/>
        <w:left w:val="none" w:sz="0" w:space="0" w:color="auto"/>
        <w:bottom w:val="none" w:sz="0" w:space="0" w:color="auto"/>
        <w:right w:val="none" w:sz="0" w:space="0" w:color="auto"/>
      </w:divBdr>
    </w:div>
    <w:div w:id="1246036564">
      <w:bodyDiv w:val="1"/>
      <w:marLeft w:val="0"/>
      <w:marRight w:val="0"/>
      <w:marTop w:val="0"/>
      <w:marBottom w:val="0"/>
      <w:divBdr>
        <w:top w:val="none" w:sz="0" w:space="0" w:color="auto"/>
        <w:left w:val="none" w:sz="0" w:space="0" w:color="auto"/>
        <w:bottom w:val="none" w:sz="0" w:space="0" w:color="auto"/>
        <w:right w:val="none" w:sz="0" w:space="0" w:color="auto"/>
      </w:divBdr>
    </w:div>
    <w:div w:id="1258640219">
      <w:bodyDiv w:val="1"/>
      <w:marLeft w:val="0"/>
      <w:marRight w:val="0"/>
      <w:marTop w:val="0"/>
      <w:marBottom w:val="0"/>
      <w:divBdr>
        <w:top w:val="none" w:sz="0" w:space="0" w:color="auto"/>
        <w:left w:val="none" w:sz="0" w:space="0" w:color="auto"/>
        <w:bottom w:val="none" w:sz="0" w:space="0" w:color="auto"/>
        <w:right w:val="none" w:sz="0" w:space="0" w:color="auto"/>
      </w:divBdr>
      <w:divsChild>
        <w:div w:id="658576064">
          <w:marLeft w:val="0"/>
          <w:marRight w:val="0"/>
          <w:marTop w:val="0"/>
          <w:marBottom w:val="0"/>
          <w:divBdr>
            <w:top w:val="none" w:sz="0" w:space="0" w:color="auto"/>
            <w:left w:val="none" w:sz="0" w:space="0" w:color="auto"/>
            <w:bottom w:val="none" w:sz="0" w:space="0" w:color="auto"/>
            <w:right w:val="none" w:sz="0" w:space="0" w:color="auto"/>
          </w:divBdr>
          <w:divsChild>
            <w:div w:id="1451510557">
              <w:marLeft w:val="0"/>
              <w:marRight w:val="0"/>
              <w:marTop w:val="0"/>
              <w:marBottom w:val="0"/>
              <w:divBdr>
                <w:top w:val="none" w:sz="0" w:space="0" w:color="auto"/>
                <w:left w:val="none" w:sz="0" w:space="0" w:color="auto"/>
                <w:bottom w:val="none" w:sz="0" w:space="0" w:color="auto"/>
                <w:right w:val="none" w:sz="0" w:space="0" w:color="auto"/>
              </w:divBdr>
              <w:divsChild>
                <w:div w:id="617831349">
                  <w:marLeft w:val="0"/>
                  <w:marRight w:val="0"/>
                  <w:marTop w:val="0"/>
                  <w:marBottom w:val="0"/>
                  <w:divBdr>
                    <w:top w:val="none" w:sz="0" w:space="0" w:color="auto"/>
                    <w:left w:val="none" w:sz="0" w:space="0" w:color="auto"/>
                    <w:bottom w:val="none" w:sz="0" w:space="0" w:color="auto"/>
                    <w:right w:val="none" w:sz="0" w:space="0" w:color="auto"/>
                  </w:divBdr>
                  <w:divsChild>
                    <w:div w:id="128465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061361">
      <w:bodyDiv w:val="1"/>
      <w:marLeft w:val="0"/>
      <w:marRight w:val="0"/>
      <w:marTop w:val="0"/>
      <w:marBottom w:val="0"/>
      <w:divBdr>
        <w:top w:val="none" w:sz="0" w:space="0" w:color="auto"/>
        <w:left w:val="none" w:sz="0" w:space="0" w:color="auto"/>
        <w:bottom w:val="none" w:sz="0" w:space="0" w:color="auto"/>
        <w:right w:val="none" w:sz="0" w:space="0" w:color="auto"/>
      </w:divBdr>
      <w:divsChild>
        <w:div w:id="1918975079">
          <w:marLeft w:val="0"/>
          <w:marRight w:val="0"/>
          <w:marTop w:val="0"/>
          <w:marBottom w:val="0"/>
          <w:divBdr>
            <w:top w:val="none" w:sz="0" w:space="0" w:color="auto"/>
            <w:left w:val="none" w:sz="0" w:space="0" w:color="auto"/>
            <w:bottom w:val="none" w:sz="0" w:space="0" w:color="auto"/>
            <w:right w:val="none" w:sz="0" w:space="0" w:color="auto"/>
          </w:divBdr>
          <w:divsChild>
            <w:div w:id="345518813">
              <w:marLeft w:val="0"/>
              <w:marRight w:val="0"/>
              <w:marTop w:val="0"/>
              <w:marBottom w:val="0"/>
              <w:divBdr>
                <w:top w:val="none" w:sz="0" w:space="0" w:color="auto"/>
                <w:left w:val="none" w:sz="0" w:space="0" w:color="auto"/>
                <w:bottom w:val="none" w:sz="0" w:space="0" w:color="auto"/>
                <w:right w:val="none" w:sz="0" w:space="0" w:color="auto"/>
              </w:divBdr>
              <w:divsChild>
                <w:div w:id="159455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14011">
      <w:bodyDiv w:val="1"/>
      <w:marLeft w:val="0"/>
      <w:marRight w:val="0"/>
      <w:marTop w:val="0"/>
      <w:marBottom w:val="0"/>
      <w:divBdr>
        <w:top w:val="none" w:sz="0" w:space="0" w:color="auto"/>
        <w:left w:val="none" w:sz="0" w:space="0" w:color="auto"/>
        <w:bottom w:val="none" w:sz="0" w:space="0" w:color="auto"/>
        <w:right w:val="none" w:sz="0" w:space="0" w:color="auto"/>
      </w:divBdr>
      <w:divsChild>
        <w:div w:id="499807196">
          <w:marLeft w:val="0"/>
          <w:marRight w:val="0"/>
          <w:marTop w:val="0"/>
          <w:marBottom w:val="0"/>
          <w:divBdr>
            <w:top w:val="none" w:sz="0" w:space="0" w:color="auto"/>
            <w:left w:val="none" w:sz="0" w:space="0" w:color="auto"/>
            <w:bottom w:val="none" w:sz="0" w:space="0" w:color="auto"/>
            <w:right w:val="none" w:sz="0" w:space="0" w:color="auto"/>
          </w:divBdr>
        </w:div>
        <w:div w:id="1460369009">
          <w:marLeft w:val="0"/>
          <w:marRight w:val="0"/>
          <w:marTop w:val="0"/>
          <w:marBottom w:val="0"/>
          <w:divBdr>
            <w:top w:val="none" w:sz="0" w:space="0" w:color="auto"/>
            <w:left w:val="none" w:sz="0" w:space="0" w:color="auto"/>
            <w:bottom w:val="none" w:sz="0" w:space="0" w:color="auto"/>
            <w:right w:val="none" w:sz="0" w:space="0" w:color="auto"/>
          </w:divBdr>
        </w:div>
      </w:divsChild>
    </w:div>
    <w:div w:id="1555388000">
      <w:bodyDiv w:val="1"/>
      <w:marLeft w:val="0"/>
      <w:marRight w:val="0"/>
      <w:marTop w:val="0"/>
      <w:marBottom w:val="0"/>
      <w:divBdr>
        <w:top w:val="none" w:sz="0" w:space="0" w:color="auto"/>
        <w:left w:val="none" w:sz="0" w:space="0" w:color="auto"/>
        <w:bottom w:val="none" w:sz="0" w:space="0" w:color="auto"/>
        <w:right w:val="none" w:sz="0" w:space="0" w:color="auto"/>
      </w:divBdr>
      <w:divsChild>
        <w:div w:id="1251885410">
          <w:marLeft w:val="0"/>
          <w:marRight w:val="0"/>
          <w:marTop w:val="0"/>
          <w:marBottom w:val="0"/>
          <w:divBdr>
            <w:top w:val="none" w:sz="0" w:space="0" w:color="auto"/>
            <w:left w:val="none" w:sz="0" w:space="0" w:color="auto"/>
            <w:bottom w:val="none" w:sz="0" w:space="0" w:color="auto"/>
            <w:right w:val="none" w:sz="0" w:space="0" w:color="auto"/>
          </w:divBdr>
          <w:divsChild>
            <w:div w:id="1707176173">
              <w:marLeft w:val="0"/>
              <w:marRight w:val="0"/>
              <w:marTop w:val="0"/>
              <w:marBottom w:val="0"/>
              <w:divBdr>
                <w:top w:val="none" w:sz="0" w:space="0" w:color="auto"/>
                <w:left w:val="none" w:sz="0" w:space="0" w:color="auto"/>
                <w:bottom w:val="none" w:sz="0" w:space="0" w:color="auto"/>
                <w:right w:val="none" w:sz="0" w:space="0" w:color="auto"/>
              </w:divBdr>
              <w:divsChild>
                <w:div w:id="226184634">
                  <w:marLeft w:val="0"/>
                  <w:marRight w:val="0"/>
                  <w:marTop w:val="0"/>
                  <w:marBottom w:val="0"/>
                  <w:divBdr>
                    <w:top w:val="none" w:sz="0" w:space="0" w:color="auto"/>
                    <w:left w:val="none" w:sz="0" w:space="0" w:color="auto"/>
                    <w:bottom w:val="none" w:sz="0" w:space="0" w:color="auto"/>
                    <w:right w:val="none" w:sz="0" w:space="0" w:color="auto"/>
                  </w:divBdr>
                </w:div>
                <w:div w:id="1964650575">
                  <w:marLeft w:val="0"/>
                  <w:marRight w:val="0"/>
                  <w:marTop w:val="0"/>
                  <w:marBottom w:val="0"/>
                  <w:divBdr>
                    <w:top w:val="none" w:sz="0" w:space="0" w:color="auto"/>
                    <w:left w:val="none" w:sz="0" w:space="0" w:color="auto"/>
                    <w:bottom w:val="none" w:sz="0" w:space="0" w:color="auto"/>
                    <w:right w:val="none" w:sz="0" w:space="0" w:color="auto"/>
                  </w:divBdr>
                </w:div>
              </w:divsChild>
            </w:div>
            <w:div w:id="1230463408">
              <w:marLeft w:val="0"/>
              <w:marRight w:val="0"/>
              <w:marTop w:val="0"/>
              <w:marBottom w:val="0"/>
              <w:divBdr>
                <w:top w:val="none" w:sz="0" w:space="0" w:color="auto"/>
                <w:left w:val="none" w:sz="0" w:space="0" w:color="auto"/>
                <w:bottom w:val="none" w:sz="0" w:space="0" w:color="auto"/>
                <w:right w:val="none" w:sz="0" w:space="0" w:color="auto"/>
              </w:divBdr>
              <w:divsChild>
                <w:div w:id="15941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51185">
          <w:marLeft w:val="0"/>
          <w:marRight w:val="0"/>
          <w:marTop w:val="0"/>
          <w:marBottom w:val="0"/>
          <w:divBdr>
            <w:top w:val="none" w:sz="0" w:space="0" w:color="auto"/>
            <w:left w:val="none" w:sz="0" w:space="0" w:color="auto"/>
            <w:bottom w:val="none" w:sz="0" w:space="0" w:color="auto"/>
            <w:right w:val="none" w:sz="0" w:space="0" w:color="auto"/>
          </w:divBdr>
          <w:divsChild>
            <w:div w:id="1810854294">
              <w:marLeft w:val="0"/>
              <w:marRight w:val="0"/>
              <w:marTop w:val="0"/>
              <w:marBottom w:val="0"/>
              <w:divBdr>
                <w:top w:val="none" w:sz="0" w:space="0" w:color="auto"/>
                <w:left w:val="none" w:sz="0" w:space="0" w:color="auto"/>
                <w:bottom w:val="none" w:sz="0" w:space="0" w:color="auto"/>
                <w:right w:val="none" w:sz="0" w:space="0" w:color="auto"/>
              </w:divBdr>
              <w:divsChild>
                <w:div w:id="2018463386">
                  <w:marLeft w:val="0"/>
                  <w:marRight w:val="0"/>
                  <w:marTop w:val="0"/>
                  <w:marBottom w:val="0"/>
                  <w:divBdr>
                    <w:top w:val="none" w:sz="0" w:space="0" w:color="auto"/>
                    <w:left w:val="none" w:sz="0" w:space="0" w:color="auto"/>
                    <w:bottom w:val="none" w:sz="0" w:space="0" w:color="auto"/>
                    <w:right w:val="none" w:sz="0" w:space="0" w:color="auto"/>
                  </w:divBdr>
                </w:div>
                <w:div w:id="2067875651">
                  <w:marLeft w:val="0"/>
                  <w:marRight w:val="0"/>
                  <w:marTop w:val="0"/>
                  <w:marBottom w:val="0"/>
                  <w:divBdr>
                    <w:top w:val="none" w:sz="0" w:space="0" w:color="auto"/>
                    <w:left w:val="none" w:sz="0" w:space="0" w:color="auto"/>
                    <w:bottom w:val="none" w:sz="0" w:space="0" w:color="auto"/>
                    <w:right w:val="none" w:sz="0" w:space="0" w:color="auto"/>
                  </w:divBdr>
                </w:div>
              </w:divsChild>
            </w:div>
            <w:div w:id="1955595778">
              <w:marLeft w:val="0"/>
              <w:marRight w:val="0"/>
              <w:marTop w:val="0"/>
              <w:marBottom w:val="0"/>
              <w:divBdr>
                <w:top w:val="none" w:sz="0" w:space="0" w:color="auto"/>
                <w:left w:val="none" w:sz="0" w:space="0" w:color="auto"/>
                <w:bottom w:val="none" w:sz="0" w:space="0" w:color="auto"/>
                <w:right w:val="none" w:sz="0" w:space="0" w:color="auto"/>
              </w:divBdr>
              <w:divsChild>
                <w:div w:id="728697692">
                  <w:marLeft w:val="0"/>
                  <w:marRight w:val="0"/>
                  <w:marTop w:val="0"/>
                  <w:marBottom w:val="0"/>
                  <w:divBdr>
                    <w:top w:val="none" w:sz="0" w:space="0" w:color="auto"/>
                    <w:left w:val="none" w:sz="0" w:space="0" w:color="auto"/>
                    <w:bottom w:val="none" w:sz="0" w:space="0" w:color="auto"/>
                    <w:right w:val="none" w:sz="0" w:space="0" w:color="auto"/>
                  </w:divBdr>
                </w:div>
                <w:div w:id="143327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865605">
      <w:bodyDiv w:val="1"/>
      <w:marLeft w:val="0"/>
      <w:marRight w:val="0"/>
      <w:marTop w:val="0"/>
      <w:marBottom w:val="0"/>
      <w:divBdr>
        <w:top w:val="none" w:sz="0" w:space="0" w:color="auto"/>
        <w:left w:val="none" w:sz="0" w:space="0" w:color="auto"/>
        <w:bottom w:val="none" w:sz="0" w:space="0" w:color="auto"/>
        <w:right w:val="none" w:sz="0" w:space="0" w:color="auto"/>
      </w:divBdr>
      <w:divsChild>
        <w:div w:id="30151104">
          <w:marLeft w:val="0"/>
          <w:marRight w:val="0"/>
          <w:marTop w:val="0"/>
          <w:marBottom w:val="0"/>
          <w:divBdr>
            <w:top w:val="none" w:sz="0" w:space="0" w:color="auto"/>
            <w:left w:val="none" w:sz="0" w:space="0" w:color="auto"/>
            <w:bottom w:val="none" w:sz="0" w:space="0" w:color="auto"/>
            <w:right w:val="none" w:sz="0" w:space="0" w:color="auto"/>
          </w:divBdr>
          <w:divsChild>
            <w:div w:id="1542133967">
              <w:marLeft w:val="0"/>
              <w:marRight w:val="0"/>
              <w:marTop w:val="0"/>
              <w:marBottom w:val="0"/>
              <w:divBdr>
                <w:top w:val="none" w:sz="0" w:space="0" w:color="auto"/>
                <w:left w:val="none" w:sz="0" w:space="0" w:color="auto"/>
                <w:bottom w:val="none" w:sz="0" w:space="0" w:color="auto"/>
                <w:right w:val="none" w:sz="0" w:space="0" w:color="auto"/>
              </w:divBdr>
              <w:divsChild>
                <w:div w:id="1750613182">
                  <w:marLeft w:val="0"/>
                  <w:marRight w:val="0"/>
                  <w:marTop w:val="0"/>
                  <w:marBottom w:val="0"/>
                  <w:divBdr>
                    <w:top w:val="none" w:sz="0" w:space="0" w:color="auto"/>
                    <w:left w:val="none" w:sz="0" w:space="0" w:color="auto"/>
                    <w:bottom w:val="none" w:sz="0" w:space="0" w:color="auto"/>
                    <w:right w:val="none" w:sz="0" w:space="0" w:color="auto"/>
                  </w:divBdr>
                </w:div>
              </w:divsChild>
            </w:div>
            <w:div w:id="252394340">
              <w:marLeft w:val="0"/>
              <w:marRight w:val="0"/>
              <w:marTop w:val="0"/>
              <w:marBottom w:val="0"/>
              <w:divBdr>
                <w:top w:val="none" w:sz="0" w:space="0" w:color="auto"/>
                <w:left w:val="none" w:sz="0" w:space="0" w:color="auto"/>
                <w:bottom w:val="none" w:sz="0" w:space="0" w:color="auto"/>
                <w:right w:val="none" w:sz="0" w:space="0" w:color="auto"/>
              </w:divBdr>
              <w:divsChild>
                <w:div w:id="96897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330595">
          <w:marLeft w:val="0"/>
          <w:marRight w:val="0"/>
          <w:marTop w:val="0"/>
          <w:marBottom w:val="0"/>
          <w:divBdr>
            <w:top w:val="none" w:sz="0" w:space="0" w:color="auto"/>
            <w:left w:val="none" w:sz="0" w:space="0" w:color="auto"/>
            <w:bottom w:val="none" w:sz="0" w:space="0" w:color="auto"/>
            <w:right w:val="none" w:sz="0" w:space="0" w:color="auto"/>
          </w:divBdr>
          <w:divsChild>
            <w:div w:id="806824356">
              <w:marLeft w:val="0"/>
              <w:marRight w:val="0"/>
              <w:marTop w:val="0"/>
              <w:marBottom w:val="0"/>
              <w:divBdr>
                <w:top w:val="none" w:sz="0" w:space="0" w:color="auto"/>
                <w:left w:val="none" w:sz="0" w:space="0" w:color="auto"/>
                <w:bottom w:val="none" w:sz="0" w:space="0" w:color="auto"/>
                <w:right w:val="none" w:sz="0" w:space="0" w:color="auto"/>
              </w:divBdr>
              <w:divsChild>
                <w:div w:id="6352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13694">
      <w:bodyDiv w:val="1"/>
      <w:marLeft w:val="0"/>
      <w:marRight w:val="0"/>
      <w:marTop w:val="0"/>
      <w:marBottom w:val="0"/>
      <w:divBdr>
        <w:top w:val="none" w:sz="0" w:space="0" w:color="auto"/>
        <w:left w:val="none" w:sz="0" w:space="0" w:color="auto"/>
        <w:bottom w:val="none" w:sz="0" w:space="0" w:color="auto"/>
        <w:right w:val="none" w:sz="0" w:space="0" w:color="auto"/>
      </w:divBdr>
      <w:divsChild>
        <w:div w:id="2092433958">
          <w:marLeft w:val="0"/>
          <w:marRight w:val="0"/>
          <w:marTop w:val="0"/>
          <w:marBottom w:val="0"/>
          <w:divBdr>
            <w:top w:val="none" w:sz="0" w:space="0" w:color="auto"/>
            <w:left w:val="none" w:sz="0" w:space="0" w:color="auto"/>
            <w:bottom w:val="none" w:sz="0" w:space="0" w:color="auto"/>
            <w:right w:val="none" w:sz="0" w:space="0" w:color="auto"/>
          </w:divBdr>
          <w:divsChild>
            <w:div w:id="1579822543">
              <w:marLeft w:val="0"/>
              <w:marRight w:val="0"/>
              <w:marTop w:val="0"/>
              <w:marBottom w:val="0"/>
              <w:divBdr>
                <w:top w:val="none" w:sz="0" w:space="0" w:color="auto"/>
                <w:left w:val="none" w:sz="0" w:space="0" w:color="auto"/>
                <w:bottom w:val="none" w:sz="0" w:space="0" w:color="auto"/>
                <w:right w:val="none" w:sz="0" w:space="0" w:color="auto"/>
              </w:divBdr>
              <w:divsChild>
                <w:div w:id="10692173">
                  <w:marLeft w:val="0"/>
                  <w:marRight w:val="0"/>
                  <w:marTop w:val="0"/>
                  <w:marBottom w:val="0"/>
                  <w:divBdr>
                    <w:top w:val="none" w:sz="0" w:space="0" w:color="auto"/>
                    <w:left w:val="none" w:sz="0" w:space="0" w:color="auto"/>
                    <w:bottom w:val="none" w:sz="0" w:space="0" w:color="auto"/>
                    <w:right w:val="none" w:sz="0" w:space="0" w:color="auto"/>
                  </w:divBdr>
                  <w:divsChild>
                    <w:div w:id="109216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687767">
      <w:bodyDiv w:val="1"/>
      <w:marLeft w:val="0"/>
      <w:marRight w:val="0"/>
      <w:marTop w:val="0"/>
      <w:marBottom w:val="0"/>
      <w:divBdr>
        <w:top w:val="none" w:sz="0" w:space="0" w:color="auto"/>
        <w:left w:val="none" w:sz="0" w:space="0" w:color="auto"/>
        <w:bottom w:val="none" w:sz="0" w:space="0" w:color="auto"/>
        <w:right w:val="none" w:sz="0" w:space="0" w:color="auto"/>
      </w:divBdr>
    </w:div>
    <w:div w:id="1686127521">
      <w:bodyDiv w:val="1"/>
      <w:marLeft w:val="0"/>
      <w:marRight w:val="0"/>
      <w:marTop w:val="0"/>
      <w:marBottom w:val="0"/>
      <w:divBdr>
        <w:top w:val="none" w:sz="0" w:space="0" w:color="auto"/>
        <w:left w:val="none" w:sz="0" w:space="0" w:color="auto"/>
        <w:bottom w:val="none" w:sz="0" w:space="0" w:color="auto"/>
        <w:right w:val="none" w:sz="0" w:space="0" w:color="auto"/>
      </w:divBdr>
    </w:div>
    <w:div w:id="1728337504">
      <w:bodyDiv w:val="1"/>
      <w:marLeft w:val="0"/>
      <w:marRight w:val="0"/>
      <w:marTop w:val="0"/>
      <w:marBottom w:val="0"/>
      <w:divBdr>
        <w:top w:val="none" w:sz="0" w:space="0" w:color="auto"/>
        <w:left w:val="none" w:sz="0" w:space="0" w:color="auto"/>
        <w:bottom w:val="none" w:sz="0" w:space="0" w:color="auto"/>
        <w:right w:val="none" w:sz="0" w:space="0" w:color="auto"/>
      </w:divBdr>
      <w:divsChild>
        <w:div w:id="1610234767">
          <w:marLeft w:val="0"/>
          <w:marRight w:val="0"/>
          <w:marTop w:val="0"/>
          <w:marBottom w:val="0"/>
          <w:divBdr>
            <w:top w:val="none" w:sz="0" w:space="0" w:color="auto"/>
            <w:left w:val="none" w:sz="0" w:space="0" w:color="auto"/>
            <w:bottom w:val="none" w:sz="0" w:space="0" w:color="auto"/>
            <w:right w:val="none" w:sz="0" w:space="0" w:color="auto"/>
          </w:divBdr>
          <w:divsChild>
            <w:div w:id="1923836764">
              <w:marLeft w:val="0"/>
              <w:marRight w:val="0"/>
              <w:marTop w:val="0"/>
              <w:marBottom w:val="0"/>
              <w:divBdr>
                <w:top w:val="none" w:sz="0" w:space="0" w:color="auto"/>
                <w:left w:val="none" w:sz="0" w:space="0" w:color="auto"/>
                <w:bottom w:val="none" w:sz="0" w:space="0" w:color="auto"/>
                <w:right w:val="none" w:sz="0" w:space="0" w:color="auto"/>
              </w:divBdr>
              <w:divsChild>
                <w:div w:id="1003165384">
                  <w:marLeft w:val="0"/>
                  <w:marRight w:val="0"/>
                  <w:marTop w:val="0"/>
                  <w:marBottom w:val="0"/>
                  <w:divBdr>
                    <w:top w:val="none" w:sz="0" w:space="0" w:color="auto"/>
                    <w:left w:val="none" w:sz="0" w:space="0" w:color="auto"/>
                    <w:bottom w:val="none" w:sz="0" w:space="0" w:color="auto"/>
                    <w:right w:val="none" w:sz="0" w:space="0" w:color="auto"/>
                  </w:divBdr>
                </w:div>
              </w:divsChild>
            </w:div>
            <w:div w:id="911087700">
              <w:marLeft w:val="0"/>
              <w:marRight w:val="0"/>
              <w:marTop w:val="0"/>
              <w:marBottom w:val="0"/>
              <w:divBdr>
                <w:top w:val="none" w:sz="0" w:space="0" w:color="auto"/>
                <w:left w:val="none" w:sz="0" w:space="0" w:color="auto"/>
                <w:bottom w:val="none" w:sz="0" w:space="0" w:color="auto"/>
                <w:right w:val="none" w:sz="0" w:space="0" w:color="auto"/>
              </w:divBdr>
              <w:divsChild>
                <w:div w:id="143046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93112">
          <w:marLeft w:val="0"/>
          <w:marRight w:val="0"/>
          <w:marTop w:val="0"/>
          <w:marBottom w:val="0"/>
          <w:divBdr>
            <w:top w:val="none" w:sz="0" w:space="0" w:color="auto"/>
            <w:left w:val="none" w:sz="0" w:space="0" w:color="auto"/>
            <w:bottom w:val="none" w:sz="0" w:space="0" w:color="auto"/>
            <w:right w:val="none" w:sz="0" w:space="0" w:color="auto"/>
          </w:divBdr>
          <w:divsChild>
            <w:div w:id="969749645">
              <w:marLeft w:val="0"/>
              <w:marRight w:val="0"/>
              <w:marTop w:val="0"/>
              <w:marBottom w:val="0"/>
              <w:divBdr>
                <w:top w:val="none" w:sz="0" w:space="0" w:color="auto"/>
                <w:left w:val="none" w:sz="0" w:space="0" w:color="auto"/>
                <w:bottom w:val="none" w:sz="0" w:space="0" w:color="auto"/>
                <w:right w:val="none" w:sz="0" w:space="0" w:color="auto"/>
              </w:divBdr>
              <w:divsChild>
                <w:div w:id="2055539457">
                  <w:marLeft w:val="0"/>
                  <w:marRight w:val="0"/>
                  <w:marTop w:val="0"/>
                  <w:marBottom w:val="0"/>
                  <w:divBdr>
                    <w:top w:val="none" w:sz="0" w:space="0" w:color="auto"/>
                    <w:left w:val="none" w:sz="0" w:space="0" w:color="auto"/>
                    <w:bottom w:val="none" w:sz="0" w:space="0" w:color="auto"/>
                    <w:right w:val="none" w:sz="0" w:space="0" w:color="auto"/>
                  </w:divBdr>
                </w:div>
              </w:divsChild>
            </w:div>
            <w:div w:id="407535405">
              <w:marLeft w:val="0"/>
              <w:marRight w:val="0"/>
              <w:marTop w:val="0"/>
              <w:marBottom w:val="0"/>
              <w:divBdr>
                <w:top w:val="none" w:sz="0" w:space="0" w:color="auto"/>
                <w:left w:val="none" w:sz="0" w:space="0" w:color="auto"/>
                <w:bottom w:val="none" w:sz="0" w:space="0" w:color="auto"/>
                <w:right w:val="none" w:sz="0" w:space="0" w:color="auto"/>
              </w:divBdr>
              <w:divsChild>
                <w:div w:id="53635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44224">
          <w:marLeft w:val="0"/>
          <w:marRight w:val="0"/>
          <w:marTop w:val="0"/>
          <w:marBottom w:val="0"/>
          <w:divBdr>
            <w:top w:val="none" w:sz="0" w:space="0" w:color="auto"/>
            <w:left w:val="none" w:sz="0" w:space="0" w:color="auto"/>
            <w:bottom w:val="none" w:sz="0" w:space="0" w:color="auto"/>
            <w:right w:val="none" w:sz="0" w:space="0" w:color="auto"/>
          </w:divBdr>
          <w:divsChild>
            <w:div w:id="313922434">
              <w:marLeft w:val="0"/>
              <w:marRight w:val="0"/>
              <w:marTop w:val="0"/>
              <w:marBottom w:val="0"/>
              <w:divBdr>
                <w:top w:val="none" w:sz="0" w:space="0" w:color="auto"/>
                <w:left w:val="none" w:sz="0" w:space="0" w:color="auto"/>
                <w:bottom w:val="none" w:sz="0" w:space="0" w:color="auto"/>
                <w:right w:val="none" w:sz="0" w:space="0" w:color="auto"/>
              </w:divBdr>
              <w:divsChild>
                <w:div w:id="1412462808">
                  <w:marLeft w:val="0"/>
                  <w:marRight w:val="0"/>
                  <w:marTop w:val="0"/>
                  <w:marBottom w:val="0"/>
                  <w:divBdr>
                    <w:top w:val="none" w:sz="0" w:space="0" w:color="auto"/>
                    <w:left w:val="none" w:sz="0" w:space="0" w:color="auto"/>
                    <w:bottom w:val="none" w:sz="0" w:space="0" w:color="auto"/>
                    <w:right w:val="none" w:sz="0" w:space="0" w:color="auto"/>
                  </w:divBdr>
                </w:div>
              </w:divsChild>
            </w:div>
            <w:div w:id="954867681">
              <w:marLeft w:val="0"/>
              <w:marRight w:val="0"/>
              <w:marTop w:val="0"/>
              <w:marBottom w:val="0"/>
              <w:divBdr>
                <w:top w:val="none" w:sz="0" w:space="0" w:color="auto"/>
                <w:left w:val="none" w:sz="0" w:space="0" w:color="auto"/>
                <w:bottom w:val="none" w:sz="0" w:space="0" w:color="auto"/>
                <w:right w:val="none" w:sz="0" w:space="0" w:color="auto"/>
              </w:divBdr>
              <w:divsChild>
                <w:div w:id="193724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5565">
          <w:marLeft w:val="0"/>
          <w:marRight w:val="0"/>
          <w:marTop w:val="0"/>
          <w:marBottom w:val="0"/>
          <w:divBdr>
            <w:top w:val="none" w:sz="0" w:space="0" w:color="auto"/>
            <w:left w:val="none" w:sz="0" w:space="0" w:color="auto"/>
            <w:bottom w:val="none" w:sz="0" w:space="0" w:color="auto"/>
            <w:right w:val="none" w:sz="0" w:space="0" w:color="auto"/>
          </w:divBdr>
          <w:divsChild>
            <w:div w:id="170294565">
              <w:marLeft w:val="0"/>
              <w:marRight w:val="0"/>
              <w:marTop w:val="0"/>
              <w:marBottom w:val="0"/>
              <w:divBdr>
                <w:top w:val="none" w:sz="0" w:space="0" w:color="auto"/>
                <w:left w:val="none" w:sz="0" w:space="0" w:color="auto"/>
                <w:bottom w:val="none" w:sz="0" w:space="0" w:color="auto"/>
                <w:right w:val="none" w:sz="0" w:space="0" w:color="auto"/>
              </w:divBdr>
              <w:divsChild>
                <w:div w:id="106745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632082">
      <w:bodyDiv w:val="1"/>
      <w:marLeft w:val="0"/>
      <w:marRight w:val="0"/>
      <w:marTop w:val="0"/>
      <w:marBottom w:val="0"/>
      <w:divBdr>
        <w:top w:val="none" w:sz="0" w:space="0" w:color="auto"/>
        <w:left w:val="none" w:sz="0" w:space="0" w:color="auto"/>
        <w:bottom w:val="none" w:sz="0" w:space="0" w:color="auto"/>
        <w:right w:val="none" w:sz="0" w:space="0" w:color="auto"/>
      </w:divBdr>
      <w:divsChild>
        <w:div w:id="1993634521">
          <w:marLeft w:val="0"/>
          <w:marRight w:val="0"/>
          <w:marTop w:val="0"/>
          <w:marBottom w:val="0"/>
          <w:divBdr>
            <w:top w:val="none" w:sz="0" w:space="0" w:color="auto"/>
            <w:left w:val="none" w:sz="0" w:space="0" w:color="auto"/>
            <w:bottom w:val="none" w:sz="0" w:space="0" w:color="auto"/>
            <w:right w:val="none" w:sz="0" w:space="0" w:color="auto"/>
          </w:divBdr>
        </w:div>
        <w:div w:id="186869079">
          <w:marLeft w:val="0"/>
          <w:marRight w:val="0"/>
          <w:marTop w:val="0"/>
          <w:marBottom w:val="0"/>
          <w:divBdr>
            <w:top w:val="none" w:sz="0" w:space="0" w:color="auto"/>
            <w:left w:val="none" w:sz="0" w:space="0" w:color="auto"/>
            <w:bottom w:val="none" w:sz="0" w:space="0" w:color="auto"/>
            <w:right w:val="none" w:sz="0" w:space="0" w:color="auto"/>
          </w:divBdr>
        </w:div>
        <w:div w:id="1599825268">
          <w:marLeft w:val="0"/>
          <w:marRight w:val="0"/>
          <w:marTop w:val="0"/>
          <w:marBottom w:val="0"/>
          <w:divBdr>
            <w:top w:val="none" w:sz="0" w:space="0" w:color="auto"/>
            <w:left w:val="none" w:sz="0" w:space="0" w:color="auto"/>
            <w:bottom w:val="none" w:sz="0" w:space="0" w:color="auto"/>
            <w:right w:val="none" w:sz="0" w:space="0" w:color="auto"/>
          </w:divBdr>
        </w:div>
        <w:div w:id="1114255223">
          <w:marLeft w:val="0"/>
          <w:marRight w:val="0"/>
          <w:marTop w:val="0"/>
          <w:marBottom w:val="0"/>
          <w:divBdr>
            <w:top w:val="none" w:sz="0" w:space="0" w:color="auto"/>
            <w:left w:val="none" w:sz="0" w:space="0" w:color="auto"/>
            <w:bottom w:val="none" w:sz="0" w:space="0" w:color="auto"/>
            <w:right w:val="none" w:sz="0" w:space="0" w:color="auto"/>
          </w:divBdr>
          <w:divsChild>
            <w:div w:id="1688173135">
              <w:blockQuote w:val="1"/>
              <w:marLeft w:val="384"/>
              <w:marRight w:val="384"/>
              <w:marTop w:val="240"/>
              <w:marBottom w:val="240"/>
              <w:divBdr>
                <w:top w:val="none" w:sz="0" w:space="0" w:color="auto"/>
                <w:left w:val="none" w:sz="0" w:space="0" w:color="auto"/>
                <w:bottom w:val="none" w:sz="0" w:space="0" w:color="auto"/>
                <w:right w:val="none" w:sz="0" w:space="0" w:color="auto"/>
              </w:divBdr>
              <w:divsChild>
                <w:div w:id="12294618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546919798">
          <w:marLeft w:val="0"/>
          <w:marRight w:val="0"/>
          <w:marTop w:val="0"/>
          <w:marBottom w:val="0"/>
          <w:divBdr>
            <w:top w:val="none" w:sz="0" w:space="0" w:color="auto"/>
            <w:left w:val="none" w:sz="0" w:space="0" w:color="auto"/>
            <w:bottom w:val="none" w:sz="0" w:space="0" w:color="auto"/>
            <w:right w:val="none" w:sz="0" w:space="0" w:color="auto"/>
          </w:divBdr>
          <w:divsChild>
            <w:div w:id="630018201">
              <w:blockQuote w:val="1"/>
              <w:marLeft w:val="384"/>
              <w:marRight w:val="384"/>
              <w:marTop w:val="240"/>
              <w:marBottom w:val="240"/>
              <w:divBdr>
                <w:top w:val="none" w:sz="0" w:space="0" w:color="auto"/>
                <w:left w:val="none" w:sz="0" w:space="0" w:color="auto"/>
                <w:bottom w:val="none" w:sz="0" w:space="0" w:color="auto"/>
                <w:right w:val="none" w:sz="0" w:space="0" w:color="auto"/>
              </w:divBdr>
              <w:divsChild>
                <w:div w:id="6376736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068500363">
          <w:marLeft w:val="0"/>
          <w:marRight w:val="0"/>
          <w:marTop w:val="0"/>
          <w:marBottom w:val="0"/>
          <w:divBdr>
            <w:top w:val="none" w:sz="0" w:space="0" w:color="auto"/>
            <w:left w:val="none" w:sz="0" w:space="0" w:color="auto"/>
            <w:bottom w:val="none" w:sz="0" w:space="0" w:color="auto"/>
            <w:right w:val="none" w:sz="0" w:space="0" w:color="auto"/>
          </w:divBdr>
        </w:div>
        <w:div w:id="900217579">
          <w:marLeft w:val="0"/>
          <w:marRight w:val="0"/>
          <w:marTop w:val="0"/>
          <w:marBottom w:val="0"/>
          <w:divBdr>
            <w:top w:val="none" w:sz="0" w:space="0" w:color="auto"/>
            <w:left w:val="none" w:sz="0" w:space="0" w:color="auto"/>
            <w:bottom w:val="none" w:sz="0" w:space="0" w:color="auto"/>
            <w:right w:val="none" w:sz="0" w:space="0" w:color="auto"/>
          </w:divBdr>
        </w:div>
      </w:divsChild>
    </w:div>
    <w:div w:id="1823042313">
      <w:bodyDiv w:val="1"/>
      <w:marLeft w:val="0"/>
      <w:marRight w:val="0"/>
      <w:marTop w:val="0"/>
      <w:marBottom w:val="0"/>
      <w:divBdr>
        <w:top w:val="none" w:sz="0" w:space="0" w:color="auto"/>
        <w:left w:val="none" w:sz="0" w:space="0" w:color="auto"/>
        <w:bottom w:val="none" w:sz="0" w:space="0" w:color="auto"/>
        <w:right w:val="none" w:sz="0" w:space="0" w:color="auto"/>
      </w:divBdr>
      <w:divsChild>
        <w:div w:id="363167228">
          <w:marLeft w:val="0"/>
          <w:marRight w:val="0"/>
          <w:marTop w:val="0"/>
          <w:marBottom w:val="0"/>
          <w:divBdr>
            <w:top w:val="none" w:sz="0" w:space="0" w:color="auto"/>
            <w:left w:val="none" w:sz="0" w:space="0" w:color="auto"/>
            <w:bottom w:val="none" w:sz="0" w:space="0" w:color="auto"/>
            <w:right w:val="none" w:sz="0" w:space="0" w:color="auto"/>
          </w:divBdr>
          <w:divsChild>
            <w:div w:id="351955289">
              <w:marLeft w:val="0"/>
              <w:marRight w:val="0"/>
              <w:marTop w:val="0"/>
              <w:marBottom w:val="0"/>
              <w:divBdr>
                <w:top w:val="none" w:sz="0" w:space="0" w:color="auto"/>
                <w:left w:val="none" w:sz="0" w:space="0" w:color="auto"/>
                <w:bottom w:val="none" w:sz="0" w:space="0" w:color="auto"/>
                <w:right w:val="none" w:sz="0" w:space="0" w:color="auto"/>
              </w:divBdr>
              <w:divsChild>
                <w:div w:id="173331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837103">
      <w:bodyDiv w:val="1"/>
      <w:marLeft w:val="0"/>
      <w:marRight w:val="0"/>
      <w:marTop w:val="0"/>
      <w:marBottom w:val="0"/>
      <w:divBdr>
        <w:top w:val="none" w:sz="0" w:space="0" w:color="auto"/>
        <w:left w:val="none" w:sz="0" w:space="0" w:color="auto"/>
        <w:bottom w:val="none" w:sz="0" w:space="0" w:color="auto"/>
        <w:right w:val="none" w:sz="0" w:space="0" w:color="auto"/>
      </w:divBdr>
    </w:div>
    <w:div w:id="1902786592">
      <w:bodyDiv w:val="1"/>
      <w:marLeft w:val="0"/>
      <w:marRight w:val="0"/>
      <w:marTop w:val="0"/>
      <w:marBottom w:val="0"/>
      <w:divBdr>
        <w:top w:val="none" w:sz="0" w:space="0" w:color="auto"/>
        <w:left w:val="none" w:sz="0" w:space="0" w:color="auto"/>
        <w:bottom w:val="none" w:sz="0" w:space="0" w:color="auto"/>
        <w:right w:val="none" w:sz="0" w:space="0" w:color="auto"/>
      </w:divBdr>
      <w:divsChild>
        <w:div w:id="1018970847">
          <w:marLeft w:val="0"/>
          <w:marRight w:val="0"/>
          <w:marTop w:val="0"/>
          <w:marBottom w:val="0"/>
          <w:divBdr>
            <w:top w:val="none" w:sz="0" w:space="0" w:color="auto"/>
            <w:left w:val="none" w:sz="0" w:space="0" w:color="auto"/>
            <w:bottom w:val="none" w:sz="0" w:space="0" w:color="auto"/>
            <w:right w:val="none" w:sz="0" w:space="0" w:color="auto"/>
          </w:divBdr>
          <w:divsChild>
            <w:div w:id="1328551986">
              <w:marLeft w:val="0"/>
              <w:marRight w:val="0"/>
              <w:marTop w:val="0"/>
              <w:marBottom w:val="0"/>
              <w:divBdr>
                <w:top w:val="none" w:sz="0" w:space="0" w:color="auto"/>
                <w:left w:val="none" w:sz="0" w:space="0" w:color="auto"/>
                <w:bottom w:val="none" w:sz="0" w:space="0" w:color="auto"/>
                <w:right w:val="none" w:sz="0" w:space="0" w:color="auto"/>
              </w:divBdr>
              <w:divsChild>
                <w:div w:id="10383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89434">
      <w:bodyDiv w:val="1"/>
      <w:marLeft w:val="0"/>
      <w:marRight w:val="0"/>
      <w:marTop w:val="0"/>
      <w:marBottom w:val="0"/>
      <w:divBdr>
        <w:top w:val="none" w:sz="0" w:space="0" w:color="auto"/>
        <w:left w:val="none" w:sz="0" w:space="0" w:color="auto"/>
        <w:bottom w:val="none" w:sz="0" w:space="0" w:color="auto"/>
        <w:right w:val="none" w:sz="0" w:space="0" w:color="auto"/>
      </w:divBdr>
      <w:divsChild>
        <w:div w:id="1396397306">
          <w:marLeft w:val="0"/>
          <w:marRight w:val="0"/>
          <w:marTop w:val="0"/>
          <w:marBottom w:val="0"/>
          <w:divBdr>
            <w:top w:val="none" w:sz="0" w:space="0" w:color="auto"/>
            <w:left w:val="none" w:sz="0" w:space="0" w:color="auto"/>
            <w:bottom w:val="none" w:sz="0" w:space="0" w:color="auto"/>
            <w:right w:val="none" w:sz="0" w:space="0" w:color="auto"/>
          </w:divBdr>
          <w:divsChild>
            <w:div w:id="965162563">
              <w:marLeft w:val="0"/>
              <w:marRight w:val="0"/>
              <w:marTop w:val="0"/>
              <w:marBottom w:val="0"/>
              <w:divBdr>
                <w:top w:val="none" w:sz="0" w:space="0" w:color="auto"/>
                <w:left w:val="none" w:sz="0" w:space="0" w:color="auto"/>
                <w:bottom w:val="none" w:sz="0" w:space="0" w:color="auto"/>
                <w:right w:val="none" w:sz="0" w:space="0" w:color="auto"/>
              </w:divBdr>
              <w:divsChild>
                <w:div w:id="1198156415">
                  <w:marLeft w:val="0"/>
                  <w:marRight w:val="0"/>
                  <w:marTop w:val="0"/>
                  <w:marBottom w:val="0"/>
                  <w:divBdr>
                    <w:top w:val="none" w:sz="0" w:space="0" w:color="auto"/>
                    <w:left w:val="none" w:sz="0" w:space="0" w:color="auto"/>
                    <w:bottom w:val="none" w:sz="0" w:space="0" w:color="auto"/>
                    <w:right w:val="none" w:sz="0" w:space="0" w:color="auto"/>
                  </w:divBdr>
                  <w:divsChild>
                    <w:div w:id="3231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19544">
          <w:marLeft w:val="0"/>
          <w:marRight w:val="0"/>
          <w:marTop w:val="0"/>
          <w:marBottom w:val="0"/>
          <w:divBdr>
            <w:top w:val="none" w:sz="0" w:space="0" w:color="auto"/>
            <w:left w:val="none" w:sz="0" w:space="0" w:color="auto"/>
            <w:bottom w:val="none" w:sz="0" w:space="0" w:color="auto"/>
            <w:right w:val="none" w:sz="0" w:space="0" w:color="auto"/>
          </w:divBdr>
          <w:divsChild>
            <w:div w:id="1480075833">
              <w:marLeft w:val="0"/>
              <w:marRight w:val="0"/>
              <w:marTop w:val="0"/>
              <w:marBottom w:val="0"/>
              <w:divBdr>
                <w:top w:val="none" w:sz="0" w:space="0" w:color="auto"/>
                <w:left w:val="none" w:sz="0" w:space="0" w:color="auto"/>
                <w:bottom w:val="none" w:sz="0" w:space="0" w:color="auto"/>
                <w:right w:val="none" w:sz="0" w:space="0" w:color="auto"/>
              </w:divBdr>
              <w:divsChild>
                <w:div w:id="222330167">
                  <w:marLeft w:val="0"/>
                  <w:marRight w:val="0"/>
                  <w:marTop w:val="0"/>
                  <w:marBottom w:val="0"/>
                  <w:divBdr>
                    <w:top w:val="none" w:sz="0" w:space="0" w:color="auto"/>
                    <w:left w:val="none" w:sz="0" w:space="0" w:color="auto"/>
                    <w:bottom w:val="none" w:sz="0" w:space="0" w:color="auto"/>
                    <w:right w:val="none" w:sz="0" w:space="0" w:color="auto"/>
                  </w:divBdr>
                </w:div>
              </w:divsChild>
            </w:div>
            <w:div w:id="346685904">
              <w:marLeft w:val="0"/>
              <w:marRight w:val="0"/>
              <w:marTop w:val="0"/>
              <w:marBottom w:val="0"/>
              <w:divBdr>
                <w:top w:val="none" w:sz="0" w:space="0" w:color="auto"/>
                <w:left w:val="none" w:sz="0" w:space="0" w:color="auto"/>
                <w:bottom w:val="none" w:sz="0" w:space="0" w:color="auto"/>
                <w:right w:val="none" w:sz="0" w:space="0" w:color="auto"/>
              </w:divBdr>
              <w:divsChild>
                <w:div w:id="1691174894">
                  <w:marLeft w:val="0"/>
                  <w:marRight w:val="0"/>
                  <w:marTop w:val="0"/>
                  <w:marBottom w:val="0"/>
                  <w:divBdr>
                    <w:top w:val="none" w:sz="0" w:space="0" w:color="auto"/>
                    <w:left w:val="none" w:sz="0" w:space="0" w:color="auto"/>
                    <w:bottom w:val="none" w:sz="0" w:space="0" w:color="auto"/>
                    <w:right w:val="none" w:sz="0" w:space="0" w:color="auto"/>
                  </w:divBdr>
                </w:div>
              </w:divsChild>
            </w:div>
            <w:div w:id="1273825636">
              <w:marLeft w:val="0"/>
              <w:marRight w:val="0"/>
              <w:marTop w:val="0"/>
              <w:marBottom w:val="0"/>
              <w:divBdr>
                <w:top w:val="none" w:sz="0" w:space="0" w:color="auto"/>
                <w:left w:val="none" w:sz="0" w:space="0" w:color="auto"/>
                <w:bottom w:val="none" w:sz="0" w:space="0" w:color="auto"/>
                <w:right w:val="none" w:sz="0" w:space="0" w:color="auto"/>
              </w:divBdr>
              <w:divsChild>
                <w:div w:id="510948002">
                  <w:marLeft w:val="0"/>
                  <w:marRight w:val="0"/>
                  <w:marTop w:val="0"/>
                  <w:marBottom w:val="0"/>
                  <w:divBdr>
                    <w:top w:val="none" w:sz="0" w:space="0" w:color="auto"/>
                    <w:left w:val="none" w:sz="0" w:space="0" w:color="auto"/>
                    <w:bottom w:val="none" w:sz="0" w:space="0" w:color="auto"/>
                    <w:right w:val="none" w:sz="0" w:space="0" w:color="auto"/>
                  </w:divBdr>
                  <w:divsChild>
                    <w:div w:id="569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5872">
      <w:bodyDiv w:val="1"/>
      <w:marLeft w:val="0"/>
      <w:marRight w:val="0"/>
      <w:marTop w:val="0"/>
      <w:marBottom w:val="0"/>
      <w:divBdr>
        <w:top w:val="none" w:sz="0" w:space="0" w:color="auto"/>
        <w:left w:val="none" w:sz="0" w:space="0" w:color="auto"/>
        <w:bottom w:val="none" w:sz="0" w:space="0" w:color="auto"/>
        <w:right w:val="none" w:sz="0" w:space="0" w:color="auto"/>
      </w:divBdr>
      <w:divsChild>
        <w:div w:id="2137094681">
          <w:marLeft w:val="0"/>
          <w:marRight w:val="0"/>
          <w:marTop w:val="0"/>
          <w:marBottom w:val="0"/>
          <w:divBdr>
            <w:top w:val="none" w:sz="0" w:space="0" w:color="auto"/>
            <w:left w:val="none" w:sz="0" w:space="0" w:color="auto"/>
            <w:bottom w:val="none" w:sz="0" w:space="0" w:color="auto"/>
            <w:right w:val="none" w:sz="0" w:space="0" w:color="auto"/>
          </w:divBdr>
          <w:divsChild>
            <w:div w:id="2121873490">
              <w:marLeft w:val="0"/>
              <w:marRight w:val="0"/>
              <w:marTop w:val="0"/>
              <w:marBottom w:val="0"/>
              <w:divBdr>
                <w:top w:val="none" w:sz="0" w:space="0" w:color="auto"/>
                <w:left w:val="none" w:sz="0" w:space="0" w:color="auto"/>
                <w:bottom w:val="none" w:sz="0" w:space="0" w:color="auto"/>
                <w:right w:val="none" w:sz="0" w:space="0" w:color="auto"/>
              </w:divBdr>
              <w:divsChild>
                <w:div w:id="1632902449">
                  <w:marLeft w:val="0"/>
                  <w:marRight w:val="0"/>
                  <w:marTop w:val="0"/>
                  <w:marBottom w:val="0"/>
                  <w:divBdr>
                    <w:top w:val="none" w:sz="0" w:space="0" w:color="auto"/>
                    <w:left w:val="none" w:sz="0" w:space="0" w:color="auto"/>
                    <w:bottom w:val="none" w:sz="0" w:space="0" w:color="auto"/>
                    <w:right w:val="none" w:sz="0" w:space="0" w:color="auto"/>
                  </w:divBdr>
                </w:div>
              </w:divsChild>
            </w:div>
            <w:div w:id="7291312">
              <w:marLeft w:val="0"/>
              <w:marRight w:val="0"/>
              <w:marTop w:val="0"/>
              <w:marBottom w:val="0"/>
              <w:divBdr>
                <w:top w:val="none" w:sz="0" w:space="0" w:color="auto"/>
                <w:left w:val="none" w:sz="0" w:space="0" w:color="auto"/>
                <w:bottom w:val="none" w:sz="0" w:space="0" w:color="auto"/>
                <w:right w:val="none" w:sz="0" w:space="0" w:color="auto"/>
              </w:divBdr>
              <w:divsChild>
                <w:div w:id="744884755">
                  <w:marLeft w:val="0"/>
                  <w:marRight w:val="0"/>
                  <w:marTop w:val="0"/>
                  <w:marBottom w:val="0"/>
                  <w:divBdr>
                    <w:top w:val="none" w:sz="0" w:space="0" w:color="auto"/>
                    <w:left w:val="none" w:sz="0" w:space="0" w:color="auto"/>
                    <w:bottom w:val="none" w:sz="0" w:space="0" w:color="auto"/>
                    <w:right w:val="none" w:sz="0" w:space="0" w:color="auto"/>
                  </w:divBdr>
                </w:div>
              </w:divsChild>
            </w:div>
            <w:div w:id="1643996526">
              <w:marLeft w:val="0"/>
              <w:marRight w:val="0"/>
              <w:marTop w:val="0"/>
              <w:marBottom w:val="0"/>
              <w:divBdr>
                <w:top w:val="none" w:sz="0" w:space="0" w:color="auto"/>
                <w:left w:val="none" w:sz="0" w:space="0" w:color="auto"/>
                <w:bottom w:val="none" w:sz="0" w:space="0" w:color="auto"/>
                <w:right w:val="none" w:sz="0" w:space="0" w:color="auto"/>
              </w:divBdr>
              <w:divsChild>
                <w:div w:id="194588614">
                  <w:marLeft w:val="0"/>
                  <w:marRight w:val="0"/>
                  <w:marTop w:val="0"/>
                  <w:marBottom w:val="0"/>
                  <w:divBdr>
                    <w:top w:val="none" w:sz="0" w:space="0" w:color="auto"/>
                    <w:left w:val="none" w:sz="0" w:space="0" w:color="auto"/>
                    <w:bottom w:val="none" w:sz="0" w:space="0" w:color="auto"/>
                    <w:right w:val="none" w:sz="0" w:space="0" w:color="auto"/>
                  </w:divBdr>
                </w:div>
              </w:divsChild>
            </w:div>
            <w:div w:id="1563760131">
              <w:marLeft w:val="0"/>
              <w:marRight w:val="0"/>
              <w:marTop w:val="0"/>
              <w:marBottom w:val="0"/>
              <w:divBdr>
                <w:top w:val="none" w:sz="0" w:space="0" w:color="auto"/>
                <w:left w:val="none" w:sz="0" w:space="0" w:color="auto"/>
                <w:bottom w:val="none" w:sz="0" w:space="0" w:color="auto"/>
                <w:right w:val="none" w:sz="0" w:space="0" w:color="auto"/>
              </w:divBdr>
              <w:divsChild>
                <w:div w:id="143446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85405">
          <w:marLeft w:val="0"/>
          <w:marRight w:val="0"/>
          <w:marTop w:val="0"/>
          <w:marBottom w:val="0"/>
          <w:divBdr>
            <w:top w:val="none" w:sz="0" w:space="0" w:color="auto"/>
            <w:left w:val="none" w:sz="0" w:space="0" w:color="auto"/>
            <w:bottom w:val="none" w:sz="0" w:space="0" w:color="auto"/>
            <w:right w:val="none" w:sz="0" w:space="0" w:color="auto"/>
          </w:divBdr>
          <w:divsChild>
            <w:div w:id="194927139">
              <w:marLeft w:val="0"/>
              <w:marRight w:val="0"/>
              <w:marTop w:val="0"/>
              <w:marBottom w:val="0"/>
              <w:divBdr>
                <w:top w:val="none" w:sz="0" w:space="0" w:color="auto"/>
                <w:left w:val="none" w:sz="0" w:space="0" w:color="auto"/>
                <w:bottom w:val="none" w:sz="0" w:space="0" w:color="auto"/>
                <w:right w:val="none" w:sz="0" w:space="0" w:color="auto"/>
              </w:divBdr>
              <w:divsChild>
                <w:div w:id="758865997">
                  <w:marLeft w:val="0"/>
                  <w:marRight w:val="0"/>
                  <w:marTop w:val="0"/>
                  <w:marBottom w:val="0"/>
                  <w:divBdr>
                    <w:top w:val="none" w:sz="0" w:space="0" w:color="auto"/>
                    <w:left w:val="none" w:sz="0" w:space="0" w:color="auto"/>
                    <w:bottom w:val="none" w:sz="0" w:space="0" w:color="auto"/>
                    <w:right w:val="none" w:sz="0" w:space="0" w:color="auto"/>
                  </w:divBdr>
                </w:div>
              </w:divsChild>
            </w:div>
            <w:div w:id="348801087">
              <w:marLeft w:val="0"/>
              <w:marRight w:val="0"/>
              <w:marTop w:val="0"/>
              <w:marBottom w:val="0"/>
              <w:divBdr>
                <w:top w:val="none" w:sz="0" w:space="0" w:color="auto"/>
                <w:left w:val="none" w:sz="0" w:space="0" w:color="auto"/>
                <w:bottom w:val="none" w:sz="0" w:space="0" w:color="auto"/>
                <w:right w:val="none" w:sz="0" w:space="0" w:color="auto"/>
              </w:divBdr>
              <w:divsChild>
                <w:div w:id="14400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9506">
          <w:marLeft w:val="0"/>
          <w:marRight w:val="0"/>
          <w:marTop w:val="0"/>
          <w:marBottom w:val="0"/>
          <w:divBdr>
            <w:top w:val="none" w:sz="0" w:space="0" w:color="auto"/>
            <w:left w:val="none" w:sz="0" w:space="0" w:color="auto"/>
            <w:bottom w:val="none" w:sz="0" w:space="0" w:color="auto"/>
            <w:right w:val="none" w:sz="0" w:space="0" w:color="auto"/>
          </w:divBdr>
          <w:divsChild>
            <w:div w:id="514997185">
              <w:marLeft w:val="0"/>
              <w:marRight w:val="0"/>
              <w:marTop w:val="0"/>
              <w:marBottom w:val="0"/>
              <w:divBdr>
                <w:top w:val="none" w:sz="0" w:space="0" w:color="auto"/>
                <w:left w:val="none" w:sz="0" w:space="0" w:color="auto"/>
                <w:bottom w:val="none" w:sz="0" w:space="0" w:color="auto"/>
                <w:right w:val="none" w:sz="0" w:space="0" w:color="auto"/>
              </w:divBdr>
              <w:divsChild>
                <w:div w:id="96661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631235">
      <w:bodyDiv w:val="1"/>
      <w:marLeft w:val="0"/>
      <w:marRight w:val="0"/>
      <w:marTop w:val="0"/>
      <w:marBottom w:val="0"/>
      <w:divBdr>
        <w:top w:val="none" w:sz="0" w:space="0" w:color="auto"/>
        <w:left w:val="none" w:sz="0" w:space="0" w:color="auto"/>
        <w:bottom w:val="none" w:sz="0" w:space="0" w:color="auto"/>
        <w:right w:val="none" w:sz="0" w:space="0" w:color="auto"/>
      </w:divBdr>
      <w:divsChild>
        <w:div w:id="1604655599">
          <w:marLeft w:val="0"/>
          <w:marRight w:val="0"/>
          <w:marTop w:val="0"/>
          <w:marBottom w:val="0"/>
          <w:divBdr>
            <w:top w:val="none" w:sz="0" w:space="0" w:color="auto"/>
            <w:left w:val="none" w:sz="0" w:space="0" w:color="auto"/>
            <w:bottom w:val="none" w:sz="0" w:space="0" w:color="auto"/>
            <w:right w:val="none" w:sz="0" w:space="0" w:color="auto"/>
          </w:divBdr>
          <w:divsChild>
            <w:div w:id="1247350184">
              <w:marLeft w:val="0"/>
              <w:marRight w:val="0"/>
              <w:marTop w:val="0"/>
              <w:marBottom w:val="0"/>
              <w:divBdr>
                <w:top w:val="none" w:sz="0" w:space="0" w:color="auto"/>
                <w:left w:val="none" w:sz="0" w:space="0" w:color="auto"/>
                <w:bottom w:val="none" w:sz="0" w:space="0" w:color="auto"/>
                <w:right w:val="none" w:sz="0" w:space="0" w:color="auto"/>
              </w:divBdr>
              <w:divsChild>
                <w:div w:id="141374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624994">
      <w:bodyDiv w:val="1"/>
      <w:marLeft w:val="0"/>
      <w:marRight w:val="0"/>
      <w:marTop w:val="0"/>
      <w:marBottom w:val="0"/>
      <w:divBdr>
        <w:top w:val="none" w:sz="0" w:space="0" w:color="auto"/>
        <w:left w:val="none" w:sz="0" w:space="0" w:color="auto"/>
        <w:bottom w:val="none" w:sz="0" w:space="0" w:color="auto"/>
        <w:right w:val="none" w:sz="0" w:space="0" w:color="auto"/>
      </w:divBdr>
      <w:divsChild>
        <w:div w:id="2081708912">
          <w:marLeft w:val="0"/>
          <w:marRight w:val="0"/>
          <w:marTop w:val="0"/>
          <w:marBottom w:val="0"/>
          <w:divBdr>
            <w:top w:val="none" w:sz="0" w:space="0" w:color="auto"/>
            <w:left w:val="none" w:sz="0" w:space="0" w:color="auto"/>
            <w:bottom w:val="none" w:sz="0" w:space="0" w:color="auto"/>
            <w:right w:val="none" w:sz="0" w:space="0" w:color="auto"/>
          </w:divBdr>
          <w:divsChild>
            <w:div w:id="1381397815">
              <w:marLeft w:val="0"/>
              <w:marRight w:val="0"/>
              <w:marTop w:val="0"/>
              <w:marBottom w:val="0"/>
              <w:divBdr>
                <w:top w:val="none" w:sz="0" w:space="0" w:color="auto"/>
                <w:left w:val="none" w:sz="0" w:space="0" w:color="auto"/>
                <w:bottom w:val="none" w:sz="0" w:space="0" w:color="auto"/>
                <w:right w:val="none" w:sz="0" w:space="0" w:color="auto"/>
              </w:divBdr>
              <w:divsChild>
                <w:div w:id="576861757">
                  <w:marLeft w:val="0"/>
                  <w:marRight w:val="0"/>
                  <w:marTop w:val="0"/>
                  <w:marBottom w:val="0"/>
                  <w:divBdr>
                    <w:top w:val="none" w:sz="0" w:space="0" w:color="auto"/>
                    <w:left w:val="none" w:sz="0" w:space="0" w:color="auto"/>
                    <w:bottom w:val="none" w:sz="0" w:space="0" w:color="auto"/>
                    <w:right w:val="none" w:sz="0" w:space="0" w:color="auto"/>
                  </w:divBdr>
                  <w:divsChild>
                    <w:div w:id="1087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2898</Words>
  <Characters>16521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Ashley Jones (2109767)</cp:lastModifiedBy>
  <cp:revision>2</cp:revision>
  <dcterms:created xsi:type="dcterms:W3CDTF">2023-01-16T23:55:00Z</dcterms:created>
  <dcterms:modified xsi:type="dcterms:W3CDTF">2023-01-16T23:55:00Z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