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cs="Calibri" w:cstheme="minorHAnsi"/>
          <w:b/>
          <w:b/>
          <w:bCs/>
          <w:u w:val="single"/>
        </w:rPr>
      </w:pPr>
      <w:r>
        <w:rPr>
          <w:rFonts w:cs="Calibri" w:cstheme="minorHAnsi"/>
          <w:b/>
          <w:bCs/>
          <w:u w:val="single"/>
        </w:rPr>
        <w:t>Jamie Skipper – Student number 2134362</w:t>
      </w:r>
    </w:p>
    <w:p>
      <w:pPr>
        <w:pStyle w:val="Normal"/>
        <w:rPr>
          <w:rFonts w:cs="Calibri" w:cstheme="minorHAnsi"/>
        </w:rPr>
      </w:pPr>
      <w:r>
        <w:rPr>
          <w:rFonts w:cs="Calibri" w:cstheme="minorHAnsi"/>
        </w:rPr>
      </w:r>
    </w:p>
    <w:p>
      <w:pPr>
        <w:pStyle w:val="Normal"/>
        <w:rPr>
          <w:rFonts w:cs="Calibri" w:cstheme="minorHAnsi"/>
          <w:b/>
          <w:b/>
          <w:bCs/>
          <w:u w:val="single"/>
        </w:rPr>
      </w:pPr>
      <w:r>
        <w:rPr>
          <w:rFonts w:cs="Calibri" w:cstheme="minorHAnsi"/>
          <w:b/>
          <w:bCs/>
          <w:u w:val="single"/>
        </w:rPr>
        <w:t>Essay One - How has the organisational culture in policing changed due to professionalisation, and how can organisational culture affect officers' well-being and resilience?</w:t>
      </w:r>
    </w:p>
    <w:p>
      <w:pPr>
        <w:pStyle w:val="Normal"/>
        <w:rPr>
          <w:rFonts w:cs="Calibri" w:cstheme="minorHAnsi"/>
        </w:rPr>
      </w:pPr>
      <w:r>
        <w:rPr>
          <w:rFonts w:cs="Calibri" w:cstheme="minorHAnsi"/>
        </w:rPr>
      </w:r>
    </w:p>
    <w:p>
      <w:pPr>
        <w:pStyle w:val="Normal"/>
        <w:rPr/>
      </w:pPr>
      <w:r>
        <w:rPr>
          <w:rFonts w:cs="Calibri" w:cstheme="minorHAnsi"/>
        </w:rPr>
        <w:t xml:space="preserve">Throughout this essay,  </w:t>
      </w:r>
      <w:r>
        <w:rPr>
          <w:rFonts w:cs="Calibri" w:cstheme="minorHAnsi"/>
        </w:rPr>
        <w:t>there will be multiple sources looked at regarding</w:t>
      </w:r>
      <w:r>
        <w:rPr>
          <w:rFonts w:cs="Calibri" w:cstheme="minorHAnsi"/>
        </w:rPr>
        <w:t xml:space="preserve"> the historical culture of the police service, along with the new professional culture of the police service and briefly touch on how the role has changed over the years and how the professionalisation affects the response received by many.</w:t>
      </w:r>
    </w:p>
    <w:p>
      <w:pPr>
        <w:pStyle w:val="Normal"/>
        <w:rPr>
          <w:rFonts w:cs="Calibri" w:cstheme="minorHAnsi"/>
        </w:rPr>
      </w:pPr>
      <w:r>
        <w:rPr>
          <w:rFonts w:cs="Calibri" w:cstheme="minorHAnsi"/>
        </w:rPr>
      </w:r>
    </w:p>
    <w:p>
      <w:pPr>
        <w:pStyle w:val="Normal"/>
        <w:rPr/>
      </w:pPr>
      <w:r>
        <w:rPr>
          <w:rFonts w:cs="Calibri" w:cstheme="minorHAnsi"/>
        </w:rPr>
        <w:t>From within the police service it is</w:t>
      </w:r>
      <w:r>
        <w:rPr>
          <w:rFonts w:cs="Calibri" w:cstheme="minorHAnsi"/>
        </w:rPr>
        <w:t xml:space="preserve"> generally accepted as being a part of the culture of policing historically the toxic elements regarding stress and trauma, were this was not addressed and instead people were told to "man up" or to just snap out of it after dealing with numerous traumatic incidents. This attitude historically in the police force would have led to officers suffering from PTSD on the </w:t>
      </w:r>
      <w:r>
        <w:rPr>
          <w:rFonts w:cs="Calibri" w:cstheme="minorHAnsi"/>
        </w:rPr>
        <w:t>front-line</w:t>
      </w:r>
      <w:r>
        <w:rPr>
          <w:rFonts w:cs="Calibri" w:cstheme="minorHAnsi"/>
        </w:rPr>
        <w:t xml:space="preserve"> undiagnosed and making incorrect choices or struggling in the workforce with no outlet and a further decline in their mental health as they felt as though they could not speak up. (Lewsey</w:t>
      </w:r>
      <w:r>
        <w:rPr>
          <w:rStyle w:val="InternetLink"/>
          <w:rFonts w:cs="Calibri" w:cstheme="minorHAnsi"/>
          <w:color w:val="auto"/>
          <w:u w:val="none"/>
        </w:rPr>
        <w:t xml:space="preserve"> 2022)</w:t>
      </w:r>
    </w:p>
    <w:p>
      <w:pPr>
        <w:pStyle w:val="Normal"/>
        <w:rPr>
          <w:rFonts w:cs="Calibri" w:cstheme="minorHAnsi"/>
        </w:rPr>
      </w:pPr>
      <w:r>
        <w:rPr>
          <w:rFonts w:cs="Calibri" w:cstheme="minorHAnsi"/>
        </w:rPr>
      </w:r>
    </w:p>
    <w:p>
      <w:pPr>
        <w:pStyle w:val="NormalWeb"/>
        <w:shd w:val="clear" w:color="auto" w:fill="FFFFFF"/>
        <w:spacing w:beforeAutospacing="0" w:before="0" w:afterAutospacing="0" w:after="120"/>
        <w:rPr/>
      </w:pPr>
      <w:r>
        <w:rPr>
          <w:rFonts w:cs="Calibri" w:ascii="Calibri" w:hAnsi="Calibri" w:asciiTheme="minorHAnsi" w:cstheme="minorHAnsi" w:hAnsiTheme="minorHAnsi"/>
          <w:sz w:val="22"/>
          <w:szCs w:val="22"/>
        </w:rPr>
        <w:t xml:space="preserve">There is still a concern or stigma surrounding mental health however the police force is doing a lot to address and debrief after traumatic incidents and offer Trauma risk incident management (TRIM) </w:t>
      </w:r>
      <w:r>
        <w:rPr/>
        <w:t>(Kent Police,2021)</w:t>
      </w:r>
      <w:r>
        <w:rPr>
          <w:rFonts w:cs="Calibri" w:ascii="Calibri" w:hAnsi="Calibri" w:asciiTheme="minorHAnsi" w:cstheme="minorHAnsi" w:hAnsiTheme="minorHAnsi"/>
          <w:sz w:val="22"/>
          <w:szCs w:val="22"/>
        </w:rPr>
        <w:t xml:space="preserve">appointments a week or two after a traumatic incident to help debrief and assess the impact on the officer and if any further </w:t>
      </w:r>
      <w:r>
        <w:rPr>
          <w:rFonts w:cs="Calibri" w:ascii="Calibri" w:hAnsi="Calibri" w:asciiTheme="minorHAnsi" w:cstheme="minorHAnsi" w:hAnsiTheme="minorHAnsi"/>
          <w:sz w:val="22"/>
          <w:szCs w:val="22"/>
        </w:rPr>
        <w:t>well-being</w:t>
      </w:r>
      <w:r>
        <w:rPr>
          <w:rFonts w:cs="Calibri" w:ascii="Calibri" w:hAnsi="Calibri" w:asciiTheme="minorHAnsi" w:cstheme="minorHAnsi" w:hAnsiTheme="minorHAnsi"/>
          <w:sz w:val="22"/>
          <w:szCs w:val="22"/>
        </w:rPr>
        <w:t xml:space="preserve"> or mental health concerns need addressing with occupational health, GP or at worse suitability to work depending on the impact. This is taught to all new officers and all the information regarding these is shared along with the process and the importance of undertaking these appointments. In a toxic culture, it would be easy to always say you are fine and ignore these appointments however there has been so much work done that it is widely accepted that it is best to take these due to the sheer number of traumatic incidents officers are likely to attend, some of which can be similar and stir up feelings of previous incidents causing extreme mental stress and anxiety. There is still a culture of “letting the team down” as explained by the police federation “</w:t>
      </w:r>
      <w:r>
        <w:rPr>
          <w:rFonts w:cs="Calibri" w:ascii="Calibri" w:hAnsi="Calibri" w:asciiTheme="minorHAnsi" w:cstheme="minorHAnsi" w:hAnsiTheme="minorHAnsi"/>
          <w:color w:val="000000"/>
          <w:sz w:val="22"/>
          <w:szCs w:val="22"/>
        </w:rPr>
        <w:t>Some officers felt they would be letting their already stretched teams down by taking time off, while others were concerned about the stigma of disclosing mental health problems.</w:t>
      </w:r>
    </w:p>
    <w:p>
      <w:pPr>
        <w:pStyle w:val="NormalWeb"/>
        <w:shd w:val="clear" w:color="auto" w:fill="FFFFFF"/>
        <w:spacing w:beforeAutospacing="0" w:before="0" w:afterAutospacing="0" w:after="120"/>
        <w:rPr/>
      </w:pPr>
      <w:r>
        <w:rPr>
          <w:rFonts w:cs="Calibri" w:ascii="Calibri" w:hAnsi="Calibri" w:asciiTheme="minorHAnsi" w:cstheme="minorHAnsi" w:hAnsiTheme="minorHAnsi"/>
          <w:color w:val="000000"/>
          <w:sz w:val="22"/>
          <w:szCs w:val="22"/>
        </w:rPr>
        <w:t xml:space="preserve">Equally concerning, 73% of managers said they had not been given any training on how to support a colleague who was having difficulties with mental health and </w:t>
      </w:r>
      <w:r>
        <w:rPr>
          <w:rFonts w:cs="Calibri" w:ascii="Calibri" w:hAnsi="Calibri" w:asciiTheme="minorHAnsi" w:cstheme="minorHAnsi" w:hAnsiTheme="minorHAnsi"/>
          <w:color w:val="000000"/>
          <w:sz w:val="22"/>
          <w:szCs w:val="22"/>
        </w:rPr>
        <w:t>well-being.</w:t>
      </w:r>
    </w:p>
    <w:p>
      <w:pPr>
        <w:pStyle w:val="NormalWeb"/>
        <w:shd w:val="clear" w:color="auto" w:fill="FFFFFF"/>
        <w:spacing w:beforeAutospacing="0" w:before="0" w:afterAutospacing="0" w:after="120"/>
        <w:rPr/>
      </w:pPr>
      <w:r>
        <w:rPr>
          <w:rFonts w:cs="Calibri" w:ascii="Calibri" w:hAnsi="Calibri" w:asciiTheme="minorHAnsi" w:cstheme="minorHAnsi" w:hAnsiTheme="minorHAnsi"/>
          <w:color w:val="000000"/>
          <w:sz w:val="22"/>
          <w:szCs w:val="22"/>
        </w:rPr>
        <w:t>The Federation is working closely with the National Police Chiefs Council and the College of Policing on measures to combat officer stress.”</w:t>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t xml:space="preserve">The above training along with our standard mental health training for managing and dealing with mental health incidents means that officers have a good insight into the support systems and avenues available to ask for help, due to this professionalism and the fact that policing has changed in nature due to the calls that we respond to and how we respond to them. For example, domestic incidents </w:t>
      </w:r>
      <w:r>
        <w:rPr/>
        <w:t xml:space="preserve">(Findlaw,2018) </w:t>
      </w:r>
      <w:r>
        <w:rPr>
          <w:rFonts w:cs="Calibri" w:cstheme="minorHAnsi"/>
        </w:rPr>
        <w:t xml:space="preserve">used to be responded to very casually however currently positive action is always taken where possible and partnership working is always conducted to help safeguard both parties and the children due to the knowledge around the impact of domestic incidents </w:t>
      </w:r>
      <w:r>
        <w:rPr/>
        <w:t>(Gibbs, P 2018)</w:t>
      </w:r>
      <w:r>
        <w:rPr>
          <w:rFonts w:cs="Calibri" w:cstheme="minorHAnsi"/>
        </w:rPr>
        <w:t>This also applies to deal with mental health incidents as police often take ownership of these incidents despite them being medical we are often the first contact and assessor of mental capacity and often talk people down from crisis where possible, The knowledge and training provided that previously would have been “learnt on the job” along with the compassion and patience with those suffering with their mental health is a huge improvement from policing 30-40 years ago where the response would have been very different due to lack of knowledge. (Syal, R and editor, R.S.H affairs 2023)</w:t>
      </w:r>
    </w:p>
    <w:p>
      <w:pPr>
        <w:pStyle w:val="Normal"/>
        <w:rPr>
          <w:rFonts w:cs="Calibri" w:cstheme="minorHAnsi"/>
        </w:rPr>
      </w:pPr>
      <w:r>
        <w:rPr>
          <w:rFonts w:cs="Calibri" w:cstheme="minorHAnsi"/>
        </w:rPr>
      </w:r>
    </w:p>
    <w:p>
      <w:pPr>
        <w:pStyle w:val="Normal"/>
        <w:rPr/>
      </w:pPr>
      <w:r>
        <w:rPr>
          <w:rFonts w:cs="Calibri" w:cstheme="minorHAnsi"/>
        </w:rPr>
        <w:t>Police cultural changes regarding uses of force, sexism, and racism have been tackled through years of being addressed and challenged within the workplace but also by the UK police services diversifying its staff, fairer recruitment procedures and positive action to help the police service accurately represent the public it is working on behalf of has improved the culture along with attitudes towards the police due to different perspectives, life experiences and cultural differences/barriers being removed.</w:t>
      </w:r>
      <w:r>
        <w:rPr/>
        <w:t xml:space="preserve"> (College of Policing 2022)</w:t>
      </w:r>
    </w:p>
    <w:p>
      <w:pPr>
        <w:pStyle w:val="Normal"/>
        <w:rPr/>
      </w:pPr>
      <w:r>
        <w:rPr/>
      </w:r>
    </w:p>
    <w:p>
      <w:pPr>
        <w:pStyle w:val="Normal"/>
        <w:rPr/>
      </w:pPr>
      <w:r>
        <w:rPr/>
        <w:t xml:space="preserve">The trust of women in the police service is also at a low due to recent high-profile incidents and media coverage regarding both misogyny </w:t>
      </w:r>
      <w:r>
        <w:rPr>
          <w:rFonts w:cs="Calibri" w:cstheme="minorHAnsi"/>
          <w:color w:val="2C3E50"/>
          <w:shd w:fill="FFFFFF" w:val="clear"/>
        </w:rPr>
        <w:t xml:space="preserve">(Wolfe-Robinson and Dodd, 2021) </w:t>
      </w:r>
      <w:r>
        <w:rPr/>
        <w:t xml:space="preserve">and Wayne Couzens kidnap and murder of a female after using his warrant card to gain her trust destroys public confidence and undoes the work done to combat violence against women since the 1990s undertaken by police forces across the UK in attempts to gain confidence. (BBC NEWS, 2021) This paints an awful picture of the current state of policing however it has come in leaps and bounds and </w:t>
      </w:r>
      <w:r>
        <w:rPr/>
        <w:t xml:space="preserve">this information </w:t>
      </w:r>
      <w:r>
        <w:rPr/>
        <w:t xml:space="preserve">is shared for transparency members of the public </w:t>
      </w:r>
      <w:r>
        <w:rPr/>
        <w:t xml:space="preserve">and officers </w:t>
      </w:r>
      <w:r>
        <w:rPr/>
        <w:t>feel like it is always in the news that police are doing wrong however previously it just may not have been publicised and potentially dealt with in house however positive action being taken against officers is always in the public and media interest.</w:t>
      </w:r>
    </w:p>
    <w:p>
      <w:pPr>
        <w:pStyle w:val="Normal"/>
        <w:rPr/>
      </w:pPr>
      <w:r>
        <w:rPr/>
      </w:r>
    </w:p>
    <w:p>
      <w:pPr>
        <w:pStyle w:val="Normal"/>
        <w:rPr/>
      </w:pPr>
      <w:r>
        <w:rPr/>
        <w:t>From the information explored above regarding police understanding and education on wellbeing, sensitivity, and the culture of the police force generally, there have been huge improvements due to the professionalism of the police force and the education of officers on mental health, resilience and how to look after their colleagues due to the mental health training after traumatic incidents. This along with the use of force scrutiny and other elements has created a professional force that in theory can communicate with anyone they interact with to avoid violence and uses of force where possible whilst also understanding cultural issues that may be acting as a barrier to effective communication and cooperation when dealing with suspects, victims and witnesses due to lack of trust. With numerous forces being accused of being institutionally racist it cannot be argued that the huge steps already taken have made huge improvements however there is still a way to go to gain public trust and effective community engagement and breaking down barriers to police attendance.</w:t>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b/>
          <w:b/>
          <w:bCs/>
          <w:u w:val="single"/>
        </w:rPr>
      </w:pPr>
      <w:r>
        <w:rPr>
          <w:rFonts w:cs="Calibri" w:cstheme="minorHAnsi"/>
          <w:b/>
          <w:bCs/>
          <w:u w:val="single"/>
        </w:rPr>
        <w:t>Essay Two – Community Policing - Why are partnership approaches the most effective means of improving community engagement?</w:t>
      </w:r>
    </w:p>
    <w:p>
      <w:pPr>
        <w:pStyle w:val="Normal"/>
        <w:rPr>
          <w:rFonts w:cs="Calibri" w:cstheme="minorHAnsi"/>
        </w:rPr>
      </w:pPr>
      <w:r>
        <w:rPr>
          <w:rFonts w:cs="Calibri" w:cstheme="minorHAnsi"/>
        </w:rPr>
      </w:r>
    </w:p>
    <w:p>
      <w:pPr>
        <w:pStyle w:val="Normal"/>
        <w:rPr/>
      </w:pPr>
      <w:r>
        <w:rPr>
          <w:rFonts w:cs="Calibri" w:cstheme="minorHAnsi"/>
        </w:rPr>
        <w:t xml:space="preserve">Throughout this essay, </w:t>
      </w:r>
      <w:r>
        <w:rPr>
          <w:rFonts w:cs="Calibri" w:cstheme="minorHAnsi"/>
        </w:rPr>
        <w:t>Information will be looked at from different sources and compare and contrast different methods of community engagement and what barriers can cause a breakdown with communities and why engagement is key to the police service.</w:t>
      </w:r>
    </w:p>
    <w:p>
      <w:pPr>
        <w:pStyle w:val="Normal"/>
        <w:rPr>
          <w:rFonts w:cs="Calibri" w:cstheme="minorHAnsi"/>
        </w:rPr>
      </w:pPr>
      <w:r>
        <w:rPr>
          <w:rFonts w:cs="Calibri" w:cstheme="minorHAnsi"/>
        </w:rPr>
        <w:t>Partnership working can be described as liaising with involved agencies within the community and third-party organisations to help bridge the gap between the public and the police. The benefits of this would be a better understanding of what the police can and can’t do regarding local issues, where ownership lies whether it is council or a third agency. Setting up meetings with other agencies such as the council to address public concerns helps build confidence for the public.</w:t>
      </w:r>
    </w:p>
    <w:p>
      <w:pPr>
        <w:pStyle w:val="Normal"/>
        <w:rPr>
          <w:rFonts w:cs="Calibri" w:cstheme="minorHAnsi"/>
        </w:rPr>
      </w:pPr>
      <w:r>
        <w:rPr>
          <w:rFonts w:cs="Calibri" w:cstheme="minorHAnsi"/>
        </w:rPr>
      </w:r>
    </w:p>
    <w:p>
      <w:pPr>
        <w:pStyle w:val="Normal"/>
        <w:rPr>
          <w:rFonts w:cs="Calibri" w:cstheme="minorHAnsi"/>
        </w:rPr>
      </w:pPr>
      <w:r>
        <w:rPr>
          <w:rFonts w:cs="Calibri" w:cstheme="minorHAnsi"/>
        </w:rPr>
        <w:t>It is difficult to address the relationship between the police and the public without mentioning Robert Peel and the Peelian Principles which outline the police's accountability to the public and the impact of public confidence and cooperation with the police. Community engagement works off these principles and builds on the relationship between the police and the public as stated by Robert Peel “The police are the public and the public are the police; The police being only members of the public who are paid to give full time attention to duties which are incumbent on every citizen in the interests of community welfare and existence.” (Peel, Robert 1829)</w:t>
      </w:r>
    </w:p>
    <w:p>
      <w:pPr>
        <w:pStyle w:val="Normal"/>
        <w:rPr>
          <w:rFonts w:cs="Calibri" w:cstheme="minorHAnsi"/>
        </w:rPr>
      </w:pPr>
      <w:r>
        <w:rPr>
          <w:rFonts w:cs="Calibri" w:cstheme="minorHAnsi"/>
        </w:rPr>
      </w:r>
    </w:p>
    <w:p>
      <w:pPr>
        <w:pStyle w:val="Normal"/>
        <w:rPr>
          <w:rFonts w:cs="Calibri" w:cstheme="minorHAnsi"/>
        </w:rPr>
      </w:pPr>
      <w:r>
        <w:rPr>
          <w:rFonts w:cs="Calibri" w:cstheme="minorHAnsi"/>
        </w:rPr>
        <w:t>Transparency, accountability, and trust all go hand in hand with public confidence which is why engagement is crucial for the general public but also hard-to-reach groups such as Traveller communities and minority groups that we may not necessarily engage with at surgeries held by the police. Working with leaders within communities and agencies that they are used to going to for advice is a way to engage and reach these hard-to-reach groups who may not have even thought of phoning the police previously as they are detached from the general public.</w:t>
      </w:r>
    </w:p>
    <w:p>
      <w:pPr>
        <w:pStyle w:val="Normal"/>
        <w:rPr>
          <w:rFonts w:cs="Calibri" w:cstheme="minorHAnsi"/>
        </w:rPr>
      </w:pPr>
      <w:r>
        <w:rPr>
          <w:rFonts w:cs="Calibri" w:cstheme="minorHAnsi"/>
        </w:rPr>
      </w:r>
    </w:p>
    <w:p>
      <w:pPr>
        <w:pStyle w:val="Normal"/>
        <w:rPr/>
      </w:pPr>
      <w:r>
        <w:rPr>
          <w:rFonts w:cs="Calibri" w:cstheme="minorHAnsi"/>
        </w:rPr>
        <w:t xml:space="preserve">Police working closely with schools can help engage children and give them some insight into what work the police do, for example, police cadets or HEDDLU BACH (NEW INN primary (2020) run by Gwent police specifically get young children involved in local events and they get given uniforms and get to police the parking at their school gates giving them a sense of ownership and awareness and instilling community spirit from a young age along with road safety and an insight into policing. </w:t>
      </w:r>
      <w:r>
        <w:rPr>
          <w:rFonts w:cs="Calibri" w:cstheme="minorHAnsi"/>
        </w:rPr>
        <w:t>S</w:t>
      </w:r>
      <w:r>
        <w:rPr>
          <w:rFonts w:cs="Calibri" w:cstheme="minorHAnsi"/>
        </w:rPr>
        <w:t>chemes like this that can break generational disdain for the police service by working with education especially if it is done throughout the summer holidays to offer further engagement with the council for their events or even local events held by police services such as open days.</w:t>
      </w:r>
    </w:p>
    <w:p>
      <w:pPr>
        <w:pStyle w:val="Normal"/>
        <w:rPr>
          <w:rFonts w:cs="Calibri" w:cstheme="minorHAnsi"/>
        </w:rPr>
      </w:pPr>
      <w:r>
        <w:rPr>
          <w:rFonts w:cs="Calibri" w:cstheme="minorHAnsi"/>
        </w:rPr>
      </w:r>
    </w:p>
    <w:p>
      <w:pPr>
        <w:pStyle w:val="Normal"/>
        <w:rPr>
          <w:rFonts w:cs="Calibri" w:cstheme="minorHAnsi"/>
        </w:rPr>
      </w:pPr>
      <w:r>
        <w:rPr>
          <w:rFonts w:cs="Calibri" w:cstheme="minorHAnsi"/>
        </w:rPr>
        <w:t>It is important when considering a location for any open days or police surgeries as a local church may seen as suitable but may alienate others based on their faith, cultural or moral oppositions to religions a neutral venue would be best considered such as a local coffee shop or library where everyone can have ease of access and be more comfortable to help get true engagement. If it was held in a local church you may only engage with those who would be attending anyway and the information passed will be from one demographic and you may do more harm concerning engaging with the community as you may create more barriers to attending.</w:t>
      </w:r>
    </w:p>
    <w:p>
      <w:pPr>
        <w:pStyle w:val="Normal"/>
        <w:rPr>
          <w:rFonts w:cs="Calibri" w:cstheme="minorHAnsi"/>
        </w:rPr>
      </w:pPr>
      <w:r>
        <w:rPr>
          <w:rFonts w:cs="Calibri" w:cstheme="minorHAnsi"/>
        </w:rPr>
      </w:r>
    </w:p>
    <w:p>
      <w:pPr>
        <w:pStyle w:val="Normal"/>
        <w:rPr>
          <w:rFonts w:cs="Calibri" w:cstheme="minorHAnsi"/>
        </w:rPr>
      </w:pPr>
      <w:r>
        <w:rPr>
          <w:rFonts w:cs="Calibri" w:cstheme="minorHAnsi"/>
        </w:rPr>
        <w:t>The below graph from the College of Policing community engagement page illustrates the cycle of engagement and building trust within communities. (College of Policing 2013)</w:t>
      </w:r>
    </w:p>
    <w:p>
      <w:pPr>
        <w:pStyle w:val="Normal"/>
        <w:rPr>
          <w:rFonts w:cs="Calibri" w:cstheme="minorHAnsi"/>
        </w:rPr>
      </w:pPr>
      <w:r>
        <w:rPr>
          <w:rFonts w:cs="Calibri" w:cstheme="minorHAnsi"/>
        </w:rPr>
      </w:r>
    </w:p>
    <w:p>
      <w:pPr>
        <w:pStyle w:val="Normal"/>
        <w:rPr>
          <w:rFonts w:cs="Calibri" w:cstheme="minorHAnsi"/>
          <w:b/>
          <w:b/>
          <w:bCs/>
        </w:rPr>
      </w:pPr>
      <w:r>
        <w:rPr/>
        <w:drawing>
          <wp:inline distT="0" distB="0" distL="0" distR="0">
            <wp:extent cx="5731510" cy="3173730"/>
            <wp:effectExtent l="0" t="0" r="0" b="0"/>
            <wp:docPr id="1" name="Picture 1" descr="Improving confidence in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proving confidence in policing"/>
                    <pic:cNvPicPr>
                      <a:picLocks noChangeAspect="1" noChangeArrowheads="1"/>
                    </pic:cNvPicPr>
                  </pic:nvPicPr>
                  <pic:blipFill>
                    <a:blip r:embed="rId2"/>
                    <a:stretch>
                      <a:fillRect/>
                    </a:stretch>
                  </pic:blipFill>
                  <pic:spPr bwMode="auto">
                    <a:xfrm>
                      <a:off x="0" y="0"/>
                      <a:ext cx="5731510" cy="3173730"/>
                    </a:xfrm>
                    <a:prstGeom prst="rect">
                      <a:avLst/>
                    </a:prstGeom>
                  </pic:spPr>
                </pic:pic>
              </a:graphicData>
            </a:graphic>
          </wp:inline>
        </w:drawing>
      </w:r>
    </w:p>
    <w:p>
      <w:pPr>
        <w:pStyle w:val="Normal"/>
        <w:rPr>
          <w:rFonts w:cs="Calibri" w:cstheme="minorHAnsi"/>
        </w:rPr>
      </w:pPr>
      <w:r>
        <w:rPr>
          <w:rFonts w:cs="Calibri" w:cstheme="minorHAnsi"/>
        </w:rPr>
      </w:r>
    </w:p>
    <w:p>
      <w:pPr>
        <w:pStyle w:val="Normal"/>
        <w:rPr>
          <w:rFonts w:cs="Calibri" w:cstheme="minorHAnsi"/>
        </w:rPr>
      </w:pPr>
      <w:r>
        <w:rPr>
          <w:rFonts w:cs="Calibri" w:cstheme="minorHAnsi"/>
        </w:rPr>
        <w:t>The importance of a community impact assessment for ongoing incidents and POP plans to accurately record incidents in a small area and working with communities to look for solutions is a key principle to policing and cannot be understated due to the potential consequences, the main one that comes to mind regarding community tensions and what would be described as low level can have severe impacts due to the frequency such as the FIONA PILKINGTON case detailed below demonstrates the impact of consistent low-level offences and the impact this can have on any member of the public but especially those that are vulnerable within the community as this incident ended with FIONA taking her vulnerable daughters life and then her own as they saw no way out of the cycle of abuse they were suffering from local youths and due to this took her own life. (College of Policing, N.D)</w:t>
      </w:r>
    </w:p>
    <w:p>
      <w:pPr>
        <w:pStyle w:val="Normal"/>
        <w:rPr>
          <w:rFonts w:cs="Calibri" w:cstheme="minorHAnsi"/>
        </w:rPr>
      </w:pPr>
      <w:r>
        <w:rPr>
          <w:rFonts w:cs="Calibri" w:cstheme="minorHAnsi"/>
        </w:rPr>
      </w:r>
    </w:p>
    <w:p>
      <w:pPr>
        <w:pStyle w:val="Normal"/>
        <w:rPr/>
      </w:pPr>
      <w:r>
        <w:rPr>
          <w:rFonts w:cs="Calibri" w:cstheme="minorHAnsi"/>
        </w:rPr>
        <w:t xml:space="preserve">Due to the above and recent global events putting barriers between the police along with tensions and anger towards the police service such as the numerous events in America such as George Floyd (BBC NEWS, 2020), Breonna Taylor </w:t>
      </w:r>
      <w:hyperlink r:id="rId3">
        <w:r>
          <w:rPr>
            <w:rStyle w:val="InternetLink"/>
            <w:rFonts w:cs="Calibri" w:cstheme="minorHAnsi"/>
            <w:color w:val="auto"/>
            <w:u w:val="none"/>
          </w:rPr>
          <w:t>(BBC NEWS, 2020)</w:t>
        </w:r>
      </w:hyperlink>
      <w:r>
        <w:rPr>
          <w:rFonts w:cs="Calibri" w:cstheme="minorHAnsi"/>
        </w:rPr>
        <w:t xml:space="preserve"> in such a short space of time causing the full breakdown of dialogue between police forces globally between them and BAME (Black Asian and minority ethnic groups) and worldwide protests and backlash for police forces the recovery to improve the community involvement in policing in these areas and for the groups affected by this protest will be a delicate one and the behaviour of the officers involved has set policing back years in terms of the work done to improve culture and racial profiling. Community trust is easily lost and almost impossible to gain which is why it has to be done efficiently and delicately.</w:t>
      </w:r>
    </w:p>
    <w:p>
      <w:pPr>
        <w:pStyle w:val="Normal"/>
        <w:rPr>
          <w:rFonts w:cs="Calibri" w:cstheme="minorHAnsi"/>
        </w:rPr>
      </w:pPr>
      <w:r>
        <w:rPr>
          <w:rFonts w:cs="Calibri" w:cstheme="minorHAnsi"/>
        </w:rPr>
      </w:r>
    </w:p>
    <w:p>
      <w:pPr>
        <w:pStyle w:val="Normal"/>
        <w:rPr/>
      </w:pPr>
      <w:r>
        <w:rPr>
          <w:rFonts w:cs="Calibri" w:cstheme="minorHAnsi"/>
        </w:rPr>
        <w:t xml:space="preserve">Being on the </w:t>
      </w:r>
      <w:r>
        <w:rPr>
          <w:rFonts w:cs="Calibri" w:cstheme="minorHAnsi"/>
        </w:rPr>
        <w:t>back foot</w:t>
      </w:r>
      <w:r>
        <w:rPr>
          <w:rFonts w:cs="Calibri" w:cstheme="minorHAnsi"/>
        </w:rPr>
        <w:t xml:space="preserve"> at any incident impacts everything police officers attend, it is not difficult to imagine that confidence in the police from someone of a minority background after the events listed above would have created immense barriers and distrust from victims, offenders and witnesses due to the sheer lack of trust for the police. This is why community cohesion and working closely with partners can and should always make policing communities easier and smoother if you are integrated as a police service into the community you are aware of their concerns, and the issues they are facing and if you can adequately address these and see policing from their perspective trust and respect can be earnt and attempts can be made to restore faith in the police service, This is crucial as there is no alternative available to the public unless they take the law into their own hands.</w:t>
      </w:r>
    </w:p>
    <w:p>
      <w:pPr>
        <w:pStyle w:val="Normal"/>
        <w:rPr>
          <w:rFonts w:cs="Calibri" w:cstheme="minorHAnsi"/>
        </w:rPr>
      </w:pPr>
      <w:r>
        <w:rPr>
          <w:rFonts w:cs="Calibri" w:cstheme="minorHAnsi"/>
        </w:rPr>
      </w:r>
    </w:p>
    <w:p>
      <w:pPr>
        <w:pStyle w:val="Normal"/>
        <w:rPr>
          <w:rFonts w:cs="Calibri" w:cstheme="minorHAnsi"/>
          <w:b/>
          <w:b/>
          <w:bCs/>
          <w:u w:val="single"/>
        </w:rPr>
      </w:pPr>
      <w:r>
        <w:rPr>
          <w:rFonts w:cs="Calibri" w:cstheme="minorHAnsi"/>
          <w:b/>
          <w:bCs/>
          <w:u w:val="single"/>
        </w:rPr>
        <w:t>Essay Four - Examine the positive and negative aspects of media attention when dealing with public protection incidents.</w:t>
      </w:r>
    </w:p>
    <w:p>
      <w:pPr>
        <w:pStyle w:val="Normal"/>
        <w:rPr>
          <w:rFonts w:cs="Calibri" w:cstheme="minorHAnsi"/>
        </w:rPr>
      </w:pPr>
      <w:r>
        <w:rPr>
          <w:rFonts w:cs="Calibri" w:cstheme="minorHAnsi"/>
        </w:rPr>
      </w:r>
    </w:p>
    <w:p>
      <w:pPr>
        <w:pStyle w:val="Normal"/>
        <w:rPr/>
      </w:pPr>
      <w:r>
        <w:rPr>
          <w:rFonts w:cs="Calibri" w:cstheme="minorHAnsi"/>
        </w:rPr>
        <w:t xml:space="preserve">In this essay, </w:t>
      </w:r>
      <w:r>
        <w:rPr>
          <w:rFonts w:cs="Calibri" w:cstheme="minorHAnsi"/>
        </w:rPr>
        <w:t>different sources and trends</w:t>
      </w:r>
      <w:r>
        <w:rPr>
          <w:rFonts w:cs="Calibri" w:cstheme="minorHAnsi"/>
        </w:rPr>
        <w:t xml:space="preserve"> will be evaluat</w:t>
      </w:r>
      <w:r>
        <w:rPr>
          <w:rFonts w:cs="Calibri" w:cstheme="minorHAnsi"/>
        </w:rPr>
        <w:t>ed regarding</w:t>
      </w:r>
      <w:r>
        <w:rPr>
          <w:rFonts w:cs="Calibri" w:cstheme="minorHAnsi"/>
        </w:rPr>
        <w:t xml:space="preserve"> the positive and negative aspects of social media when dealing with incidents and weigh up the positives and negatives of high-profile cases, whether they draw offenders out as they seek notoriety or if they help spread an idea and cause a further spiral </w:t>
      </w:r>
      <w:r>
        <w:rPr>
          <w:rFonts w:cs="Calibri" w:cstheme="minorHAnsi"/>
        </w:rPr>
        <w:t>in incidents.</w:t>
      </w:r>
    </w:p>
    <w:p>
      <w:pPr>
        <w:pStyle w:val="Normal"/>
        <w:rPr>
          <w:rFonts w:cs="Calibri" w:cstheme="minorHAnsi"/>
        </w:rPr>
      </w:pPr>
      <w:r>
        <w:rPr>
          <w:rFonts w:cs="Calibri" w:cstheme="minorHAnsi"/>
        </w:rPr>
      </w:r>
    </w:p>
    <w:p>
      <w:pPr>
        <w:pStyle w:val="Normal"/>
        <w:rPr>
          <w:rFonts w:cs="Calibri" w:cstheme="minorHAnsi"/>
        </w:rPr>
      </w:pPr>
      <w:r>
        <w:rPr>
          <w:rFonts w:cs="Calibri" w:cstheme="minorHAnsi"/>
        </w:rPr>
        <w:t>Media attention concerning policing incidents such as high-profile incidents can cause a media frenzy have a similar effect on the general public and can increase fear. Potential positives would be identification of an offender, witnesses and even victims along with other lines of enquiry. Negatives would be any potential harm to the court case a high-profile case may bring and lines of enquiry that are not relevant and cause police to focus on irrelevant lines of enquiry.</w:t>
      </w:r>
    </w:p>
    <w:p>
      <w:pPr>
        <w:pStyle w:val="Normal"/>
        <w:rPr>
          <w:rFonts w:cs="Calibri" w:cstheme="minorHAnsi"/>
        </w:rPr>
      </w:pPr>
      <w:r>
        <w:rPr>
          <w:rFonts w:cs="Calibri" w:cstheme="minorHAnsi"/>
        </w:rPr>
      </w:r>
    </w:p>
    <w:p>
      <w:pPr>
        <w:pStyle w:val="Normal"/>
        <w:rPr/>
      </w:pPr>
      <w:r>
        <w:rPr>
          <w:rFonts w:cs="Calibri" w:cstheme="minorHAnsi"/>
        </w:rPr>
        <w:t xml:space="preserve">Cases that have attracted a lot of media attention are perfect examples of mixed responses due to media interest and the relationship of the media with police, offenders and victims. This would be the Holly and Jessica Chapman case where Ian Huntley put him firmly in the middle of the media involvement. </w:t>
      </w:r>
      <w:r>
        <w:rPr/>
        <w:t xml:space="preserve"> (BBC NEWS, 2022)</w:t>
      </w:r>
    </w:p>
    <w:p>
      <w:pPr>
        <w:pStyle w:val="Normal"/>
        <w:rPr/>
      </w:pPr>
      <w:r>
        <w:rPr/>
        <w:t>Due to the offender's (Huntley's) fascination with the case and the amount of interest he had shown and his answers to some questions in a few of the interviews he had done for the media due to him being a caretaker at the girl’s school lead journalists to become very suspicious of him. Due to this members of the public who knew Huntley from another area of the country came forward with information about Huntley's previous concerning behaviour involving children.  From this case the Bichard inquiry was conducted and due to this an improvement in police databases and intelligence was set up to prevent offenders from just changing areas and police forces having limited information on them.</w:t>
      </w:r>
    </w:p>
    <w:p>
      <w:pPr>
        <w:pStyle w:val="Normal"/>
        <w:rPr/>
      </w:pPr>
      <w:r>
        <w:rPr/>
      </w:r>
    </w:p>
    <w:p>
      <w:pPr>
        <w:pStyle w:val="Normal"/>
        <w:rPr/>
      </w:pPr>
      <w:r>
        <w:rPr/>
        <w:t>Another incident which is positive media attention is the Clapham acid attack from early February 2024 where the perpetrator's image was circulated across the UK (Grierson 2024) this left him very few places to hide as his image is everywhere online and in the news with widespread media coverage and attention due to the nature of the incident being an acid attack causing life changing injuries there is a lot of public and media attention regarding this male, The image circulated shows unique injuries that would stand out to the public and due to this is the perfect candidate for a widespread public appeal. The rise in acid attacks especially in domestic incidents due to the level of injury caused along with the long-term mental impact of these incidents on the victims/witnesses is one of the most violent and long-term damaging methods of injury. A reward of £20,000 was added for the offender in this incident which further increased public interest. The rise in these kinds of attacks particularly in the London area put the public and officers at risk as the corrosive substance could be anywhere and thrown at any time from any vessel causing irreparable damage to anyone it touches burning through skin and clothing. (BBC NEWS, 2023)</w:t>
      </w:r>
    </w:p>
    <w:p>
      <w:pPr>
        <w:pStyle w:val="Normal"/>
        <w:rPr>
          <w:rFonts w:cs="Calibri" w:cstheme="minorHAnsi"/>
        </w:rPr>
      </w:pPr>
      <w:r>
        <w:rPr/>
        <w:t>Many offenders seek notoriety such as American school shootings and messages displayed due to them being shared in the media and sharing a message, this seems to be mainly an American phenomenon but as detailed with Huntley a lot of media interest can cause offenders to want to be in the limelight and this can be their undoing. (TCR STAFF, 2019) These incidents will of course be of public interest but how they are reported and what information is sent out could prevent copycat incidents for others looking for fame in the media or to push their message such as the "I</w:t>
      </w:r>
      <w:r>
        <w:rPr>
          <w:rFonts w:cs="Calibri" w:cstheme="minorHAnsi"/>
        </w:rPr>
        <w:t xml:space="preserve">NCEL” movement in America and a few high profile incidents where INCEL is now a widely used term worldwide and known by a lot more people who would have previously been unaware especially within the police service. INCEL refers to involuntary celibate – Men who want to have sex but cannot and due to this they all join a chatroom together and hate women together, From this then they get further radicalised and numerous shootings have taken place for example PLYMOUTH in the UK </w:t>
      </w:r>
      <w:r>
        <w:rPr/>
        <w:t>(Weaver and Morris, 2021)</w:t>
      </w:r>
      <w:r>
        <w:rPr>
          <w:rFonts w:cs="Calibri" w:cstheme="minorHAnsi"/>
        </w:rPr>
        <w:t>. This group is usually associated with the Alt-right in America however has only gained fame through shootings and "manifestos" (BBC News, 2018) left by the offenders and posted online Elliot Rodger was the first high-profile incel offender where he gathered a lot of media attention and posted a lot of videos leading up to the incident and rationalising his behaviour along with a manifesto and why this was all happening to spread hate against women and men they deemed attractive.</w:t>
      </w:r>
    </w:p>
    <w:p>
      <w:pPr>
        <w:pStyle w:val="Normal"/>
        <w:rPr>
          <w:rFonts w:cs="Calibri" w:cstheme="minorHAnsi"/>
        </w:rPr>
      </w:pPr>
      <w:r>
        <w:rPr>
          <w:rFonts w:cs="Calibri" w:cstheme="minorHAnsi"/>
        </w:rPr>
      </w:r>
    </w:p>
    <w:p>
      <w:pPr>
        <w:pStyle w:val="Normal"/>
        <w:rPr/>
      </w:pPr>
      <w:r>
        <w:rPr>
          <w:rFonts w:cs="Calibri" w:cstheme="minorHAnsi"/>
        </w:rPr>
        <w:t>The examples above show both sides of media attention on policing incidents, some will draw out and identify the offender however others will have the message spread via the media and gain more traction causing more to join a group or an ideology causing a spiral for more to follow suit as is the case with any extremism if terror is the purpose the media is the perfect tool</w:t>
      </w:r>
      <w:r>
        <w:rPr/>
        <w:t>. (Katz n.d)  The use of media for a widespread appeal to identify someone or to get the public to phone the police if the offender is spotted especially if there is a financial reward will encourage vigilance from the public and in theory lead to the offender being swiftly located and brought to justice. Media coverage seems to be a grey area where when managed correctly can progress an investigation very well however in other incidents can cause more confusion and red herrings or even attract interest to a cause as demonstrated above.</w:t>
      </w:r>
    </w:p>
    <w:p>
      <w:pPr>
        <w:pStyle w:val="Normal"/>
        <w:rPr>
          <w:rFonts w:cs="Calibri" w:cstheme="minorHAnsi"/>
        </w:rPr>
      </w:pPr>
      <w:r>
        <w:rPr>
          <w:rFonts w:cs="Calibri" w:cstheme="minorHAnsi"/>
        </w:rPr>
      </w:r>
    </w:p>
    <w:p>
      <w:pPr>
        <w:pStyle w:val="Normal"/>
        <w:rPr/>
      </w:pPr>
      <w:r>
        <w:rPr/>
      </w:r>
    </w:p>
    <w:p>
      <w:pPr>
        <w:pStyle w:val="Normal"/>
        <w:rPr>
          <w:rFonts w:cs="Calibri" w:cstheme="minorHAnsi"/>
          <w:b/>
          <w:b/>
          <w:bCs/>
          <w:u w:val="single"/>
        </w:rPr>
      </w:pPr>
      <w:r>
        <w:rPr>
          <w:rFonts w:cs="Calibri" w:cstheme="minorHAnsi"/>
          <w:b/>
          <w:bCs/>
          <w:u w:val="single"/>
        </w:rPr>
        <w:t>Essay Five - "Despite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refer to relevant case studies.</w:t>
      </w:r>
    </w:p>
    <w:p>
      <w:pPr>
        <w:pStyle w:val="Normal"/>
        <w:rPr>
          <w:rFonts w:cs="Calibri" w:cstheme="minorHAnsi"/>
        </w:rPr>
      </w:pPr>
      <w:r>
        <w:rPr>
          <w:rFonts w:cs="Calibri" w:cstheme="minorHAnsi"/>
        </w:rPr>
      </w:r>
    </w:p>
    <w:p>
      <w:pPr>
        <w:pStyle w:val="Normal"/>
        <w:rPr/>
      </w:pPr>
      <w:r>
        <w:rPr>
          <w:rFonts w:cs="Calibri" w:cstheme="minorHAnsi"/>
        </w:rPr>
        <w:t xml:space="preserve">Throughout this essay the youth offending system along with the restorative justice elements and diversionary activities and the impact of this on offending </w:t>
      </w:r>
      <w:r>
        <w:rPr>
          <w:rFonts w:cs="Calibri" w:cstheme="minorHAnsi"/>
        </w:rPr>
        <w:t>will be looked from different perspectives with academic information</w:t>
      </w:r>
      <w:r>
        <w:rPr>
          <w:rFonts w:cs="Calibri" w:cstheme="minorHAnsi"/>
        </w:rPr>
        <w:t>, it would be difficult to address youth offending without addressing Adverse childhood experiences and the impact they can have on development or likelihood to commit to crimes.</w:t>
      </w:r>
    </w:p>
    <w:p>
      <w:pPr>
        <w:pStyle w:val="Normal"/>
        <w:rPr>
          <w:rFonts w:cs="Calibri" w:cstheme="minorHAnsi"/>
        </w:rPr>
      </w:pPr>
      <w:r>
        <w:rPr>
          <w:rFonts w:cs="Calibri" w:cstheme="minorHAnsi"/>
        </w:rPr>
      </w:r>
    </w:p>
    <w:p>
      <w:pPr>
        <w:pStyle w:val="Normal"/>
        <w:rPr>
          <w:rFonts w:cs="Calibri" w:cstheme="minorHAnsi"/>
        </w:rPr>
      </w:pPr>
      <w:r>
        <w:rPr>
          <w:rFonts w:cs="Calibri" w:cstheme="minorHAnsi"/>
        </w:rPr>
        <w:t>The approach by police, prison and other services generally is not to criminalise children or youths where possible and other pathways are available to children below 18 years old such as working with the youth offending service, there are youth offending prevention referrals (GOV.UK 2011) that can go in when a child is heading towards criminal involvement that can with parents permission put them on educational courses and get their engagement that way which can be very effective in preventing a decline into criminality.</w:t>
      </w:r>
    </w:p>
    <w:p>
      <w:pPr>
        <w:pStyle w:val="Normal"/>
        <w:rPr>
          <w:rFonts w:cs="Calibri" w:cstheme="minorHAnsi"/>
        </w:rPr>
      </w:pPr>
      <w:r>
        <w:rPr>
          <w:rFonts w:cs="Calibri" w:cstheme="minorHAnsi"/>
        </w:rPr>
      </w:r>
    </w:p>
    <w:p>
      <w:pPr>
        <w:pStyle w:val="Normal"/>
        <w:rPr/>
      </w:pPr>
      <w:r>
        <w:rPr>
          <w:rFonts w:cs="Calibri" w:cstheme="minorHAnsi"/>
        </w:rPr>
        <w:t xml:space="preserve">Youth offending teams (Gov. UK 2011) </w:t>
      </w:r>
      <w:r>
        <w:rPr/>
        <w:t>work with youths that are involved in criminality and offer support after the youth is arrested along with support in interviews by acting as an appropriate adult (Youth Justice Board for England and Wales2014), to help advise and guide them through the process along with offering support afterwards. These teams work with probation officers, children services along with housing and schools to help support youths in all aspects of their lives that can be affected by this criminality or arrest and will work with these other partner agencies to try and get the support available for them to further decrease their likelihood of re-offending. This includes working with families and mentoring them through the process and addressing any alcohol or drug issues from the youth which may be a factor in their involvement in criminality along with any issues within the family dynamic causing them not to want to be home potentially due to any domestic abuse going on within the home. These services also try to keep children in education where possible to not disrupt and strongly damage their future due to lack of education causing a spiral into criminality rather than pursuing education or sports to help get them engaged. Children in care are increasingly vulnerable due to criminality due to the disruptive nature of living in care, being moved around due to the different schools being attended they often end up in special education settings due to lack of attendance. These services also offer help regarding getting these youths at risk into employment and further education where possible to reduce the potential of re-offending.</w:t>
      </w:r>
    </w:p>
    <w:p>
      <w:pPr>
        <w:pStyle w:val="Normal"/>
        <w:rPr/>
      </w:pPr>
      <w:r>
        <w:rPr/>
      </w:r>
    </w:p>
    <w:p>
      <w:pPr>
        <w:pStyle w:val="Normal"/>
        <w:rPr/>
      </w:pPr>
      <w:r>
        <w:rPr/>
        <w:t>The age of criminal responsibility in the UK is 10 years of age (Gov.UK 2011) however this is not as black and white as it would appear that after the age of 10, someone can be liable to arrest however it is not always the most suitable unless in exceptional circumstances. In most cases, unless involved in violent or knife crime or other serious offences a child is not easily taken into police custody where a voluntary interview which is less intrusive and traumatic for the child is available, they still may end up in court and face detention however the time spent in custody may not be necessary without certain criteria being required as detailed by the college of policing below “</w:t>
      </w:r>
      <w:r>
        <w:rPr>
          <w:rFonts w:cs="Calibri" w:cstheme="minorHAnsi"/>
          <w:color w:val="000000"/>
          <w:spacing w:val="3"/>
        </w:rPr>
        <w:t xml:space="preserve">Officers should avoid holding children overnight in police cells unless necessary.” </w:t>
      </w:r>
      <w:r>
        <w:rPr/>
        <w:t>(College of Policing 2013) The potential harm to the public from the child must outweigh the damage of them potentially spending up to 24 hours in police custody and the potential mental impact this could have on them.</w:t>
      </w:r>
    </w:p>
    <w:p>
      <w:pPr>
        <w:pStyle w:val="Normal"/>
        <w:rPr/>
      </w:pPr>
      <w:r>
        <w:rPr/>
      </w:r>
    </w:p>
    <w:p>
      <w:pPr>
        <w:pStyle w:val="Normal"/>
        <w:rPr/>
      </w:pPr>
      <w:r>
        <w:rPr/>
        <w:t>I believe the response of rehabilitation especially on first-time offenders or low-level offences, I understand may feel soft to the victims of these incidents especially if it is low-level and a community resolution (College of Policing 2013) or a low-level penalty such as caution is offered instead of a sentence and court however the proportionality for youth offending the majority of the time is not there and education and rehabilitation is often more crucial to prevent further offences rather than condemnation and possible giving a child a criminal record for one incident of bad judgement at a young age.</w:t>
      </w:r>
    </w:p>
    <w:p>
      <w:pPr>
        <w:pStyle w:val="Normal"/>
        <w:rPr/>
      </w:pPr>
      <w:r>
        <w:rPr/>
      </w:r>
    </w:p>
    <w:p>
      <w:pPr>
        <w:pStyle w:val="Normal"/>
        <w:rPr/>
      </w:pPr>
      <w:r>
        <w:rPr/>
        <w:t>Adverse childhood experiences (NHS 2021) are elements within the young person's life that can affect their physical and mental health along with their behaviour, The more adverse experiences a child has had the more likely they are to enter into criminality or “deviant” behaviour. Some adverse experiences include substance misuse within the home, family members being arrested and frequent police attendance at the home, living with people with serious mental illnesses, the loss of a parent through death or divorce along with physical and sexual abuse which all give the youth trauma and seriously affects their mental development leading to issues long term which predisposes them to substance misuse and criminality along with physical and mental health issues as they mature. If a child has experienced domestic abuse, they are more likely to mimic this behaviour within their relationships as an adult, this is not guaranteed however statistically is a lot more likely.</w:t>
      </w:r>
    </w:p>
    <w:p>
      <w:pPr>
        <w:pStyle w:val="Normal"/>
        <w:rPr/>
      </w:pPr>
      <w:r>
        <w:rPr/>
      </w:r>
    </w:p>
    <w:p>
      <w:pPr>
        <w:pStyle w:val="Normal"/>
        <w:rPr>
          <w:rFonts w:cs="Calibri" w:cstheme="minorHAnsi"/>
        </w:rPr>
      </w:pPr>
      <w:r>
        <w:rPr/>
        <w:t>With all the above and the difficulties in dealing with children whilst also minimising harm I think a wider view should be applied when dealing with children to help prevent harm and instead try to educate and rehabilitate as if all the child knows at home is violence or abuse this will be mimicked outside the home and adding further stress and trauma due to arrest or being held in custody on their overnight or for 24 hours may not be proportionate. I believe youth justice in the UK is effective of course there are exceptions however I believe ACES is well known within the police and social services and these are effectively addressed where possible to limit harm and we always submit child at-risk referrals (College of Policing 2022) detailing any concerns which gets shared to health and social services to try and be involved with the youth and limit harm from police contact. A bigger picture like this should always be applied to youth offending as it is easy to just arrest and deal with them similar to adults however you could create a cycle where this will turn into a weekly occurrence without effective support and within a year a child who was previously unknown to the police can become a regular name involved in most incidents due to their decline into criminality.</w:t>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b/>
          <w:b/>
          <w:bCs/>
          <w:u w:val="single"/>
        </w:rPr>
      </w:pPr>
      <w:r>
        <w:rPr/>
      </w:r>
    </w:p>
    <w:p>
      <w:pPr>
        <w:pStyle w:val="Normal"/>
        <w:rPr>
          <w:rFonts w:cs="Calibri" w:cstheme="minorHAnsi"/>
          <w:b/>
          <w:b/>
          <w:bCs/>
          <w:u w:val="single"/>
        </w:rPr>
      </w:pPr>
      <w:r>
        <w:rPr>
          <w:rFonts w:cs="Calibri" w:cstheme="minorHAnsi"/>
          <w:b/>
          <w:bCs/>
          <w:u w:val="single"/>
        </w:rPr>
        <w:t>Bibliography</w:t>
      </w:r>
    </w:p>
    <w:p>
      <w:pPr>
        <w:pStyle w:val="NormalWeb"/>
        <w:spacing w:lineRule="atLeast" w:line="360" w:beforeAutospacing="0" w:before="0" w:afterAutospacing="0" w:after="0"/>
        <w:rPr/>
      </w:pPr>
      <w:r>
        <w:rPr>
          <w:rFonts w:cs="Calibri" w:ascii="Calibri" w:hAnsi="Calibri"/>
          <w:color w:val="000000"/>
          <w:sz w:val="27"/>
          <w:szCs w:val="27"/>
        </w:rPr>
        <w:t>Lewsey, F. (2022). </w:t>
      </w:r>
      <w:r>
        <w:rPr>
          <w:rFonts w:cs="Calibri" w:ascii="Calibri" w:hAnsi="Calibri"/>
          <w:i/>
          <w:iCs/>
          <w:color w:val="000000"/>
          <w:sz w:val="27"/>
          <w:szCs w:val="27"/>
        </w:rPr>
        <w:t>UK policing: psychological damage among officers heightened by bad working conditions</w:t>
      </w:r>
      <w:r>
        <w:rPr>
          <w:rFonts w:cs="Calibri" w:ascii="Calibri" w:hAnsi="Calibri"/>
          <w:color w:val="000000"/>
          <w:sz w:val="27"/>
          <w:szCs w:val="27"/>
        </w:rPr>
        <w:t xml:space="preserve">. [online] University of Cambridge. Available at: </w:t>
      </w:r>
      <w:hyperlink r:id="rId4">
        <w:r>
          <w:rPr>
            <w:rStyle w:val="InternetLink"/>
            <w:rFonts w:cs="Calibri" w:ascii="Calibri" w:hAnsi="Calibri"/>
            <w:sz w:val="27"/>
            <w:szCs w:val="27"/>
          </w:rPr>
          <w:t>https://www.cam.ac.uk/research/news/uk-policing-psychological-damage-among-officers-heightened-by-bad-working-conditions</w:t>
        </w:r>
      </w:hyperlink>
      <w:r>
        <w:rPr>
          <w:rFonts w:cs="Calibri" w:ascii="Calibri" w:hAnsi="Calibri"/>
          <w:color w:val="000000"/>
          <w:sz w:val="27"/>
          <w:szCs w:val="27"/>
        </w:rPr>
        <w:t>. Accessed 19/02/2024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t>Police, Kent (2021). </w:t>
      </w:r>
      <w:r>
        <w:rPr>
          <w:rFonts w:cs="Calibri" w:ascii="Calibri" w:hAnsi="Calibri"/>
          <w:i/>
          <w:iCs/>
          <w:color w:val="000000"/>
          <w:sz w:val="27"/>
          <w:szCs w:val="27"/>
        </w:rPr>
        <w:t>Trauma risk incident management (TRIM)</w:t>
      </w:r>
      <w:r>
        <w:rPr>
          <w:rFonts w:cs="Calibri" w:ascii="Calibri" w:hAnsi="Calibri"/>
          <w:color w:val="000000"/>
          <w:sz w:val="27"/>
          <w:szCs w:val="27"/>
        </w:rPr>
        <w:t>. [online] Kent police. Available at: https://www.kent.police.uk/foi-ai/kent-police/Policy/human-resources/trauma-risk-incident-management-trim-protocol-l11260/ [Accessed 10 Feb. 2024].</w:t>
      </w:r>
    </w:p>
    <w:p>
      <w:pPr>
        <w:pStyle w:val="NormalWeb"/>
        <w:spacing w:lineRule="atLeast" w:line="360" w:beforeAutospacing="0" w:before="0" w:afterAutospacing="0" w:after="0"/>
        <w:rPr/>
      </w:pPr>
      <w:r>
        <w:rPr>
          <w:rFonts w:cs="Calibri" w:ascii="Calibri" w:hAnsi="Calibri"/>
          <w:color w:val="000000"/>
          <w:sz w:val="27"/>
          <w:szCs w:val="27"/>
        </w:rPr>
        <w:t>‌</w:t>
      </w:r>
      <w:r>
        <w:rPr>
          <w:rFonts w:cs="Calibri" w:ascii="Calibri" w:hAnsi="Calibri"/>
          <w:color w:val="000000"/>
          <w:sz w:val="27"/>
          <w:szCs w:val="27"/>
        </w:rPr>
        <w:t>FindLaw (2018). </w:t>
      </w:r>
      <w:r>
        <w:rPr>
          <w:rFonts w:cs="Calibri" w:ascii="Calibri" w:hAnsi="Calibri"/>
          <w:i/>
          <w:iCs/>
          <w:color w:val="000000"/>
          <w:sz w:val="27"/>
          <w:szCs w:val="27"/>
        </w:rPr>
        <w:t>Domestic Violence: History of Police Responses</w:t>
      </w:r>
      <w:r>
        <w:rPr>
          <w:rFonts w:cs="Calibri" w:ascii="Calibri" w:hAnsi="Calibri"/>
          <w:color w:val="000000"/>
          <w:sz w:val="27"/>
          <w:szCs w:val="27"/>
        </w:rPr>
        <w:t xml:space="preserve">. [online] Findlaw. Available at: </w:t>
      </w:r>
      <w:hyperlink r:id="rId5">
        <w:r>
          <w:rPr>
            <w:rStyle w:val="InternetLink"/>
            <w:rFonts w:cs="Calibri" w:ascii="Calibri" w:hAnsi="Calibri"/>
            <w:sz w:val="27"/>
            <w:szCs w:val="27"/>
          </w:rPr>
          <w:t>https://www.findlaw.com/family/domestic-violence/domestic-violence-history-of-police-responses.html</w:t>
        </w:r>
      </w:hyperlink>
      <w:r>
        <w:rPr>
          <w:rFonts w:cs="Calibri" w:ascii="Calibri" w:hAnsi="Calibri"/>
          <w:color w:val="000000"/>
          <w:sz w:val="27"/>
          <w:szCs w:val="27"/>
        </w:rPr>
        <w:t>. (accessed 10/02/24)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Gibbs, P. (2018). </w:t>
      </w:r>
      <w:r>
        <w:rPr>
          <w:rFonts w:cs="Calibri" w:ascii="Calibri" w:hAnsi="Calibri"/>
          <w:i/>
          <w:iCs/>
          <w:color w:val="000000"/>
          <w:sz w:val="27"/>
          <w:szCs w:val="27"/>
        </w:rPr>
        <w:t>Rethinking the police approach to domestic abuse</w:t>
      </w:r>
      <w:r>
        <w:rPr>
          <w:rFonts w:cs="Calibri" w:ascii="Calibri" w:hAnsi="Calibri"/>
          <w:color w:val="000000"/>
          <w:sz w:val="27"/>
          <w:szCs w:val="27"/>
        </w:rPr>
        <w:t xml:space="preserve">. [online] The Police Foundation. Available at: </w:t>
      </w:r>
      <w:hyperlink r:id="rId6">
        <w:r>
          <w:rPr>
            <w:rStyle w:val="InternetLink"/>
            <w:rFonts w:cs="Calibri" w:ascii="Calibri" w:hAnsi="Calibri"/>
            <w:sz w:val="27"/>
            <w:szCs w:val="27"/>
          </w:rPr>
          <w:t>https://www.police-foundation.org.uk/2018/09/rethinking-the-police-approach-to-domestic-abuse/</w:t>
        </w:r>
      </w:hyperlink>
      <w:r>
        <w:rPr>
          <w:rFonts w:cs="Calibri" w:ascii="Calibri" w:hAnsi="Calibri"/>
          <w:color w:val="000000"/>
          <w:sz w:val="27"/>
          <w:szCs w:val="27"/>
        </w:rPr>
        <w:t>. (Accessed 10/02/2024)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Syal, R. and editor, R.S.H. affairs (2023). Police in England and Wales dealing with more mental health crises than ever. </w:t>
      </w:r>
      <w:r>
        <w:rPr>
          <w:rFonts w:cs="Calibri" w:ascii="Calibri" w:hAnsi="Calibri"/>
          <w:i/>
          <w:iCs/>
          <w:color w:val="000000"/>
          <w:sz w:val="27"/>
          <w:szCs w:val="27"/>
        </w:rPr>
        <w:t>The Guardian</w:t>
      </w:r>
      <w:r>
        <w:rPr>
          <w:rFonts w:cs="Calibri" w:ascii="Calibri" w:hAnsi="Calibri"/>
          <w:color w:val="000000"/>
          <w:sz w:val="27"/>
          <w:szCs w:val="27"/>
        </w:rPr>
        <w:t xml:space="preserve">. [online] 21 Feb. Available at: </w:t>
      </w:r>
      <w:hyperlink r:id="rId7">
        <w:r>
          <w:rPr>
            <w:rStyle w:val="InternetLink"/>
            <w:rFonts w:cs="Calibri" w:ascii="Calibri" w:hAnsi="Calibri"/>
            <w:sz w:val="27"/>
            <w:szCs w:val="27"/>
          </w:rPr>
          <w:t>https://www.theguardian.com/uk-news/2023/feb/21/mental-health-crises-police-england-and-wales</w:t>
        </w:r>
      </w:hyperlink>
      <w:r>
        <w:rPr>
          <w:rFonts w:cs="Calibri" w:ascii="Calibri" w:hAnsi="Calibri"/>
          <w:color w:val="000000"/>
          <w:sz w:val="27"/>
          <w:szCs w:val="27"/>
        </w:rPr>
        <w:t>. (accessed 07/02/2024)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w:t>
      </w:r>
      <w:r>
        <w:rPr>
          <w:rFonts w:cs="Calibri" w:ascii="Calibri" w:hAnsi="Calibri"/>
          <w:color w:val="000000"/>
          <w:sz w:val="27"/>
          <w:szCs w:val="27"/>
        </w:rPr>
        <w:t>College of Policing (2022). </w:t>
      </w:r>
      <w:r>
        <w:rPr>
          <w:rFonts w:cs="Calibri" w:ascii="Calibri" w:hAnsi="Calibri"/>
          <w:i/>
          <w:iCs/>
          <w:color w:val="000000"/>
          <w:sz w:val="27"/>
          <w:szCs w:val="27"/>
        </w:rPr>
        <w:t>Diversity and inclusion</w:t>
      </w:r>
      <w:r>
        <w:rPr>
          <w:rFonts w:cs="Calibri" w:ascii="Calibri" w:hAnsi="Calibri"/>
          <w:color w:val="000000"/>
          <w:sz w:val="27"/>
          <w:szCs w:val="27"/>
        </w:rPr>
        <w:t xml:space="preserve">. [online] College of Policing. Available at: </w:t>
      </w:r>
      <w:hyperlink r:id="rId8">
        <w:r>
          <w:rPr>
            <w:rStyle w:val="InternetLink"/>
            <w:rFonts w:cs="Calibri" w:ascii="Calibri" w:hAnsi="Calibri"/>
            <w:sz w:val="27"/>
            <w:szCs w:val="27"/>
          </w:rPr>
          <w:t>https://www.college.police.uk/support-forces/diversity-and-inclusion</w:t>
        </w:r>
      </w:hyperlink>
      <w:r>
        <w:rPr>
          <w:rFonts w:cs="Calibri" w:ascii="Calibri" w:hAnsi="Calibri"/>
          <w:color w:val="000000"/>
          <w:sz w:val="27"/>
          <w:szCs w:val="27"/>
        </w:rPr>
        <w:t>. (Accessed 19/02/2024)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Wolfe-Robinson, M. and Dodd, V. (2021). </w:t>
      </w:r>
      <w:r>
        <w:rPr>
          <w:rFonts w:cs="Calibri" w:ascii="Calibri" w:hAnsi="Calibri"/>
          <w:i/>
          <w:iCs/>
          <w:color w:val="000000"/>
          <w:sz w:val="27"/>
          <w:szCs w:val="27"/>
        </w:rPr>
        <w:t>Institutional misogyny ‘erodes women’s trust in UK police’</w:t>
      </w:r>
      <w:r>
        <w:rPr>
          <w:rFonts w:cs="Calibri" w:ascii="Calibri" w:hAnsi="Calibri"/>
          <w:color w:val="000000"/>
          <w:sz w:val="27"/>
          <w:szCs w:val="27"/>
        </w:rPr>
        <w:t xml:space="preserve">. [online] The Guardian. Available at: </w:t>
      </w:r>
      <w:hyperlink r:id="rId9">
        <w:r>
          <w:rPr>
            <w:rStyle w:val="InternetLink"/>
            <w:rFonts w:cs="Calibri" w:ascii="Calibri" w:hAnsi="Calibri"/>
            <w:sz w:val="27"/>
            <w:szCs w:val="27"/>
          </w:rPr>
          <w:t>https://www.theguardian.com/uk-news/2021/mar/16/institutional-misogyny-erodes-womens-trust-in-uk-police</w:t>
        </w:r>
      </w:hyperlink>
      <w:r>
        <w:rPr>
          <w:rFonts w:cs="Calibri" w:ascii="Calibri" w:hAnsi="Calibri"/>
          <w:color w:val="000000"/>
          <w:sz w:val="27"/>
          <w:szCs w:val="27"/>
        </w:rPr>
        <w:t>. (Accessed 01/01/2024)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BBC NEWS (2021). Sarah Everard murder: Wayne Couzens handed whole-life sentence. </w:t>
      </w:r>
      <w:r>
        <w:rPr>
          <w:rFonts w:cs="Calibri" w:ascii="Calibri" w:hAnsi="Calibri"/>
          <w:i/>
          <w:iCs/>
          <w:color w:val="000000"/>
          <w:sz w:val="27"/>
          <w:szCs w:val="27"/>
        </w:rPr>
        <w:t>BBC News</w:t>
      </w:r>
      <w:r>
        <w:rPr>
          <w:rFonts w:cs="Calibri" w:ascii="Calibri" w:hAnsi="Calibri"/>
          <w:color w:val="000000"/>
          <w:sz w:val="27"/>
          <w:szCs w:val="27"/>
        </w:rPr>
        <w:t xml:space="preserve">. [online] 30 Sep. Available at: </w:t>
      </w:r>
      <w:hyperlink r:id="rId10">
        <w:r>
          <w:rPr>
            <w:rStyle w:val="InternetLink"/>
            <w:rFonts w:cs="Calibri" w:ascii="Calibri" w:hAnsi="Calibri"/>
            <w:sz w:val="27"/>
            <w:szCs w:val="27"/>
          </w:rPr>
          <w:t>https://www.bbc.co.uk/news/uk-england-london-58747614</w:t>
        </w:r>
      </w:hyperlink>
      <w:r>
        <w:rPr>
          <w:rFonts w:cs="Calibri" w:ascii="Calibri" w:hAnsi="Calibri"/>
          <w:color w:val="000000"/>
          <w:sz w:val="27"/>
          <w:szCs w:val="27"/>
        </w:rPr>
        <w:t>. (Accessed 10/02/2024)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t>www.newinnprimary.co.uk. (n.d.). </w:t>
      </w:r>
      <w:r>
        <w:rPr>
          <w:rFonts w:cs="Calibri" w:ascii="Calibri" w:hAnsi="Calibri"/>
          <w:i/>
          <w:iCs/>
          <w:color w:val="000000"/>
          <w:sz w:val="27"/>
          <w:szCs w:val="27"/>
        </w:rPr>
        <w:t>Heddlu Bach | New Inn Primary School</w:t>
      </w:r>
      <w:r>
        <w:rPr>
          <w:rFonts w:cs="Calibri" w:ascii="Calibri" w:hAnsi="Calibri"/>
          <w:color w:val="000000"/>
          <w:sz w:val="27"/>
          <w:szCs w:val="27"/>
        </w:rPr>
        <w:t xml:space="preserve">. [online] Available at: https://www.newinnprimary.co.uk/heddlu-bach/ [Accessed 19 Feb. 2024]. </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College of Policing (2013). </w:t>
      </w:r>
      <w:r>
        <w:rPr>
          <w:rFonts w:cs="Calibri" w:ascii="Calibri" w:hAnsi="Calibri"/>
          <w:i/>
          <w:iCs/>
          <w:color w:val="000000"/>
          <w:sz w:val="27"/>
          <w:szCs w:val="27"/>
        </w:rPr>
        <w:t>Engagement</w:t>
      </w:r>
      <w:r>
        <w:rPr>
          <w:rFonts w:cs="Calibri" w:ascii="Calibri" w:hAnsi="Calibri"/>
          <w:color w:val="000000"/>
          <w:sz w:val="27"/>
          <w:szCs w:val="27"/>
        </w:rPr>
        <w:t xml:space="preserve">. [online] College of Policing. Available at: </w:t>
      </w:r>
      <w:hyperlink r:id="rId11">
        <w:r>
          <w:rPr>
            <w:rStyle w:val="InternetLink"/>
            <w:rFonts w:cs="Calibri" w:ascii="Calibri" w:hAnsi="Calibri"/>
            <w:sz w:val="27"/>
            <w:szCs w:val="27"/>
          </w:rPr>
          <w:t>https://www.college.police.uk/app/engagement-and-communication/engagement</w:t>
        </w:r>
      </w:hyperlink>
      <w:r>
        <w:rPr>
          <w:rFonts w:cs="Calibri" w:ascii="Calibri" w:hAnsi="Calibri"/>
          <w:color w:val="000000"/>
          <w:sz w:val="27"/>
          <w:szCs w:val="27"/>
        </w:rPr>
        <w:t>. (Accessed 10/02/2024)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College of Policing. (n.d.). </w:t>
      </w:r>
      <w:r>
        <w:rPr>
          <w:rFonts w:cs="Calibri" w:ascii="Calibri" w:hAnsi="Calibri"/>
          <w:i/>
          <w:iCs/>
          <w:color w:val="000000"/>
          <w:sz w:val="27"/>
          <w:szCs w:val="27"/>
        </w:rPr>
        <w:t>Introduction and types of critical incidents</w:t>
      </w:r>
      <w:r>
        <w:rPr>
          <w:rFonts w:cs="Calibri" w:ascii="Calibri" w:hAnsi="Calibri"/>
          <w:color w:val="000000"/>
          <w:sz w:val="27"/>
          <w:szCs w:val="27"/>
        </w:rPr>
        <w:t xml:space="preserve">. [online] Available at: </w:t>
      </w:r>
      <w:r>
        <w:fldChar w:fldCharType="begin"/>
      </w:r>
      <w:r>
        <w:rPr>
          <w:rStyle w:val="InternetLink"/>
          <w:sz w:val="27"/>
          <w:szCs w:val="27"/>
          <w:rFonts w:cs="Calibri" w:ascii="Calibri" w:hAnsi="Calibri"/>
        </w:rPr>
        <w:instrText> HYPERLINK "https://www.college.police.uk/app/critical-incident-management/introduction-and-types-critical-incidents" \l "case-study-fiona-pilkington"</w:instrText>
      </w:r>
      <w:r>
        <w:rPr>
          <w:rStyle w:val="InternetLink"/>
          <w:sz w:val="27"/>
          <w:szCs w:val="27"/>
          <w:rFonts w:cs="Calibri" w:ascii="Calibri" w:hAnsi="Calibri"/>
        </w:rPr>
        <w:fldChar w:fldCharType="separate"/>
      </w:r>
      <w:r>
        <w:rPr>
          <w:rStyle w:val="InternetLink"/>
          <w:rFonts w:cs="Calibri" w:ascii="Calibri" w:hAnsi="Calibri"/>
          <w:sz w:val="27"/>
          <w:szCs w:val="27"/>
        </w:rPr>
        <w:t>https://www.college.police.uk/app/critical-incident-management/introduction-and-types-critical-incidents#case-study-fiona-pilkington</w:t>
      </w:r>
      <w:r>
        <w:rPr>
          <w:rStyle w:val="InternetLink"/>
          <w:sz w:val="27"/>
          <w:szCs w:val="27"/>
          <w:rFonts w:cs="Calibri" w:ascii="Calibri" w:hAnsi="Calibri"/>
        </w:rPr>
        <w:fldChar w:fldCharType="end"/>
      </w:r>
      <w:r>
        <w:rPr>
          <w:rFonts w:cs="Calibri" w:ascii="Calibri" w:hAnsi="Calibri"/>
          <w:color w:val="000000"/>
          <w:sz w:val="27"/>
          <w:szCs w:val="27"/>
        </w:rPr>
        <w:t>. (Accessed 12/02/2024)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George Floyd death: Thousands join UK protests. (2020). </w:t>
      </w:r>
      <w:r>
        <w:rPr>
          <w:rFonts w:cs="Calibri" w:ascii="Calibri" w:hAnsi="Calibri"/>
          <w:i/>
          <w:iCs/>
          <w:color w:val="000000"/>
          <w:sz w:val="27"/>
          <w:szCs w:val="27"/>
        </w:rPr>
        <w:t>BBC News</w:t>
      </w:r>
      <w:r>
        <w:rPr>
          <w:rFonts w:cs="Calibri" w:ascii="Calibri" w:hAnsi="Calibri"/>
          <w:color w:val="000000"/>
          <w:sz w:val="27"/>
          <w:szCs w:val="27"/>
        </w:rPr>
        <w:t xml:space="preserve">. [online] 31 May. Available at: </w:t>
      </w:r>
      <w:hyperlink r:id="rId12">
        <w:r>
          <w:rPr>
            <w:rStyle w:val="InternetLink"/>
            <w:rFonts w:cs="Calibri" w:ascii="Calibri" w:hAnsi="Calibri"/>
            <w:sz w:val="27"/>
            <w:szCs w:val="27"/>
          </w:rPr>
          <w:t>https://www.bbc.com/news/uk-england-london-52868465</w:t>
        </w:r>
      </w:hyperlink>
      <w:r>
        <w:rPr>
          <w:rFonts w:cs="Calibri" w:ascii="Calibri" w:hAnsi="Calibri"/>
          <w:color w:val="000000"/>
          <w:sz w:val="27"/>
          <w:szCs w:val="27"/>
        </w:rPr>
        <w:t>. (Accessed 08/02/2024)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BBC (2020). Breonna Taylor: What happened on the night of her death? </w:t>
      </w:r>
      <w:r>
        <w:rPr>
          <w:rFonts w:cs="Calibri" w:ascii="Calibri" w:hAnsi="Calibri"/>
          <w:i/>
          <w:iCs/>
          <w:color w:val="000000"/>
          <w:sz w:val="27"/>
          <w:szCs w:val="27"/>
        </w:rPr>
        <w:t>BBC News</w:t>
      </w:r>
      <w:r>
        <w:rPr>
          <w:rFonts w:cs="Calibri" w:ascii="Calibri" w:hAnsi="Calibri"/>
          <w:color w:val="000000"/>
          <w:sz w:val="27"/>
          <w:szCs w:val="27"/>
        </w:rPr>
        <w:t xml:space="preserve">. [online] 8 Oct. Available at: </w:t>
      </w:r>
      <w:hyperlink r:id="rId13">
        <w:r>
          <w:rPr>
            <w:rStyle w:val="InternetLink"/>
            <w:rFonts w:cs="Calibri" w:ascii="Calibri" w:hAnsi="Calibri"/>
            <w:sz w:val="27"/>
            <w:szCs w:val="27"/>
          </w:rPr>
          <w:t>https://www.bbc.co.uk/news/world-us-canada-54210448</w:t>
        </w:r>
      </w:hyperlink>
      <w:r>
        <w:rPr>
          <w:rFonts w:cs="Calibri" w:ascii="Calibri" w:hAnsi="Calibri"/>
          <w:color w:val="000000"/>
          <w:sz w:val="27"/>
          <w:szCs w:val="27"/>
        </w:rPr>
        <w:t>. (Accessed 13/02/2024)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BBC (2022). Soham murders: Ian Huntley’s Press Interviews Alerted Police. </w:t>
      </w:r>
      <w:r>
        <w:rPr>
          <w:rFonts w:cs="Calibri" w:ascii="Calibri" w:hAnsi="Calibri"/>
          <w:i/>
          <w:iCs/>
          <w:color w:val="000000"/>
          <w:sz w:val="27"/>
          <w:szCs w:val="27"/>
        </w:rPr>
        <w:t>BBC News</w:t>
      </w:r>
      <w:r>
        <w:rPr>
          <w:rFonts w:cs="Calibri" w:ascii="Calibri" w:hAnsi="Calibri"/>
          <w:color w:val="000000"/>
          <w:sz w:val="27"/>
          <w:szCs w:val="27"/>
        </w:rPr>
        <w:t xml:space="preserve">. [online] 4 Aug. Available at: </w:t>
      </w:r>
      <w:hyperlink r:id="rId14">
        <w:r>
          <w:rPr>
            <w:rStyle w:val="InternetLink"/>
            <w:rFonts w:cs="Calibri" w:ascii="Calibri" w:hAnsi="Calibri"/>
            <w:sz w:val="27"/>
            <w:szCs w:val="27"/>
          </w:rPr>
          <w:t>https://www.bbc.co.uk/news/uk-england-cambridgeshire-62335807</w:t>
        </w:r>
      </w:hyperlink>
      <w:r>
        <w:rPr>
          <w:rFonts w:cs="Calibri" w:ascii="Calibri" w:hAnsi="Calibri"/>
          <w:color w:val="000000"/>
          <w:sz w:val="27"/>
          <w:szCs w:val="27"/>
        </w:rPr>
        <w:t>. (Accessed 02/02/2024)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t xml:space="preserve">Grierson, J. (2024). Clapham chemical attack suspect had been in a relationship with the victim, police reveal. </w:t>
      </w:r>
      <w:r>
        <w:rPr>
          <w:rFonts w:cs="Calibri" w:ascii="Calibri" w:hAnsi="Calibri"/>
          <w:i/>
          <w:iCs/>
          <w:color w:val="000000"/>
          <w:sz w:val="27"/>
          <w:szCs w:val="27"/>
        </w:rPr>
        <w:t>The Guardian</w:t>
      </w:r>
      <w:r>
        <w:rPr>
          <w:rFonts w:cs="Calibri" w:ascii="Calibri" w:hAnsi="Calibri"/>
          <w:color w:val="000000"/>
          <w:sz w:val="27"/>
          <w:szCs w:val="27"/>
        </w:rPr>
        <w:t>. [online] 7 Feb. Available at: https://www.theguardian.com/uk-news/2024/feb/07/abdul-ezedi-clapham-chemical-attack-suspect-had-been-in-a-relationship-with-victim-police-reveal [Accessed 19 Feb. 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Acid attacks rise in London - data. (2023). </w:t>
      </w:r>
      <w:r>
        <w:rPr>
          <w:rFonts w:cs="Calibri" w:ascii="Calibri" w:hAnsi="Calibri"/>
          <w:i/>
          <w:iCs/>
          <w:color w:val="000000"/>
          <w:sz w:val="27"/>
          <w:szCs w:val="27"/>
        </w:rPr>
        <w:t>BBC News</w:t>
      </w:r>
      <w:r>
        <w:rPr>
          <w:rFonts w:cs="Calibri" w:ascii="Calibri" w:hAnsi="Calibri"/>
          <w:color w:val="000000"/>
          <w:sz w:val="27"/>
          <w:szCs w:val="27"/>
        </w:rPr>
        <w:t xml:space="preserve">. [online] 19 Oct. Available at: </w:t>
      </w:r>
      <w:hyperlink r:id="rId15">
        <w:r>
          <w:rPr>
            <w:rStyle w:val="InternetLink"/>
            <w:rFonts w:cs="Calibri" w:ascii="Calibri" w:hAnsi="Calibri"/>
            <w:sz w:val="27"/>
            <w:szCs w:val="27"/>
          </w:rPr>
          <w:t>https://www.bbc.co.uk/news/uk-england-london-67148202</w:t>
        </w:r>
      </w:hyperlink>
      <w:r>
        <w:rPr>
          <w:rFonts w:cs="Calibri" w:ascii="Calibri" w:hAnsi="Calibri"/>
          <w:color w:val="000000"/>
          <w:sz w:val="27"/>
          <w:szCs w:val="27"/>
        </w:rPr>
        <w:t>. (Accessed 19/02/2024)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TCR Staff (2019). </w:t>
      </w:r>
      <w:r>
        <w:rPr>
          <w:rFonts w:cs="Calibri" w:ascii="Calibri" w:hAnsi="Calibri"/>
          <w:i/>
          <w:iCs/>
          <w:color w:val="000000"/>
          <w:sz w:val="27"/>
          <w:szCs w:val="27"/>
        </w:rPr>
        <w:t>How the Media Abets ‘Fame-Seeking’ Mass Shooters | The Crime Report</w:t>
      </w:r>
      <w:r>
        <w:rPr>
          <w:rFonts w:cs="Calibri" w:ascii="Calibri" w:hAnsi="Calibri"/>
          <w:color w:val="000000"/>
          <w:sz w:val="27"/>
          <w:szCs w:val="27"/>
        </w:rPr>
        <w:t xml:space="preserve">. [online] The Crime Report. Available at: </w:t>
      </w:r>
      <w:hyperlink r:id="rId16">
        <w:r>
          <w:rPr>
            <w:rStyle w:val="InternetLink"/>
            <w:rFonts w:cs="Calibri" w:ascii="Calibri" w:hAnsi="Calibri"/>
            <w:sz w:val="27"/>
            <w:szCs w:val="27"/>
          </w:rPr>
          <w:t>https://thecrimereport.org/2019/10/11/fame-seeking-mass-shooters-get-the-attention-they-want-study/</w:t>
        </w:r>
      </w:hyperlink>
      <w:r>
        <w:rPr>
          <w:rFonts w:cs="Calibri" w:ascii="Calibri" w:hAnsi="Calibri"/>
          <w:color w:val="000000"/>
          <w:sz w:val="27"/>
          <w:szCs w:val="27"/>
        </w:rPr>
        <w:t>. (Accessed 16/02/2024)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Weaver, M. and Morris, S. (2021). </w:t>
      </w:r>
      <w:r>
        <w:rPr>
          <w:rFonts w:cs="Calibri" w:ascii="Calibri" w:hAnsi="Calibri"/>
          <w:i/>
          <w:iCs/>
          <w:color w:val="000000"/>
          <w:sz w:val="27"/>
          <w:szCs w:val="27"/>
        </w:rPr>
        <w:t>Plymouth gunman: a hate-filled misogynist and ‘incel’</w:t>
      </w:r>
      <w:r>
        <w:rPr>
          <w:rFonts w:cs="Calibri" w:ascii="Calibri" w:hAnsi="Calibri"/>
          <w:color w:val="000000"/>
          <w:sz w:val="27"/>
          <w:szCs w:val="27"/>
        </w:rPr>
        <w:t xml:space="preserve">. [online] The Guardian. Available at: </w:t>
      </w:r>
      <w:hyperlink r:id="rId17">
        <w:r>
          <w:rPr>
            <w:rStyle w:val="InternetLink"/>
            <w:rFonts w:cs="Calibri" w:ascii="Calibri" w:hAnsi="Calibri"/>
            <w:sz w:val="27"/>
            <w:szCs w:val="27"/>
          </w:rPr>
          <w:t>https://www.theguardian.com/uk-news/2021/aug/13/plymouth-shooting-suspect-what-we-know-jake-davison</w:t>
        </w:r>
      </w:hyperlink>
      <w:r>
        <w:rPr>
          <w:rFonts w:cs="Calibri" w:ascii="Calibri" w:hAnsi="Calibri"/>
          <w:color w:val="000000"/>
          <w:sz w:val="27"/>
          <w:szCs w:val="27"/>
        </w:rPr>
        <w:t xml:space="preserve">. (Accessed 19/02/2024) </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w:t>
      </w:r>
      <w:r>
        <w:rPr>
          <w:rFonts w:cs="Calibri" w:ascii="Calibri" w:hAnsi="Calibri"/>
          <w:color w:val="000000"/>
          <w:sz w:val="27"/>
          <w:szCs w:val="27"/>
        </w:rPr>
        <w:t>BBC News (2018). How rampage killer became misogynist ‘hero’. </w:t>
      </w:r>
      <w:r>
        <w:rPr>
          <w:rFonts w:cs="Calibri" w:ascii="Calibri" w:hAnsi="Calibri"/>
          <w:i/>
          <w:iCs/>
          <w:color w:val="000000"/>
          <w:sz w:val="27"/>
          <w:szCs w:val="27"/>
        </w:rPr>
        <w:t>BBC News</w:t>
      </w:r>
      <w:r>
        <w:rPr>
          <w:rFonts w:cs="Calibri" w:ascii="Calibri" w:hAnsi="Calibri"/>
          <w:color w:val="000000"/>
          <w:sz w:val="27"/>
          <w:szCs w:val="27"/>
        </w:rPr>
        <w:t xml:space="preserve">. [online] 26 Apr. Available at: </w:t>
      </w:r>
      <w:hyperlink r:id="rId18">
        <w:r>
          <w:rPr>
            <w:rStyle w:val="InternetLink"/>
            <w:rFonts w:cs="Calibri" w:ascii="Calibri" w:hAnsi="Calibri"/>
            <w:sz w:val="27"/>
            <w:szCs w:val="27"/>
          </w:rPr>
          <w:t>https://www.bbc.co.uk/news/world-us-canada-43892189</w:t>
        </w:r>
      </w:hyperlink>
      <w:r>
        <w:rPr>
          <w:rFonts w:cs="Calibri" w:ascii="Calibri" w:hAnsi="Calibri"/>
          <w:color w:val="000000"/>
          <w:sz w:val="27"/>
          <w:szCs w:val="27"/>
        </w:rPr>
        <w:t>. (Accessed 02/02/2024)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Katz, M. (n.d.). </w:t>
      </w:r>
      <w:r>
        <w:rPr>
          <w:rFonts w:cs="Calibri" w:ascii="Calibri" w:hAnsi="Calibri"/>
          <w:i/>
          <w:iCs/>
          <w:color w:val="000000"/>
          <w:sz w:val="27"/>
          <w:szCs w:val="27"/>
        </w:rPr>
        <w:t>How the Media Helped Legitimize Extremism</w:t>
      </w:r>
      <w:r>
        <w:rPr>
          <w:rFonts w:cs="Calibri" w:ascii="Calibri" w:hAnsi="Calibri"/>
          <w:color w:val="000000"/>
          <w:sz w:val="27"/>
          <w:szCs w:val="27"/>
        </w:rPr>
        <w:t xml:space="preserve">. [online] Wired. Available at: </w:t>
      </w:r>
      <w:hyperlink r:id="rId19">
        <w:r>
          <w:rPr>
            <w:rStyle w:val="InternetLink"/>
            <w:rFonts w:cs="Calibri" w:ascii="Calibri" w:hAnsi="Calibri"/>
            <w:sz w:val="27"/>
            <w:szCs w:val="27"/>
          </w:rPr>
          <w:t>https://www.wired.com/story/study-media-and-extremism/</w:t>
        </w:r>
      </w:hyperlink>
      <w:r>
        <w:rPr>
          <w:rFonts w:cs="Calibri" w:ascii="Calibri" w:hAnsi="Calibri"/>
          <w:color w:val="000000"/>
          <w:sz w:val="27"/>
          <w:szCs w:val="27"/>
        </w:rPr>
        <w:t>. (Accessed 19/02/2024)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GOV.UK (2011). </w:t>
      </w:r>
      <w:r>
        <w:rPr>
          <w:rFonts w:cs="Calibri" w:ascii="Calibri" w:hAnsi="Calibri"/>
          <w:i/>
          <w:iCs/>
          <w:color w:val="000000"/>
          <w:sz w:val="27"/>
          <w:szCs w:val="27"/>
        </w:rPr>
        <w:t>Youth crime prevention programmes</w:t>
      </w:r>
      <w:r>
        <w:rPr>
          <w:rFonts w:cs="Calibri" w:ascii="Calibri" w:hAnsi="Calibri"/>
          <w:color w:val="000000"/>
          <w:sz w:val="27"/>
          <w:szCs w:val="27"/>
        </w:rPr>
        <w:t xml:space="preserve">. [online] GOV.UK. Available at: </w:t>
      </w:r>
      <w:hyperlink r:id="rId20">
        <w:r>
          <w:rPr>
            <w:rStyle w:val="InternetLink"/>
            <w:rFonts w:cs="Calibri" w:ascii="Calibri" w:hAnsi="Calibri"/>
            <w:sz w:val="27"/>
            <w:szCs w:val="27"/>
          </w:rPr>
          <w:t>https://www.gov.uk/youth-crime-prevention-programmes</w:t>
        </w:r>
      </w:hyperlink>
      <w:r>
        <w:rPr>
          <w:rFonts w:cs="Calibri" w:ascii="Calibri" w:hAnsi="Calibri"/>
          <w:color w:val="000000"/>
          <w:sz w:val="27"/>
          <w:szCs w:val="27"/>
        </w:rPr>
        <w:t>. (Accessed 19/02/2024)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 xml:space="preserve">gov. uk (2011). </w:t>
      </w:r>
      <w:r>
        <w:rPr>
          <w:rFonts w:cs="Calibri" w:ascii="Calibri" w:hAnsi="Calibri"/>
          <w:i/>
          <w:iCs/>
          <w:color w:val="000000"/>
          <w:sz w:val="27"/>
          <w:szCs w:val="27"/>
        </w:rPr>
        <w:t>Youth offending teams</w:t>
      </w:r>
      <w:r>
        <w:rPr>
          <w:rFonts w:cs="Calibri" w:ascii="Calibri" w:hAnsi="Calibri"/>
          <w:color w:val="000000"/>
          <w:sz w:val="27"/>
          <w:szCs w:val="27"/>
        </w:rPr>
        <w:t xml:space="preserve">. [online] GOV.UK. Available at: </w:t>
      </w:r>
      <w:hyperlink r:id="rId21">
        <w:r>
          <w:rPr>
            <w:rStyle w:val="InternetLink"/>
            <w:rFonts w:cs="Calibri" w:ascii="Calibri" w:hAnsi="Calibri"/>
            <w:sz w:val="27"/>
            <w:szCs w:val="27"/>
          </w:rPr>
          <w:t>https://www.gov.uk/youth-offending-team</w:t>
        </w:r>
      </w:hyperlink>
      <w:r>
        <w:rPr>
          <w:rFonts w:cs="Calibri" w:ascii="Calibri" w:hAnsi="Calibri"/>
          <w:color w:val="000000"/>
          <w:sz w:val="27"/>
          <w:szCs w:val="27"/>
        </w:rPr>
        <w:t>. (Accessed 03/02/2024)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Youth Justice Board for England and Wales (2014). </w:t>
      </w:r>
      <w:r>
        <w:rPr>
          <w:rFonts w:cs="Calibri" w:ascii="Calibri" w:hAnsi="Calibri"/>
          <w:i/>
          <w:iCs/>
          <w:color w:val="000000"/>
          <w:sz w:val="27"/>
          <w:szCs w:val="27"/>
        </w:rPr>
        <w:t>Appropriate adults: guide for youth justice professionals</w:t>
      </w:r>
      <w:r>
        <w:rPr>
          <w:rFonts w:cs="Calibri" w:ascii="Calibri" w:hAnsi="Calibri"/>
          <w:color w:val="000000"/>
          <w:sz w:val="27"/>
          <w:szCs w:val="27"/>
        </w:rPr>
        <w:t xml:space="preserve">. [online] GOV.UK. Available at: </w:t>
      </w:r>
      <w:hyperlink r:id="rId22">
        <w:r>
          <w:rPr>
            <w:rStyle w:val="InternetLink"/>
            <w:rFonts w:cs="Calibri" w:ascii="Calibri" w:hAnsi="Calibri"/>
            <w:sz w:val="27"/>
            <w:szCs w:val="27"/>
          </w:rPr>
          <w:t>https://www.gov.uk/guidance/appropriate-adults-guide-for-youth-justice-professionals</w:t>
        </w:r>
      </w:hyperlink>
      <w:r>
        <w:rPr>
          <w:rFonts w:cs="Calibri" w:ascii="Calibri" w:hAnsi="Calibri"/>
          <w:color w:val="000000"/>
          <w:sz w:val="27"/>
          <w:szCs w:val="27"/>
        </w:rPr>
        <w:t>. (Accessed 19/02/2024)</w:t>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pPr>
      <w:r>
        <w:rPr>
          <w:rFonts w:cs="Calibri" w:ascii="Calibri" w:hAnsi="Calibri"/>
          <w:color w:val="000000"/>
          <w:sz w:val="27"/>
          <w:szCs w:val="27"/>
        </w:rPr>
        <w:t>‌</w:t>
      </w:r>
      <w:r>
        <w:rPr>
          <w:rFonts w:cs="Calibri" w:ascii="Calibri" w:hAnsi="Calibri"/>
          <w:color w:val="000000"/>
          <w:sz w:val="27"/>
          <w:szCs w:val="27"/>
        </w:rPr>
        <w:t>GOV.UK (2011). </w:t>
      </w:r>
      <w:r>
        <w:rPr>
          <w:rFonts w:cs="Calibri" w:ascii="Calibri" w:hAnsi="Calibri"/>
          <w:i/>
          <w:iCs/>
          <w:color w:val="000000"/>
          <w:sz w:val="27"/>
          <w:szCs w:val="27"/>
        </w:rPr>
        <w:t>Age of Criminal Responsibility</w:t>
      </w:r>
      <w:r>
        <w:rPr>
          <w:rFonts w:cs="Calibri" w:ascii="Calibri" w:hAnsi="Calibri"/>
          <w:color w:val="000000"/>
          <w:sz w:val="27"/>
          <w:szCs w:val="27"/>
        </w:rPr>
        <w:t xml:space="preserve">. [online] GOV.UK. Available at: </w:t>
      </w:r>
      <w:hyperlink r:id="rId23">
        <w:r>
          <w:rPr>
            <w:rStyle w:val="InternetLink"/>
            <w:rFonts w:cs="Calibri" w:ascii="Calibri" w:hAnsi="Calibri"/>
            <w:sz w:val="27"/>
            <w:szCs w:val="27"/>
          </w:rPr>
          <w:t>https://www.gov.uk/age-of-criminal-responsibility</w:t>
        </w:r>
      </w:hyperlink>
      <w:r>
        <w:rPr>
          <w:rFonts w:cs="Calibri" w:ascii="Calibri" w:hAnsi="Calibri"/>
          <w:color w:val="000000"/>
          <w:sz w:val="27"/>
          <w:szCs w:val="27"/>
        </w:rPr>
        <w:t>. (Accessed 04/02/2024)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College of Policing (2013). </w:t>
      </w:r>
      <w:r>
        <w:rPr>
          <w:rFonts w:cs="Calibri" w:ascii="Calibri" w:hAnsi="Calibri"/>
          <w:i/>
          <w:iCs/>
          <w:color w:val="000000"/>
          <w:sz w:val="27"/>
          <w:szCs w:val="27"/>
        </w:rPr>
        <w:t>Children and young persons</w:t>
      </w:r>
      <w:r>
        <w:rPr>
          <w:rFonts w:cs="Calibri" w:ascii="Calibri" w:hAnsi="Calibri"/>
          <w:color w:val="000000"/>
          <w:sz w:val="27"/>
          <w:szCs w:val="27"/>
        </w:rPr>
        <w:t xml:space="preserve">. [online] College of Policing. Available at: </w:t>
      </w:r>
      <w:hyperlink r:id="rId24">
        <w:r>
          <w:rPr>
            <w:rStyle w:val="InternetLink"/>
            <w:rFonts w:cs="Calibri" w:ascii="Calibri" w:hAnsi="Calibri"/>
            <w:sz w:val="27"/>
            <w:szCs w:val="27"/>
          </w:rPr>
          <w:t>https://www.college.police.uk/app/detention-and-custody/detainee-care/children-and-young-persons</w:t>
        </w:r>
      </w:hyperlink>
      <w:r>
        <w:rPr>
          <w:rFonts w:cs="Calibri" w:ascii="Calibri" w:hAnsi="Calibri"/>
          <w:color w:val="000000"/>
          <w:sz w:val="27"/>
          <w:szCs w:val="27"/>
        </w:rPr>
        <w:t>. (Accessed 18/02/2024)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College of Policing (2013). </w:t>
      </w:r>
      <w:r>
        <w:rPr>
          <w:rFonts w:cs="Calibri" w:ascii="Calibri" w:hAnsi="Calibri"/>
          <w:i/>
          <w:iCs/>
          <w:color w:val="000000"/>
          <w:sz w:val="27"/>
          <w:szCs w:val="27"/>
        </w:rPr>
        <w:t>Possible Justice Outcomes Following Investigation</w:t>
      </w:r>
      <w:r>
        <w:rPr>
          <w:rFonts w:cs="Calibri" w:ascii="Calibri" w:hAnsi="Calibri"/>
          <w:color w:val="000000"/>
          <w:sz w:val="27"/>
          <w:szCs w:val="27"/>
        </w:rPr>
        <w:t xml:space="preserve">. [online] College of Policing. Available at: </w:t>
      </w:r>
      <w:hyperlink r:id="rId25">
        <w:r>
          <w:rPr>
            <w:rStyle w:val="InternetLink"/>
            <w:rFonts w:cs="Calibri" w:ascii="Calibri" w:hAnsi="Calibri"/>
            <w:sz w:val="27"/>
            <w:szCs w:val="27"/>
          </w:rPr>
          <w:t>https://www.college.police.uk/app/prosecution-and-case-management/possible-justice-outcomes-following-investigation</w:t>
        </w:r>
      </w:hyperlink>
      <w:r>
        <w:rPr>
          <w:rFonts w:cs="Calibri" w:ascii="Calibri" w:hAnsi="Calibri"/>
          <w:color w:val="000000"/>
          <w:sz w:val="27"/>
          <w:szCs w:val="27"/>
        </w:rPr>
        <w:t>. (Accessed 04/02/2024)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NHS (2021). </w:t>
      </w:r>
      <w:r>
        <w:rPr>
          <w:rFonts w:cs="Calibri" w:ascii="Calibri" w:hAnsi="Calibri"/>
          <w:i/>
          <w:iCs/>
          <w:color w:val="000000"/>
          <w:sz w:val="27"/>
          <w:szCs w:val="27"/>
        </w:rPr>
        <w:t>Adverse Childhood Experiences (ACEs) and Attachment</w:t>
      </w:r>
      <w:r>
        <w:rPr>
          <w:rFonts w:cs="Calibri" w:ascii="Calibri" w:hAnsi="Calibri"/>
          <w:color w:val="000000"/>
          <w:sz w:val="27"/>
          <w:szCs w:val="27"/>
        </w:rPr>
        <w:t xml:space="preserve">. [online] NHS. Available at: </w:t>
      </w:r>
      <w:hyperlink r:id="rId26">
        <w:r>
          <w:rPr>
            <w:rStyle w:val="InternetLink"/>
            <w:rFonts w:cs="Calibri" w:ascii="Calibri" w:hAnsi="Calibri"/>
            <w:sz w:val="27"/>
            <w:szCs w:val="27"/>
          </w:rPr>
          <w:t>https://mft.nhs.uk/rmch/services/camhs/young-people/adverse-childhood-experiences-aces-and-attachment/</w:t>
        </w:r>
      </w:hyperlink>
      <w:r>
        <w:rPr>
          <w:rFonts w:cs="Calibri" w:ascii="Calibri" w:hAnsi="Calibri"/>
          <w:color w:val="000000"/>
          <w:sz w:val="27"/>
          <w:szCs w:val="27"/>
        </w:rPr>
        <w:t>. (Accessed 19/02/2024)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lineRule="atLeast" w:line="360" w:beforeAutospacing="0" w:before="0" w:afterAutospacing="0" w:after="0"/>
        <w:rPr/>
      </w:pPr>
      <w:r>
        <w:rPr>
          <w:rFonts w:cs="Calibri" w:ascii="Calibri" w:hAnsi="Calibri"/>
          <w:color w:val="000000"/>
          <w:sz w:val="27"/>
          <w:szCs w:val="27"/>
        </w:rPr>
        <w:t>College of Policing (2022). </w:t>
      </w:r>
      <w:r>
        <w:rPr>
          <w:rFonts w:cs="Calibri" w:ascii="Calibri" w:hAnsi="Calibri"/>
          <w:i/>
          <w:iCs/>
          <w:color w:val="000000"/>
          <w:sz w:val="27"/>
          <w:szCs w:val="27"/>
        </w:rPr>
        <w:t>Police Response to Concern for a Child</w:t>
      </w:r>
      <w:r>
        <w:rPr>
          <w:rFonts w:cs="Calibri" w:ascii="Calibri" w:hAnsi="Calibri"/>
          <w:color w:val="000000"/>
          <w:sz w:val="27"/>
          <w:szCs w:val="27"/>
        </w:rPr>
        <w:t xml:space="preserve">. [online] College of Policing. Available at: </w:t>
      </w:r>
      <w:hyperlink r:id="rId27">
        <w:r>
          <w:rPr>
            <w:rStyle w:val="InternetLink"/>
            <w:rFonts w:cs="Calibri" w:ascii="Calibri" w:hAnsi="Calibri"/>
            <w:sz w:val="27"/>
            <w:szCs w:val="27"/>
          </w:rPr>
          <w:t>https://www.college.police.uk/app/major-investigation-and-public-protection/investigating-child-abuse-and-safeguarding-children/police-response-concern-child</w:t>
        </w:r>
      </w:hyperlink>
      <w:r>
        <w:rPr>
          <w:rFonts w:cs="Calibri" w:ascii="Calibri" w:hAnsi="Calibri"/>
          <w:color w:val="000000"/>
          <w:sz w:val="27"/>
          <w:szCs w:val="27"/>
        </w:rPr>
        <w:t>. (Accessed 05/02/2024)</w:t>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Web"/>
        <w:spacing w:before="280" w:after="280"/>
        <w:rPr>
          <w:rFonts w:ascii="Calibri" w:hAnsi="Calibri" w:cs="Calibri"/>
          <w:color w:val="000000"/>
          <w:sz w:val="27"/>
          <w:szCs w:val="27"/>
        </w:rPr>
      </w:pPr>
      <w:r>
        <w:rPr>
          <w:rFonts w:cs="Calibri" w:ascii="Calibri" w:hAnsi="Calibri"/>
          <w:color w:val="000000"/>
          <w:sz w:val="27"/>
          <w:szCs w:val="27"/>
        </w:rPr>
      </w:r>
    </w:p>
    <w:p>
      <w:pPr>
        <w:pStyle w:val="NormalWeb"/>
        <w:spacing w:lineRule="atLeast" w:line="360" w:beforeAutospacing="0" w:before="0" w:afterAutospacing="0" w:after="0"/>
        <w:rPr>
          <w:rFonts w:ascii="Calibri" w:hAnsi="Calibri" w:cs="Calibri"/>
          <w:color w:val="000000"/>
          <w:sz w:val="27"/>
          <w:szCs w:val="27"/>
        </w:rPr>
      </w:pPr>
      <w:r>
        <w:rPr>
          <w:rFonts w:cs="Calibri" w:ascii="Calibri" w:hAnsi="Calibri"/>
          <w:color w:val="000000"/>
          <w:sz w:val="27"/>
          <w:szCs w:val="27"/>
        </w:rPr>
      </w:r>
    </w:p>
    <w:p>
      <w:pPr>
        <w:pStyle w:val="NormalWeb"/>
        <w:spacing w:before="280" w:after="280"/>
        <w:rPr>
          <w:rFonts w:ascii="Calibri" w:hAnsi="Calibri" w:cs="Calibri"/>
          <w:color w:val="000000"/>
          <w:sz w:val="27"/>
          <w:szCs w:val="27"/>
        </w:rPr>
      </w:pPr>
      <w:r>
        <w:rPr>
          <w:rFonts w:cs="Calibri" w:ascii="Calibri" w:hAnsi="Calibri"/>
          <w:color w:val="000000"/>
          <w:sz w:val="27"/>
          <w:szCs w:val="27"/>
        </w:rPr>
        <w:t>‌</w:t>
      </w:r>
    </w:p>
    <w:p>
      <w:pPr>
        <w:pStyle w:val="Normal"/>
        <w:rPr>
          <w:rFonts w:cs="Calibri" w:cstheme="minorHAnsi"/>
          <w:b/>
          <w:b/>
          <w:bCs/>
          <w:u w:val="single"/>
        </w:rPr>
      </w:pPr>
      <w:r>
        <w:rPr>
          <w:rFonts w:cs="Calibri" w:cstheme="minorHAnsi"/>
          <w:b/>
          <w:bCs/>
          <w:u w:val="single"/>
        </w:rPr>
      </w:r>
    </w:p>
    <w:p>
      <w:pPr>
        <w:pStyle w:val="Normal"/>
        <w:rPr>
          <w:rFonts w:cs="Calibri" w:cstheme="minorHAnsi"/>
          <w:b/>
          <w:b/>
          <w:bCs/>
          <w:u w:val="single"/>
        </w:rPr>
      </w:pPr>
      <w:r>
        <w:rPr>
          <w:rFonts w:cs="Calibri" w:cstheme="minorHAnsi"/>
          <w:b/>
          <w:bCs/>
          <w:u w:val="single"/>
        </w:rPr>
      </w:r>
    </w:p>
    <w:p>
      <w:pPr>
        <w:pStyle w:val="Normal"/>
        <w:rPr/>
      </w:pPr>
      <w:hyperlink r:id="rId28">
        <w:r>
          <w:rPr>
            <w:rStyle w:val="InternetLink"/>
            <w:rFonts w:cs="Calibri" w:cstheme="minorHAnsi"/>
          </w:rPr>
          <w:t>Standards for Children in the youth justice system 2019 (accessible version) - GOV.UK (www.gov.uk)</w:t>
        </w:r>
      </w:hyperlink>
    </w:p>
    <w:p>
      <w:pPr>
        <w:pStyle w:val="Normal"/>
        <w:rPr/>
      </w:pPr>
      <w:hyperlink r:id="rId29">
        <w:r>
          <w:rPr>
            <w:rStyle w:val="InternetLink"/>
            <w:rFonts w:cs="Calibri" w:cstheme="minorHAnsi"/>
          </w:rPr>
          <w:t>Youth Justice System | Youth Justice Legal Centre (yjlc. UK)</w:t>
        </w:r>
      </w:hyperlink>
    </w:p>
    <w:p>
      <w:pPr>
        <w:pStyle w:val="Normal"/>
        <w:rPr/>
      </w:pPr>
      <w:hyperlink r:id="rId30">
        <w:r>
          <w:rPr>
            <w:rStyle w:val="InternetLink"/>
            <w:rFonts w:cs="Calibri" w:cstheme="minorHAnsi"/>
          </w:rPr>
          <w:t>Youth Justice and Criminal Evidence Act 1999 (legislation.gov.uk)</w:t>
        </w:r>
      </w:hyperlink>
    </w:p>
    <w:p>
      <w:pPr>
        <w:pStyle w:val="Normal"/>
        <w:rPr>
          <w:rFonts w:cs="Calibri" w:cstheme="minorHAnsi"/>
        </w:rPr>
      </w:pPr>
      <w:r>
        <w:rPr>
          <w:rFonts w:cs="Calibri" w:cstheme="minorHAnsi"/>
        </w:rPr>
      </w:r>
    </w:p>
    <w:p>
      <w:pPr>
        <w:pStyle w:val="Normal"/>
        <w:tabs>
          <w:tab w:val="clear" w:pos="720"/>
          <w:tab w:val="left" w:pos="2010" w:leader="none"/>
        </w:tabs>
        <w:rPr/>
      </w:pPr>
      <w:hyperlink r:id="rId31">
        <w:r>
          <w:rPr>
            <w:rStyle w:val="InternetLink"/>
            <w:rFonts w:cs="Calibri" w:cstheme="minorHAnsi"/>
          </w:rPr>
          <w:t>Sentencing Children and Young People – Sentencing (sentencingcouncil.org.uk)</w:t>
        </w:r>
      </w:hyperlink>
    </w:p>
    <w:p>
      <w:pPr>
        <w:pStyle w:val="Normal"/>
        <w:tabs>
          <w:tab w:val="clear" w:pos="720"/>
          <w:tab w:val="left" w:pos="2010" w:leader="none"/>
        </w:tabs>
        <w:rPr/>
      </w:pPr>
      <w:hyperlink r:id="rId32">
        <w:r>
          <w:rPr>
            <w:rStyle w:val="InternetLink"/>
            <w:rFonts w:cs="Calibri" w:cstheme="minorHAnsi"/>
          </w:rPr>
          <w:t>Restorative Justice | The Crown Prosecution Service (cps.gov.uk)</w:t>
        </w:r>
      </w:hyperlink>
    </w:p>
    <w:p>
      <w:pPr>
        <w:pStyle w:val="Normal"/>
        <w:tabs>
          <w:tab w:val="clear" w:pos="720"/>
          <w:tab w:val="left" w:pos="2010" w:leader="none"/>
        </w:tabs>
        <w:rPr/>
      </w:pPr>
      <w:hyperlink r:id="rId33">
        <w:r>
          <w:rPr>
            <w:rStyle w:val="InternetLink"/>
            <w:rFonts w:cs="Calibri" w:cstheme="minorHAnsi"/>
          </w:rPr>
          <w:t>kn1b_info_packs (2) yot.pdf (restorativejustice.org.uk)</w:t>
        </w:r>
      </w:hyperlink>
    </w:p>
    <w:p>
      <w:pPr>
        <w:pStyle w:val="Normal"/>
        <w:tabs>
          <w:tab w:val="clear" w:pos="720"/>
          <w:tab w:val="left" w:pos="2010" w:leader="none"/>
        </w:tabs>
        <w:rPr/>
      </w:pPr>
      <w:hyperlink r:id="rId34">
        <w:r>
          <w:rPr>
            <w:rStyle w:val="InternetLink"/>
            <w:rFonts w:cs="Calibri" w:cstheme="minorHAnsi"/>
          </w:rPr>
          <w:t>Youth justice plans guidance for youth justice services - GOV.UK (www.gov.uk)</w:t>
        </w:r>
      </w:hyperlink>
    </w:p>
    <w:p>
      <w:pPr>
        <w:pStyle w:val="Normal"/>
        <w:tabs>
          <w:tab w:val="clear" w:pos="720"/>
          <w:tab w:val="left" w:pos="2010" w:leader="none"/>
        </w:tabs>
        <w:rPr/>
      </w:pPr>
      <w:hyperlink r:id="rId35">
        <w:r>
          <w:rPr>
            <w:rStyle w:val="InternetLink"/>
            <w:rFonts w:cs="Calibri" w:cstheme="minorHAnsi"/>
          </w:rPr>
          <w:t>Davidson, C. 2014 DAppEdPsy.pdf (ncl.ac.UK)</w:t>
        </w:r>
      </w:hyperlink>
    </w:p>
    <w:p>
      <w:pPr>
        <w:pStyle w:val="Normal"/>
        <w:tabs>
          <w:tab w:val="clear" w:pos="720"/>
          <w:tab w:val="left" w:pos="2010" w:leader="none"/>
        </w:tabs>
        <w:rPr/>
      </w:pPr>
      <w:hyperlink r:id="rId36">
        <w:r>
          <w:rPr>
            <w:rStyle w:val="InternetLink"/>
            <w:rFonts w:cs="Calibri" w:cstheme="minorHAnsi"/>
          </w:rPr>
          <w:t>Microsoft Word - restorativejusticefull.doc</w:t>
        </w:r>
      </w:hyperlink>
    </w:p>
    <w:p>
      <w:pPr>
        <w:pStyle w:val="Normal"/>
        <w:tabs>
          <w:tab w:val="clear" w:pos="720"/>
          <w:tab w:val="left" w:pos="2010" w:leader="none"/>
        </w:tabs>
        <w:rPr/>
      </w:pPr>
      <w:r>
        <w:fldChar w:fldCharType="begin"/>
      </w:r>
      <w:r>
        <w:rPr>
          <w:rStyle w:val="InternetLink"/>
          <w:rFonts w:cs="Calibri"/>
        </w:rPr>
        <w:instrText> HYPERLINK "https://www.devon.gov.uk/educationandfamilies/young-people/youth-justice-service/what-happens-if-a-young-person-goes-to-court/youth-rehabilitation-order/" \l ":~:text=A youth rehabilitation order (YRO) is a community,years%2C until the end of the longest requirement."</w:instrText>
      </w:r>
      <w:r>
        <w:rPr>
          <w:rStyle w:val="InternetLink"/>
          <w:rFonts w:cs="Calibri"/>
        </w:rPr>
        <w:fldChar w:fldCharType="separate"/>
      </w:r>
      <w:r>
        <w:rPr>
          <w:rStyle w:val="InternetLink"/>
          <w:rFonts w:cs="Calibri" w:cstheme="minorHAnsi"/>
        </w:rPr>
        <w:t>Youth rehabilitation order – Education and Families (devon.gov.uk)</w:t>
      </w:r>
      <w:r>
        <w:rPr>
          <w:rStyle w:val="InternetLink"/>
          <w:rFonts w:cs="Calibri"/>
        </w:rPr>
        <w:fldChar w:fldCharType="end"/>
      </w:r>
    </w:p>
    <w:p>
      <w:pPr>
        <w:pStyle w:val="Normal"/>
        <w:tabs>
          <w:tab w:val="clear" w:pos="720"/>
          <w:tab w:val="left" w:pos="2010" w:leader="none"/>
        </w:tabs>
        <w:rPr/>
      </w:pPr>
      <w:hyperlink r:id="rId37">
        <w:r>
          <w:rPr>
            <w:rStyle w:val="InternetLink"/>
            <w:rFonts w:cs="Calibri" w:cstheme="minorHAnsi"/>
          </w:rPr>
          <w:t>Youth Justice: the Scaled Approach - A Framework for assessment and Interventions (publishing.service.gov.uk)</w:t>
        </w:r>
      </w:hyperlink>
    </w:p>
    <w:p>
      <w:pPr>
        <w:pStyle w:val="Normal"/>
        <w:tabs>
          <w:tab w:val="clear" w:pos="720"/>
          <w:tab w:val="left" w:pos="2010" w:leader="none"/>
        </w:tabs>
        <w:rPr>
          <w:rFonts w:cs="Calibri" w:cstheme="minorHAnsi"/>
        </w:rPr>
      </w:pPr>
      <w:r>
        <w:rPr>
          <w:rFonts w:cs="Calibri" w:cstheme="minorHAnsi"/>
        </w:rPr>
      </w:r>
    </w:p>
    <w:p>
      <w:pPr>
        <w:pStyle w:val="Normal"/>
        <w:tabs>
          <w:tab w:val="clear" w:pos="720"/>
          <w:tab w:val="left" w:pos="2010" w:leader="none"/>
        </w:tabs>
        <w:rPr/>
      </w:pPr>
      <w:hyperlink r:id="rId38">
        <w:r>
          <w:rPr>
            <w:rStyle w:val="InternetLink"/>
            <w:rFonts w:cs="Calibri" w:cstheme="minorHAnsi"/>
          </w:rPr>
          <w:t>Children and Young Persons | College of Policing</w:t>
        </w:r>
      </w:hyperlink>
    </w:p>
    <w:p>
      <w:pPr>
        <w:pStyle w:val="Normal"/>
        <w:tabs>
          <w:tab w:val="clear" w:pos="720"/>
          <w:tab w:val="left" w:pos="2010" w:leader="none"/>
        </w:tabs>
        <w:rPr/>
      </w:pPr>
      <w:hyperlink r:id="rId39">
        <w:r>
          <w:rPr>
            <w:rStyle w:val="InternetLink"/>
            <w:rFonts w:cs="Calibri" w:cstheme="minorHAnsi"/>
          </w:rPr>
          <w:t>Youth Justice Statistics: 2020 to 2021 (accessible version) - GOV.UK (www.gov.uk)</w:t>
        </w:r>
      </w:hyperlink>
    </w:p>
    <w:p>
      <w:pPr>
        <w:pStyle w:val="Normal"/>
        <w:tabs>
          <w:tab w:val="clear" w:pos="720"/>
          <w:tab w:val="left" w:pos="2010" w:leader="none"/>
        </w:tabs>
        <w:rPr>
          <w:rFonts w:cs="Calibri" w:cstheme="minorHAnsi"/>
        </w:rPr>
      </w:pPr>
      <w:r>
        <w:rPr>
          <w:rFonts w:cs="Calibri" w:cstheme="minorHAnsi"/>
        </w:rPr>
      </w:r>
    </w:p>
    <w:p>
      <w:pPr>
        <w:pStyle w:val="Normal"/>
        <w:tabs>
          <w:tab w:val="clear" w:pos="720"/>
          <w:tab w:val="left" w:pos="2010" w:leader="none"/>
        </w:tabs>
        <w:spacing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c11f50"/>
    <w:rPr>
      <w:color w:val="0000FF"/>
      <w:u w:val="single"/>
    </w:rPr>
  </w:style>
  <w:style w:type="character" w:styleId="FollowedHyperlink">
    <w:name w:val="FollowedHyperlink"/>
    <w:basedOn w:val="DefaultParagraphFont"/>
    <w:uiPriority w:val="99"/>
    <w:semiHidden/>
    <w:unhideWhenUsed/>
    <w:qFormat/>
    <w:rsid w:val="00b86c2e"/>
    <w:rPr>
      <w:color w:val="954F72" w:themeColor="followedHyperlink"/>
      <w:u w:val="single"/>
    </w:rPr>
  </w:style>
  <w:style w:type="character" w:styleId="UnresolvedMention">
    <w:name w:val="Unresolved Mention"/>
    <w:basedOn w:val="DefaultParagraphFont"/>
    <w:uiPriority w:val="99"/>
    <w:semiHidden/>
    <w:unhideWhenUsed/>
    <w:qFormat/>
    <w:rsid w:val="003071cf"/>
    <w:rPr>
      <w:color w:val="605E5C"/>
      <w:shd w:fill="E1DFDD" w:val="clear"/>
    </w:rPr>
  </w:style>
  <w:style w:type="character" w:styleId="HeaderChar" w:customStyle="1">
    <w:name w:val="Header Char"/>
    <w:basedOn w:val="DefaultParagraphFont"/>
    <w:link w:val="Header"/>
    <w:uiPriority w:val="99"/>
    <w:qFormat/>
    <w:rsid w:val="00136d1f"/>
    <w:rPr/>
  </w:style>
  <w:style w:type="character" w:styleId="FooterChar" w:customStyle="1">
    <w:name w:val="Footer Char"/>
    <w:basedOn w:val="DefaultParagraphFont"/>
    <w:link w:val="Footer"/>
    <w:uiPriority w:val="99"/>
    <w:qFormat/>
    <w:rsid w:val="00136d1f"/>
    <w:rPr/>
  </w:style>
  <w:style w:type="character" w:styleId="ListLabel1">
    <w:name w:val="ListLabel 1"/>
    <w:qFormat/>
    <w:rPr>
      <w:rFonts w:ascii="Calibri" w:hAnsi="Calibri" w:cs="Calibri"/>
      <w:sz w:val="27"/>
      <w:szCs w:val="27"/>
    </w:rPr>
  </w:style>
  <w:style w:type="character" w:styleId="ListLabel2">
    <w:name w:val="ListLabel 2"/>
    <w:qFormat/>
    <w:rPr>
      <w:rFonts w:cs="Calibri" w:cstheme="minorHAnsi"/>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semiHidden/>
    <w:unhideWhenUsed/>
    <w:qFormat/>
    <w:rsid w:val="006b588f"/>
    <w:pPr>
      <w:spacing w:lineRule="auto" w:line="240" w:beforeAutospacing="1" w:afterAutospacing="1"/>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136d1f"/>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136d1f"/>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bbc.com/news/world-us-canada-54210448" TargetMode="External"/><Relationship Id="rId4" Type="http://schemas.openxmlformats.org/officeDocument/2006/relationships/hyperlink" Target="https://www.cam.ac.uk/research/news/uk-policing-psychological-damage-among-officers-heightened-by-bad-working-conditions" TargetMode="External"/><Relationship Id="rId5" Type="http://schemas.openxmlformats.org/officeDocument/2006/relationships/hyperlink" Target="https://www.findlaw.com/family/domestic-violence/domestic-violence-history-of-police-responses.html" TargetMode="External"/><Relationship Id="rId6" Type="http://schemas.openxmlformats.org/officeDocument/2006/relationships/hyperlink" Target="https://www.police-foundation.org.uk/2018/09/rethinking-the-police-approach-to-domestic-abuse/" TargetMode="External"/><Relationship Id="rId7" Type="http://schemas.openxmlformats.org/officeDocument/2006/relationships/hyperlink" Target="https://www.theguardian.com/uk-news/2023/feb/21/mental-health-crises-police-england-and-wales" TargetMode="External"/><Relationship Id="rId8" Type="http://schemas.openxmlformats.org/officeDocument/2006/relationships/hyperlink" Target="https://www.college.police.uk/support-forces/diversity-and-inclusion" TargetMode="External"/><Relationship Id="rId9" Type="http://schemas.openxmlformats.org/officeDocument/2006/relationships/hyperlink" Target="https://www.theguardian.com/uk-news/2021/mar/16/institutional-misogyny-erodes-womens-trust-in-uk-police" TargetMode="External"/><Relationship Id="rId10" Type="http://schemas.openxmlformats.org/officeDocument/2006/relationships/hyperlink" Target="https://www.bbc.co.uk/news/uk-england-london-58747614" TargetMode="External"/><Relationship Id="rId11" Type="http://schemas.openxmlformats.org/officeDocument/2006/relationships/hyperlink" Target="https://www.college.police.uk/app/engagement-and-communication/engagement" TargetMode="External"/><Relationship Id="rId12" Type="http://schemas.openxmlformats.org/officeDocument/2006/relationships/hyperlink" Target="https://www.bbc.com/news/uk-england-london-52868465" TargetMode="External"/><Relationship Id="rId13" Type="http://schemas.openxmlformats.org/officeDocument/2006/relationships/hyperlink" Target="https://www.bbc.co.uk/news/world-us-canada-54210448" TargetMode="External"/><Relationship Id="rId14" Type="http://schemas.openxmlformats.org/officeDocument/2006/relationships/hyperlink" Target="https://www.bbc.co.uk/news/uk-england-cambridgeshire-62335807" TargetMode="External"/><Relationship Id="rId15" Type="http://schemas.openxmlformats.org/officeDocument/2006/relationships/hyperlink" Target="https://www.bbc.co.uk/news/uk-england-london-67148202" TargetMode="External"/><Relationship Id="rId16" Type="http://schemas.openxmlformats.org/officeDocument/2006/relationships/hyperlink" Target="https://thecrimereport.org/2019/10/11/fame-seeking-mass-shooters-get-the-attention-they-want-study/" TargetMode="External"/><Relationship Id="rId17" Type="http://schemas.openxmlformats.org/officeDocument/2006/relationships/hyperlink" Target="https://www.theguardian.com/uk-news/2021/aug/13/plymouth-shooting-suspect-what-we-know-jake-davison" TargetMode="External"/><Relationship Id="rId18" Type="http://schemas.openxmlformats.org/officeDocument/2006/relationships/hyperlink" Target="https://www.bbc.co.uk/news/world-us-canada-43892189" TargetMode="External"/><Relationship Id="rId19" Type="http://schemas.openxmlformats.org/officeDocument/2006/relationships/hyperlink" Target="https://www.wired.com/story/study-media-and-extremism/" TargetMode="External"/><Relationship Id="rId20" Type="http://schemas.openxmlformats.org/officeDocument/2006/relationships/hyperlink" Target="https://www.gov.uk/youth-crime-prevention-programmes" TargetMode="External"/><Relationship Id="rId21" Type="http://schemas.openxmlformats.org/officeDocument/2006/relationships/hyperlink" Target="https://www.gov.uk/youth-offending-team" TargetMode="External"/><Relationship Id="rId22" Type="http://schemas.openxmlformats.org/officeDocument/2006/relationships/hyperlink" Target="https://www.gov.uk/guidance/appropriate-adults-guide-for-youth-justice-professionals" TargetMode="External"/><Relationship Id="rId23" Type="http://schemas.openxmlformats.org/officeDocument/2006/relationships/hyperlink" Target="https://www.gov.uk/age-of-criminal-responsibility" TargetMode="External"/><Relationship Id="rId24" Type="http://schemas.openxmlformats.org/officeDocument/2006/relationships/hyperlink" Target="https://www.college.police.uk/app/detention-and-custody/detainee-care/children-and-young-persons" TargetMode="External"/><Relationship Id="rId25" Type="http://schemas.openxmlformats.org/officeDocument/2006/relationships/hyperlink" Target="https://www.college.police.uk/app/prosecution-and-case-management/possible-justice-outcomes-following-investigation" TargetMode="External"/><Relationship Id="rId26" Type="http://schemas.openxmlformats.org/officeDocument/2006/relationships/hyperlink" Target="https://mft.nhs.uk/rmch/services/camhs/young-people/adverse-childhood-experiences-aces-and-attachment/" TargetMode="External"/><Relationship Id="rId27" Type="http://schemas.openxmlformats.org/officeDocument/2006/relationships/hyperlink" Target="https://www.college.police.uk/app/major-investigation-and-public-protection/investigating-child-abuse-and-safeguarding-children/police-response-concern-child" TargetMode="External"/><Relationship Id="rId28" Type="http://schemas.openxmlformats.org/officeDocument/2006/relationships/hyperlink" Target="https://www.gov.uk/government/publications/national-standards-for-youth-justice-services/standards-for-children-in-the-youth-justice-system-accessible-version" TargetMode="External"/><Relationship Id="rId29" Type="http://schemas.openxmlformats.org/officeDocument/2006/relationships/hyperlink" Target="https://yjlc.uk/resources/legal-terms-z/youth-justice-system" TargetMode="External"/><Relationship Id="rId30" Type="http://schemas.openxmlformats.org/officeDocument/2006/relationships/hyperlink" Target="https://www.legislation.gov.uk/ukpga/1999/23/contents" TargetMode="External"/><Relationship Id="rId31" Type="http://schemas.openxmlformats.org/officeDocument/2006/relationships/hyperlink" Target="https://www.sentencingcouncil.org.uk/overarching-guides/magistrates-court/item/sentencing-children-and-young-people/" TargetMode="External"/><Relationship Id="rId32" Type="http://schemas.openxmlformats.org/officeDocument/2006/relationships/hyperlink" Target="https://www.cps.gov.uk/legal-guidance/restorative-justice" TargetMode="External"/><Relationship Id="rId33" Type="http://schemas.openxmlformats.org/officeDocument/2006/relationships/hyperlink" Target="https://restorativejustice.org.uk/sites/default/files/resources/files/kn1b_info_packs (2) yot.pdf" TargetMode="External"/><Relationship Id="rId34" Type="http://schemas.openxmlformats.org/officeDocument/2006/relationships/hyperlink" Target="https://www.gov.uk/government/publications/youth-justice-plans-guidance-for-youth-justice-services/youth-justice-plans-guidance-for-youth-justice-services" TargetMode="External"/><Relationship Id="rId35" Type="http://schemas.openxmlformats.org/officeDocument/2006/relationships/hyperlink" Target="https://theses.ncl.ac.uk/jspui/bitstream/10443/2682/1/Davidson%2C C. 2014 DAppEdPsy.pdf" TargetMode="External"/><Relationship Id="rId36" Type="http://schemas.openxmlformats.org/officeDocument/2006/relationships/hyperlink" Target="https://restorativejustice.org.uk/sites/default/files/resources/files/National Evaluation of the Youth Justice Board&apos;s Restorative Justice Projects.pdf" TargetMode="External"/><Relationship Id="rId37" Type="http://schemas.openxmlformats.org/officeDocument/2006/relationships/hyperlink" Target="https://assets.publishing.service.gov.uk/government/uploads/system/uploads/attachment_data/file/682536/Youth_Justice_the_Scaled_Approach_-_A_framework_for_assessment_and_interventions.pdf" TargetMode="External"/><Relationship Id="rId38" Type="http://schemas.openxmlformats.org/officeDocument/2006/relationships/hyperlink" Target="https://www.college.police.uk/app/detention-and-custody/detainee-care/children-and-young-persons" TargetMode="External"/><Relationship Id="rId39" Type="http://schemas.openxmlformats.org/officeDocument/2006/relationships/hyperlink" Target="https://www.gov.uk/government/statistics/youth-justice-statistics-2020-to-2021/youth-justice-statistics-2020-to-2021-accessible-version" TargetMode="External"/><Relationship Id="rId40" Type="http://schemas.openxmlformats.org/officeDocument/2006/relationships/fontTable" Target="fontTable.xml"/><Relationship Id="rId41" Type="http://schemas.openxmlformats.org/officeDocument/2006/relationships/settings" Target="settings.xml"/><Relationship Id="rId42" Type="http://schemas.openxmlformats.org/officeDocument/2006/relationships/theme" Target="theme/theme1.xml"/><Relationship Id="rId43"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B68CD-08D5-4A64-A10E-2A8A6FF0E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Application>Trio_Office/6.2.8.2$Windows_x86 LibreOffice_project/</Application>
  <Pages>14</Pages>
  <Words>4859</Words>
  <Characters>27638</Characters>
  <CharactersWithSpaces>32405</CharactersWithSpaces>
  <Paragraphs>100</Paragraphs>
  <Company>Gwent Police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2023-11-23T13:05:00Z</dcterms:created>
  <dc:creator>Skipper, Jamie</dc:creator>
  <dc:description/>
  <dc:language>en-GB</dc:language>
  <cp:lastModifiedBy/>
  <dcterms:modified xsi:type="dcterms:W3CDTF">2024-03-04T13:27:01Z</dcterms:modified>
  <cp:revision>294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Gwent Police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MSIP_Label_f2acd28b-79a3-4a0f-b0ff-4b75658b1549_ActionId">
    <vt:lpwstr>8bef8a59-eee6-4c45-933f-d8efb75bc825</vt:lpwstr>
  </property>
  <property fmtid="{D5CDD505-2E9C-101B-9397-08002B2CF9AE}" pid="8" name="MSIP_Label_f2acd28b-79a3-4a0f-b0ff-4b75658b1549_ContentBits">
    <vt:lpwstr>0</vt:lpwstr>
  </property>
  <property fmtid="{D5CDD505-2E9C-101B-9397-08002B2CF9AE}" pid="9" name="MSIP_Label_f2acd28b-79a3-4a0f-b0ff-4b75658b1549_Enabled">
    <vt:lpwstr>true</vt:lpwstr>
  </property>
  <property fmtid="{D5CDD505-2E9C-101B-9397-08002B2CF9AE}" pid="10" name="MSIP_Label_f2acd28b-79a3-4a0f-b0ff-4b75658b1549_Method">
    <vt:lpwstr>Standard</vt:lpwstr>
  </property>
  <property fmtid="{D5CDD505-2E9C-101B-9397-08002B2CF9AE}" pid="11" name="MSIP_Label_f2acd28b-79a3-4a0f-b0ff-4b75658b1549_Name">
    <vt:lpwstr>OFFICIAL</vt:lpwstr>
  </property>
  <property fmtid="{D5CDD505-2E9C-101B-9397-08002B2CF9AE}" pid="12" name="MSIP_Label_f2acd28b-79a3-4a0f-b0ff-4b75658b1549_SetDate">
    <vt:lpwstr>2023-11-23T16:02:55Z</vt:lpwstr>
  </property>
  <property fmtid="{D5CDD505-2E9C-101B-9397-08002B2CF9AE}" pid="13" name="MSIP_Label_f2acd28b-79a3-4a0f-b0ff-4b75658b1549_SiteId">
    <vt:lpwstr>e46c8472-ef5d-4b63-bc74-4a60db42c371</vt:lpwstr>
  </property>
  <property fmtid="{D5CDD505-2E9C-101B-9397-08002B2CF9AE}" pid="14" name="ScaleCrop">
    <vt:bool>0</vt:bool>
  </property>
  <property fmtid="{D5CDD505-2E9C-101B-9397-08002B2CF9AE}" pid="15" name="ShareDoc">
    <vt:bool>0</vt:bool>
  </property>
</Properties>
</file>