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72B7" w:rsidRPr="00E072B7" w:rsidRDefault="00E072B7" w:rsidP="00E072B7">
      <w:pPr>
        <w:spacing w:after="0" w:line="240" w:lineRule="auto"/>
        <w:ind w:left="-180" w:right="-334"/>
        <w:rPr>
          <w:rFonts w:ascii="Georgia" w:eastAsia="SimSun" w:hAnsi="Georgia" w:cs="Times New Roman"/>
          <w:color w:val="000000"/>
          <w:sz w:val="21"/>
          <w:szCs w:val="21"/>
          <w:lang w:eastAsia="zh-CN"/>
        </w:rPr>
      </w:pPr>
    </w:p>
    <w:p w:rsidR="00E072B7" w:rsidRPr="00E072B7" w:rsidRDefault="00E072B7" w:rsidP="00E072B7">
      <w:pPr>
        <w:spacing w:after="0" w:line="240" w:lineRule="auto"/>
        <w:ind w:left="-180" w:right="-334"/>
        <w:rPr>
          <w:rFonts w:ascii="Georgia" w:eastAsia="SimSun" w:hAnsi="Georgia" w:cs="Times New Roman"/>
          <w:color w:val="000000"/>
          <w:sz w:val="21"/>
          <w:szCs w:val="21"/>
          <w:lang w:eastAsia="zh-CN"/>
        </w:rPr>
      </w:pPr>
    </w:p>
    <w:p w:rsidR="00E072B7" w:rsidRPr="00E072B7" w:rsidRDefault="00E072B7" w:rsidP="00E072B7">
      <w:pPr>
        <w:spacing w:after="0" w:line="240" w:lineRule="auto"/>
        <w:ind w:left="-180" w:right="-334"/>
        <w:jc w:val="center"/>
        <w:rPr>
          <w:rFonts w:ascii="Arial" w:eastAsia="SimSun" w:hAnsi="Arial" w:cs="Arial"/>
          <w:b/>
          <w:color w:val="000000"/>
          <w:sz w:val="28"/>
          <w:szCs w:val="28"/>
          <w:lang w:val="cy-GB" w:eastAsia="zh-CN"/>
        </w:rPr>
      </w:pPr>
      <w:r w:rsidRPr="00E072B7">
        <w:rPr>
          <w:rFonts w:ascii="Arial" w:eastAsia="SimSun" w:hAnsi="Arial" w:cs="Arial"/>
          <w:b/>
          <w:color w:val="000000"/>
          <w:sz w:val="28"/>
          <w:szCs w:val="28"/>
          <w:lang w:val="cy-GB" w:eastAsia="zh-CN"/>
        </w:rPr>
        <w:t xml:space="preserve">Postgraduate/Distance Learning </w:t>
      </w:r>
    </w:p>
    <w:p w:rsidR="00E072B7" w:rsidRPr="00E072B7" w:rsidRDefault="00E072B7" w:rsidP="00E072B7">
      <w:pPr>
        <w:spacing w:after="0" w:line="240" w:lineRule="auto"/>
        <w:ind w:left="-180" w:right="-334"/>
        <w:jc w:val="center"/>
        <w:rPr>
          <w:rFonts w:ascii="Arial" w:eastAsia="SimSun" w:hAnsi="Arial" w:cs="Arial"/>
          <w:b/>
          <w:color w:val="000000"/>
          <w:sz w:val="28"/>
          <w:szCs w:val="28"/>
          <w:lang w:eastAsia="zh-CN"/>
        </w:rPr>
      </w:pPr>
      <w:r w:rsidRPr="00E072B7">
        <w:rPr>
          <w:rFonts w:ascii="Arial" w:eastAsia="SimSun" w:hAnsi="Arial" w:cs="Arial"/>
          <w:b/>
          <w:color w:val="000000"/>
          <w:sz w:val="28"/>
          <w:szCs w:val="28"/>
          <w:lang w:val="cy-GB" w:eastAsia="zh-CN"/>
        </w:rPr>
        <w:t>Assignment coversheet &amp; feedback form</w:t>
      </w:r>
    </w:p>
    <w:p w:rsidR="00E072B7" w:rsidRPr="00E072B7" w:rsidRDefault="00E072B7" w:rsidP="00E072B7">
      <w:pPr>
        <w:spacing w:after="0" w:line="240" w:lineRule="auto"/>
        <w:rPr>
          <w:rFonts w:ascii="Arial" w:eastAsia="SimSun" w:hAnsi="Arial" w:cs="Arial"/>
          <w:sz w:val="28"/>
          <w:szCs w:val="28"/>
          <w:lang w:val="cy-GB" w:eastAsia="zh-CN"/>
        </w:rPr>
      </w:pPr>
    </w:p>
    <w:p w:rsidR="00E072B7" w:rsidRPr="00E072B7" w:rsidRDefault="00E072B7" w:rsidP="00E072B7">
      <w:pPr>
        <w:keepNext/>
        <w:spacing w:after="0" w:line="240" w:lineRule="auto"/>
        <w:ind w:left="720"/>
        <w:jc w:val="center"/>
        <w:outlineLvl w:val="2"/>
        <w:rPr>
          <w:rFonts w:ascii="Tahoma" w:eastAsia="SimSun" w:hAnsi="Tahoma" w:cs="Tahoma"/>
          <w:b/>
          <w:bCs/>
          <w:sz w:val="20"/>
          <w:szCs w:val="20"/>
          <w:lang w:val="cy-GB" w:eastAsia="zh-CN"/>
        </w:rPr>
      </w:pPr>
      <w:r w:rsidRPr="00E072B7">
        <w:rPr>
          <w:rFonts w:ascii="Tahoma" w:eastAsia="SimSun" w:hAnsi="Tahoma" w:cs="Tahoma"/>
          <w:b/>
          <w:bCs/>
          <w:sz w:val="20"/>
          <w:szCs w:val="20"/>
          <w:lang w:val="cy-GB" w:eastAsia="zh-CN"/>
        </w:rPr>
        <w:t>THIS SHEET MUST BE THE FIRST PAGE OF THE ASSIGNMENT YOU ARE SUBMITTING  (DO NOT SEND AS A SEPARATE FILE)</w:t>
      </w:r>
    </w:p>
    <w:p w:rsidR="00E072B7" w:rsidRPr="00E072B7" w:rsidRDefault="00E072B7" w:rsidP="00E072B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72B7" w:rsidRPr="00E072B7" w:rsidTr="00E072B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b/>
                <w:color w:val="000000"/>
                <w:lang w:eastAsia="zh-CN"/>
              </w:rPr>
              <w:t>For completion by the student</w:t>
            </w:r>
            <w:r w:rsidRPr="00E072B7">
              <w:rPr>
                <w:rFonts w:ascii="Arial" w:eastAsia="SimSun" w:hAnsi="Arial" w:cs="Arial"/>
                <w:color w:val="000000"/>
                <w:lang w:eastAsia="zh-CN"/>
              </w:rPr>
              <w:t>:</w:t>
            </w:r>
          </w:p>
        </w:tc>
      </w:tr>
      <w:tr w:rsidR="00E072B7" w:rsidRPr="00E072B7" w:rsidTr="00E072B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Student Name: Nicholas Jones</w:t>
            </w: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 xml:space="preserve">Student </w:t>
            </w:r>
            <w:r w:rsidRPr="00E072B7">
              <w:rPr>
                <w:rFonts w:ascii="Arial" w:eastAsia="SimSun" w:hAnsi="Arial" w:cs="Arial"/>
                <w:b/>
                <w:bCs/>
                <w:color w:val="000000"/>
                <w:u w:val="single"/>
                <w:lang w:eastAsia="zh-CN"/>
              </w:rPr>
              <w:t>University</w:t>
            </w:r>
            <w:r w:rsidRPr="00E072B7">
              <w:rPr>
                <w:rFonts w:ascii="Arial" w:eastAsia="SimSun" w:hAnsi="Arial" w:cs="Arial"/>
                <w:color w:val="000000"/>
                <w:u w:val="single"/>
                <w:lang w:eastAsia="zh-CN"/>
              </w:rPr>
              <w:t xml:space="preserve"> </w:t>
            </w:r>
            <w:r w:rsidRPr="00E072B7">
              <w:rPr>
                <w:rFonts w:ascii="Arial" w:eastAsia="SimSun" w:hAnsi="Arial" w:cs="Arial"/>
                <w:color w:val="000000"/>
                <w:lang w:eastAsia="zh-CN"/>
              </w:rPr>
              <w:t>Email: 1602109@student.uwtsd.ac.uk</w:t>
            </w:r>
          </w:p>
        </w:tc>
      </w:tr>
      <w:tr w:rsidR="00E072B7" w:rsidRPr="00E072B7" w:rsidTr="00E072B7">
        <w:trPr>
          <w:trHeight w:val="849"/>
        </w:trPr>
        <w:tc>
          <w:tcPr>
            <w:tcW w:w="4788" w:type="dxa"/>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Module code:</w:t>
            </w:r>
            <w:r>
              <w:rPr>
                <w:rFonts w:ascii="Arial" w:eastAsia="SimSun" w:hAnsi="Arial" w:cs="Arial"/>
                <w:color w:val="000000"/>
                <w:lang w:eastAsia="zh-CN"/>
              </w:rPr>
              <w:t xml:space="preserve"> AHAN7006</w:t>
            </w: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Module title:  Sacred Geography</w:t>
            </w: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Student ID number:</w:t>
            </w: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1602109</w:t>
            </w:r>
          </w:p>
        </w:tc>
        <w:tc>
          <w:tcPr>
            <w:tcW w:w="1802" w:type="dxa"/>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Educational support needs:</w:t>
            </w: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No</w:t>
            </w:r>
          </w:p>
        </w:tc>
      </w:tr>
      <w:tr w:rsidR="00E072B7" w:rsidRPr="00E072B7" w:rsidTr="00E072B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Assignment title: Is Barbara Bender’s theory of contested space complemented by Christopher Tilley’s phenomenological perspective?</w:t>
            </w: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Assignment due date:</w:t>
            </w:r>
          </w:p>
        </w:tc>
      </w:tr>
      <w:tr w:rsidR="00E072B7" w:rsidRPr="00E072B7" w:rsidTr="00E072B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rPr>
                <w:rFonts w:ascii="Arial" w:eastAsia="SimSun" w:hAnsi="Arial" w:cs="Arial"/>
                <w:lang w:eastAsia="zh-CN"/>
              </w:rPr>
            </w:pPr>
            <w:r w:rsidRPr="00E072B7">
              <w:rPr>
                <w:rFonts w:ascii="Arial" w:eastAsia="SimSun" w:hAnsi="Arial" w:cs="Arial"/>
                <w:lang w:eastAsia="zh-CN"/>
              </w:rPr>
              <w:t>This assignment is for the       1</w:t>
            </w:r>
            <w:r w:rsidRPr="00E072B7">
              <w:rPr>
                <w:rFonts w:ascii="Arial" w:eastAsia="SimSun" w:hAnsi="Arial" w:cs="Arial"/>
                <w:vertAlign w:val="superscript"/>
                <w:lang w:eastAsia="zh-CN"/>
              </w:rPr>
              <w:t xml:space="preserve">st </w:t>
            </w:r>
            <w:r w:rsidRPr="00E072B7">
              <w:rPr>
                <w:rFonts w:ascii="Arial" w:eastAsia="SimSun" w:hAnsi="Arial" w:cs="Arial"/>
                <w:lang w:eastAsia="zh-CN"/>
              </w:rPr>
              <w:fldChar w:fldCharType="begin">
                <w:ffData>
                  <w:name w:val="Check13"/>
                  <w:enabled/>
                  <w:calcOnExit w:val="0"/>
                  <w:checkBox>
                    <w:sizeAuto/>
                    <w:default w:val="0"/>
                  </w:checkBox>
                </w:ffData>
              </w:fldChar>
            </w:r>
            <w:bookmarkStart w:id="0" w:name="Check13"/>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0"/>
            <w:r w:rsidRPr="00E072B7">
              <w:rPr>
                <w:rFonts w:ascii="Arial" w:eastAsia="SimSun" w:hAnsi="Arial" w:cs="Arial"/>
                <w:lang w:eastAsia="zh-CN"/>
              </w:rPr>
              <w:t xml:space="preserve">    2</w:t>
            </w:r>
            <w:r w:rsidRPr="00E072B7">
              <w:rPr>
                <w:rFonts w:ascii="Arial" w:eastAsia="SimSun" w:hAnsi="Arial" w:cs="Arial"/>
                <w:vertAlign w:val="superscript"/>
                <w:lang w:eastAsia="zh-CN"/>
              </w:rPr>
              <w:t>nd</w:t>
            </w:r>
            <w:r w:rsidRPr="00E072B7">
              <w:rPr>
                <w:rFonts w:ascii="Arial" w:eastAsia="SimSun" w:hAnsi="Arial" w:cs="Arial"/>
                <w:lang w:eastAsia="zh-CN"/>
              </w:rPr>
              <w:t xml:space="preserve">  </w:t>
            </w:r>
            <w:r w:rsidRPr="00E072B7">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1"/>
            <w:r w:rsidRPr="00E072B7">
              <w:rPr>
                <w:rFonts w:ascii="Arial" w:eastAsia="SimSun" w:hAnsi="Arial" w:cs="Arial"/>
                <w:lang w:eastAsia="zh-CN"/>
              </w:rPr>
              <w:t xml:space="preserve">     3</w:t>
            </w:r>
            <w:r w:rsidRPr="00E072B7">
              <w:rPr>
                <w:rFonts w:ascii="Arial" w:eastAsia="SimSun" w:hAnsi="Arial" w:cs="Arial"/>
                <w:vertAlign w:val="superscript"/>
                <w:lang w:eastAsia="zh-CN"/>
              </w:rPr>
              <w:t>rd</w:t>
            </w:r>
            <w:r w:rsidRPr="00E072B7">
              <w:rPr>
                <w:rFonts w:ascii="Arial" w:eastAsia="SimSun" w:hAnsi="Arial" w:cs="Arial"/>
                <w:lang w:eastAsia="zh-CN"/>
              </w:rPr>
              <w:t xml:space="preserve">  </w:t>
            </w:r>
            <w:r w:rsidRPr="00E072B7">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2"/>
            <w:r w:rsidRPr="00E072B7">
              <w:rPr>
                <w:rFonts w:ascii="Arial" w:eastAsia="SimSun" w:hAnsi="Arial" w:cs="Arial"/>
                <w:lang w:eastAsia="zh-CN"/>
              </w:rPr>
              <w:t xml:space="preserve">      4</w:t>
            </w:r>
            <w:r w:rsidRPr="00E072B7">
              <w:rPr>
                <w:rFonts w:ascii="Arial" w:eastAsia="SimSun" w:hAnsi="Arial" w:cs="Arial"/>
                <w:vertAlign w:val="superscript"/>
                <w:lang w:eastAsia="zh-CN"/>
              </w:rPr>
              <w:t>th</w:t>
            </w:r>
            <w:r w:rsidRPr="00E072B7">
              <w:rPr>
                <w:rFonts w:ascii="Arial" w:eastAsia="SimSun" w:hAnsi="Arial" w:cs="Arial"/>
                <w:lang w:eastAsia="zh-CN"/>
              </w:rPr>
              <w:t xml:space="preserve"> X</w:t>
            </w:r>
            <w:r w:rsidRPr="00E072B7">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3"/>
            <w:r w:rsidRPr="00E072B7">
              <w:rPr>
                <w:rFonts w:ascii="Arial" w:eastAsia="SimSun" w:hAnsi="Arial" w:cs="Arial"/>
                <w:lang w:eastAsia="zh-CN"/>
              </w:rPr>
              <w:t>X      5</w:t>
            </w:r>
            <w:r w:rsidRPr="00E072B7">
              <w:rPr>
                <w:rFonts w:ascii="Arial" w:eastAsia="SimSun" w:hAnsi="Arial" w:cs="Arial"/>
                <w:vertAlign w:val="superscript"/>
                <w:lang w:eastAsia="zh-CN"/>
              </w:rPr>
              <w:t>th</w:t>
            </w:r>
            <w:r w:rsidRPr="00E072B7">
              <w:rPr>
                <w:rFonts w:ascii="Arial" w:eastAsia="SimSun" w:hAnsi="Arial" w:cs="Arial"/>
                <w:lang w:eastAsia="zh-CN"/>
              </w:rPr>
              <w:t xml:space="preserve"> </w:t>
            </w:r>
            <w:r w:rsidRPr="00E072B7">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4"/>
            <w:r w:rsidRPr="00E072B7">
              <w:rPr>
                <w:rFonts w:ascii="Arial" w:eastAsia="SimSun" w:hAnsi="Arial" w:cs="Arial"/>
                <w:lang w:eastAsia="zh-CN"/>
              </w:rPr>
              <w:t xml:space="preserve">      6</w:t>
            </w:r>
            <w:r w:rsidRPr="00E072B7">
              <w:rPr>
                <w:rFonts w:ascii="Arial" w:eastAsia="SimSun" w:hAnsi="Arial" w:cs="Arial"/>
                <w:vertAlign w:val="superscript"/>
                <w:lang w:eastAsia="zh-CN"/>
              </w:rPr>
              <w:t>th</w:t>
            </w:r>
            <w:r w:rsidRPr="00E072B7">
              <w:rPr>
                <w:rFonts w:ascii="Arial" w:eastAsia="SimSun" w:hAnsi="Arial" w:cs="Arial"/>
                <w:lang w:eastAsia="zh-CN"/>
              </w:rPr>
              <w:t xml:space="preserve"> </w:t>
            </w:r>
            <w:r w:rsidRPr="00E072B7">
              <w:rPr>
                <w:rFonts w:ascii="Arial" w:eastAsia="SimSun" w:hAnsi="Arial" w:cs="Arial"/>
                <w:lang w:eastAsia="zh-CN"/>
              </w:rPr>
              <w:fldChar w:fldCharType="begin">
                <w:ffData>
                  <w:name w:val="Check18"/>
                  <w:enabled/>
                  <w:calcOnExit w:val="0"/>
                  <w:checkBox>
                    <w:sizeAuto/>
                    <w:default w:val="0"/>
                  </w:checkBox>
                </w:ffData>
              </w:fldChar>
            </w:r>
            <w:bookmarkStart w:id="5" w:name="Check18"/>
            <w:r w:rsidRPr="00E072B7">
              <w:rPr>
                <w:rFonts w:ascii="Arial" w:eastAsia="SimSun" w:hAnsi="Arial" w:cs="Arial"/>
                <w:lang w:eastAsia="zh-CN"/>
              </w:rPr>
              <w:instrText xml:space="preserve"> FORMCHECKBOX </w:instrText>
            </w:r>
            <w:r w:rsidRPr="00E072B7">
              <w:rPr>
                <w:rFonts w:ascii="Times New Roman" w:eastAsia="SimSun" w:hAnsi="Times New Roman" w:cs="Times New Roman"/>
                <w:sz w:val="24"/>
                <w:szCs w:val="24"/>
                <w:lang w:eastAsia="zh-CN"/>
              </w:rPr>
            </w:r>
            <w:r w:rsidRPr="00E072B7">
              <w:rPr>
                <w:rFonts w:ascii="Times New Roman" w:eastAsia="SimSun" w:hAnsi="Times New Roman" w:cs="Times New Roman"/>
                <w:sz w:val="24"/>
                <w:szCs w:val="24"/>
                <w:lang w:eastAsia="zh-CN"/>
              </w:rPr>
              <w:fldChar w:fldCharType="end"/>
            </w:r>
            <w:bookmarkEnd w:id="5"/>
            <w:r w:rsidRPr="00E072B7">
              <w:rPr>
                <w:rFonts w:ascii="Arial" w:eastAsia="SimSun" w:hAnsi="Arial" w:cs="Arial"/>
                <w:b/>
                <w:lang w:eastAsia="zh-CN"/>
              </w:rPr>
              <w:t xml:space="preserve">   </w:t>
            </w:r>
            <w:r w:rsidRPr="00E072B7">
              <w:rPr>
                <w:rFonts w:ascii="Arial" w:eastAsia="SimSun" w:hAnsi="Arial" w:cs="Arial"/>
                <w:lang w:eastAsia="zh-CN"/>
              </w:rPr>
              <w:t>module of the degree</w:t>
            </w:r>
          </w:p>
        </w:tc>
      </w:tr>
      <w:tr w:rsidR="00E072B7" w:rsidRPr="00E072B7" w:rsidTr="00E072B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I confirm that this is my original work and that I have adhered to the University policy on plagiarism.</w:t>
            </w: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Arial" w:eastAsia="SimSun" w:hAnsi="Arial" w:cs="Arial"/>
                <w:color w:val="000000"/>
                <w:lang w:eastAsia="zh-CN"/>
              </w:rPr>
              <w:t>Signed N R Jones……………………………………………………………</w:t>
            </w:r>
          </w:p>
          <w:p w:rsidR="00E072B7" w:rsidRPr="00E072B7" w:rsidRDefault="00E072B7" w:rsidP="00E072B7">
            <w:pPr>
              <w:spacing w:after="0" w:line="240" w:lineRule="auto"/>
              <w:ind w:right="34"/>
              <w:rPr>
                <w:rFonts w:ascii="Calibri" w:eastAsia="SimSun" w:hAnsi="Calibri" w:cs="Calibri"/>
                <w:b/>
                <w:color w:val="000000"/>
                <w:sz w:val="44"/>
                <w:szCs w:val="44"/>
                <w:lang w:eastAsia="zh-CN"/>
              </w:rPr>
            </w:pPr>
            <w:r w:rsidRPr="00E072B7">
              <w:rPr>
                <w:rFonts w:ascii="Calibri" w:eastAsia="SimSun" w:hAnsi="Calibri" w:cs="Tahoma"/>
                <w:b/>
                <w:color w:val="000000"/>
                <w:sz w:val="24"/>
                <w:szCs w:val="24"/>
                <w:lang w:eastAsia="zh-CN"/>
              </w:rPr>
              <w:t xml:space="preserve">Email </w:t>
            </w:r>
            <w:proofErr w:type="spellStart"/>
            <w:r w:rsidRPr="00E072B7">
              <w:rPr>
                <w:rFonts w:ascii="Calibri" w:eastAsia="SimSun" w:hAnsi="Calibri" w:cs="Tahoma"/>
                <w:b/>
                <w:color w:val="000000"/>
                <w:sz w:val="24"/>
                <w:szCs w:val="24"/>
                <w:lang w:eastAsia="zh-CN"/>
              </w:rPr>
              <w:t>submission:if</w:t>
            </w:r>
            <w:proofErr w:type="spellEnd"/>
            <w:r w:rsidRPr="00E072B7">
              <w:rPr>
                <w:rFonts w:ascii="Calibri" w:eastAsia="SimSun" w:hAnsi="Calibri" w:cs="Tahoma"/>
                <w:b/>
                <w:color w:val="000000"/>
                <w:sz w:val="24"/>
                <w:szCs w:val="24"/>
                <w:lang w:eastAsia="zh-CN"/>
              </w:rPr>
              <w:t xml:space="preserve"> you are submitting this form via email, please tick this box   </w:t>
            </w:r>
            <w:r w:rsidRPr="00E072B7">
              <w:rPr>
                <w:rFonts w:ascii="Calibri" w:eastAsia="SimSun" w:hAnsi="Calibri" w:cs="Calibri"/>
                <w:b/>
                <w:color w:val="000000"/>
                <w:sz w:val="44"/>
                <w:szCs w:val="44"/>
                <w:lang w:eastAsia="zh-CN"/>
              </w:rPr>
              <w:t>TICK</w:t>
            </w:r>
          </w:p>
          <w:p w:rsidR="00E072B7" w:rsidRPr="00E072B7" w:rsidRDefault="00E072B7" w:rsidP="00E072B7">
            <w:pPr>
              <w:spacing w:after="0" w:line="240" w:lineRule="auto"/>
              <w:ind w:right="34"/>
              <w:rPr>
                <w:rFonts w:ascii="Arial" w:eastAsia="SimSun" w:hAnsi="Arial" w:cs="Arial"/>
                <w:color w:val="000000"/>
                <w:lang w:eastAsia="zh-CN"/>
              </w:rPr>
            </w:pPr>
            <w:r w:rsidRPr="00E072B7">
              <w:rPr>
                <w:rFonts w:ascii="Calibri" w:eastAsia="SimSun" w:hAnsi="Calibri" w:cs="Tahoma"/>
                <w:b/>
                <w:color w:val="000000"/>
                <w:sz w:val="24"/>
                <w:szCs w:val="24"/>
                <w:lang w:eastAsia="zh-CN"/>
              </w:rPr>
              <w:t>(</w:t>
            </w:r>
            <w:proofErr w:type="gramStart"/>
            <w:r w:rsidRPr="00E072B7">
              <w:rPr>
                <w:rFonts w:ascii="Calibri" w:eastAsia="SimSun" w:hAnsi="Calibri" w:cs="Tahoma"/>
                <w:b/>
                <w:color w:val="000000"/>
                <w:sz w:val="24"/>
                <w:szCs w:val="24"/>
                <w:lang w:eastAsia="zh-CN"/>
              </w:rPr>
              <w:t>as</w:t>
            </w:r>
            <w:proofErr w:type="gramEnd"/>
            <w:r w:rsidRPr="00E072B7">
              <w:rPr>
                <w:rFonts w:ascii="Calibri" w:eastAsia="SimSun" w:hAnsi="Calibri" w:cs="Tahoma"/>
                <w:b/>
                <w:color w:val="000000"/>
                <w:sz w:val="24"/>
                <w:szCs w:val="24"/>
                <w:lang w:eastAsia="zh-CN"/>
              </w:rPr>
              <w:t xml:space="preserve"> a substitute for your signature) to confirm that you agree to the above declaration.</w:t>
            </w:r>
          </w:p>
        </w:tc>
      </w:tr>
      <w:tr w:rsidR="00E072B7" w:rsidRPr="00E072B7" w:rsidTr="00E072B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rPr>
                <w:rFonts w:ascii="Arial" w:eastAsia="SimSun" w:hAnsi="Arial" w:cs="Times New Roman"/>
                <w:b/>
                <w:sz w:val="24"/>
                <w:szCs w:val="24"/>
                <w:lang w:eastAsia="zh-CN"/>
              </w:rPr>
            </w:pPr>
          </w:p>
          <w:p w:rsidR="00E072B7" w:rsidRPr="00E072B7" w:rsidRDefault="00E072B7" w:rsidP="00E072B7">
            <w:pPr>
              <w:spacing w:after="0" w:line="240" w:lineRule="auto"/>
              <w:rPr>
                <w:rFonts w:ascii="Arial" w:eastAsia="SimSun" w:hAnsi="Arial" w:cs="Times New Roman"/>
                <w:sz w:val="24"/>
                <w:szCs w:val="24"/>
                <w:lang w:eastAsia="zh-CN"/>
              </w:rPr>
            </w:pPr>
            <w:r w:rsidRPr="00E072B7">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72B7" w:rsidRPr="00E072B7">
              <w:tc>
                <w:tcPr>
                  <w:tcW w:w="697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p w:rsidR="00E072B7" w:rsidRPr="00E072B7" w:rsidRDefault="00E072B7" w:rsidP="00E072B7">
                  <w:pPr>
                    <w:spacing w:after="0" w:line="240" w:lineRule="auto"/>
                    <w:rPr>
                      <w:rFonts w:ascii="Arial" w:eastAsia="SimSun" w:hAnsi="Arial" w:cs="Times New Roman"/>
                      <w:sz w:val="20"/>
                      <w:szCs w:val="20"/>
                      <w:lang w:eastAsia="zh-CN"/>
                    </w:rPr>
                  </w:pPr>
                  <w:r w:rsidRPr="00E072B7">
                    <w:rPr>
                      <w:rFonts w:ascii="Arial" w:eastAsia="SimSun" w:hAnsi="Arial" w:cs="Times New Roman"/>
                      <w:sz w:val="20"/>
                      <w:szCs w:val="20"/>
                      <w:lang w:eastAsia="zh-CN"/>
                    </w:rPr>
                    <w:t>1</w:t>
                  </w:r>
                  <w:r w:rsidRPr="00E072B7">
                    <w:rPr>
                      <w:rFonts w:ascii="Arial" w:eastAsia="SimSun" w:hAnsi="Arial" w:cs="Times New Roman"/>
                      <w:sz w:val="20"/>
                      <w:szCs w:val="20"/>
                      <w:vertAlign w:val="superscript"/>
                      <w:lang w:eastAsia="zh-CN"/>
                    </w:rPr>
                    <w:t>st</w:t>
                  </w:r>
                  <w:r w:rsidRPr="00E072B7">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tc>
            </w:tr>
            <w:tr w:rsidR="00E072B7" w:rsidRPr="00E072B7">
              <w:tc>
                <w:tcPr>
                  <w:tcW w:w="697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p w:rsidR="00E072B7" w:rsidRPr="00E072B7" w:rsidRDefault="00E072B7" w:rsidP="00E072B7">
                  <w:pPr>
                    <w:spacing w:after="0" w:line="240" w:lineRule="auto"/>
                    <w:rPr>
                      <w:rFonts w:ascii="Arial" w:eastAsia="SimSun" w:hAnsi="Arial" w:cs="Times New Roman"/>
                      <w:sz w:val="20"/>
                      <w:szCs w:val="20"/>
                      <w:lang w:eastAsia="zh-CN"/>
                    </w:rPr>
                  </w:pPr>
                  <w:r w:rsidRPr="00E072B7">
                    <w:rPr>
                      <w:rFonts w:ascii="Arial" w:eastAsia="SimSun" w:hAnsi="Arial" w:cs="Times New Roman"/>
                      <w:sz w:val="20"/>
                      <w:szCs w:val="20"/>
                      <w:lang w:eastAsia="zh-CN"/>
                    </w:rPr>
                    <w:t>2</w:t>
                  </w:r>
                  <w:r w:rsidRPr="00E072B7">
                    <w:rPr>
                      <w:rFonts w:ascii="Arial" w:eastAsia="SimSun" w:hAnsi="Arial" w:cs="Times New Roman"/>
                      <w:sz w:val="20"/>
                      <w:szCs w:val="20"/>
                      <w:vertAlign w:val="superscript"/>
                      <w:lang w:eastAsia="zh-CN"/>
                    </w:rPr>
                    <w:t>nd</w:t>
                  </w:r>
                  <w:r w:rsidRPr="00E072B7">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tc>
            </w:tr>
            <w:tr w:rsidR="00E072B7" w:rsidRPr="00E072B7">
              <w:tc>
                <w:tcPr>
                  <w:tcW w:w="697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p w:rsidR="00E072B7" w:rsidRPr="00E072B7" w:rsidRDefault="00E072B7" w:rsidP="00E072B7">
                  <w:pPr>
                    <w:spacing w:after="0" w:line="240" w:lineRule="auto"/>
                    <w:rPr>
                      <w:rFonts w:ascii="Arial" w:eastAsia="SimSun" w:hAnsi="Arial" w:cs="Times New Roman"/>
                      <w:sz w:val="20"/>
                      <w:szCs w:val="20"/>
                      <w:lang w:eastAsia="zh-CN"/>
                    </w:rPr>
                  </w:pPr>
                  <w:r w:rsidRPr="00E072B7">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tc>
            </w:tr>
            <w:tr w:rsidR="00E072B7" w:rsidRPr="00E072B7">
              <w:tc>
                <w:tcPr>
                  <w:tcW w:w="697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p w:rsidR="00E072B7" w:rsidRPr="00E072B7" w:rsidRDefault="00E072B7" w:rsidP="00E072B7">
                  <w:pPr>
                    <w:spacing w:after="0" w:line="240" w:lineRule="auto"/>
                    <w:rPr>
                      <w:rFonts w:ascii="Arial" w:eastAsia="SimSun" w:hAnsi="Arial" w:cs="Times New Roman"/>
                      <w:b/>
                      <w:sz w:val="20"/>
                      <w:szCs w:val="20"/>
                      <w:lang w:eastAsia="zh-CN"/>
                    </w:rPr>
                  </w:pPr>
                  <w:r w:rsidRPr="00E072B7">
                    <w:rPr>
                      <w:rFonts w:ascii="Arial" w:eastAsia="SimSun" w:hAnsi="Arial" w:cs="Times New Roman"/>
                      <w:b/>
                      <w:sz w:val="20"/>
                      <w:szCs w:val="20"/>
                      <w:lang w:eastAsia="zh-CN"/>
                    </w:rPr>
                    <w:t>Final Mark</w:t>
                  </w:r>
                </w:p>
                <w:p w:rsidR="00E072B7" w:rsidRPr="00E072B7" w:rsidRDefault="00E072B7" w:rsidP="00E072B7">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E072B7" w:rsidRPr="00E072B7" w:rsidRDefault="00E072B7" w:rsidP="00E072B7">
                  <w:pPr>
                    <w:spacing w:after="0" w:line="240" w:lineRule="auto"/>
                    <w:rPr>
                      <w:rFonts w:ascii="Arial" w:eastAsia="SimSun" w:hAnsi="Arial" w:cs="Times New Roman"/>
                      <w:sz w:val="20"/>
                      <w:szCs w:val="20"/>
                      <w:lang w:eastAsia="zh-CN"/>
                    </w:rPr>
                  </w:pPr>
                </w:p>
              </w:tc>
            </w:tr>
          </w:tbl>
          <w:p w:rsidR="00E072B7" w:rsidRPr="00E072B7" w:rsidRDefault="00E072B7" w:rsidP="00E072B7">
            <w:pPr>
              <w:spacing w:after="0" w:line="240" w:lineRule="auto"/>
              <w:ind w:left="142" w:right="34"/>
              <w:rPr>
                <w:rFonts w:ascii="Arial" w:eastAsia="SimSun" w:hAnsi="Arial" w:cs="Arial"/>
                <w:b/>
                <w:color w:val="000000"/>
                <w:lang w:eastAsia="zh-CN"/>
              </w:rPr>
            </w:pPr>
          </w:p>
          <w:p w:rsidR="00E072B7" w:rsidRPr="00E072B7" w:rsidRDefault="00E072B7" w:rsidP="00E072B7">
            <w:pPr>
              <w:spacing w:after="0" w:line="240" w:lineRule="auto"/>
              <w:ind w:left="142" w:right="34"/>
              <w:rPr>
                <w:rFonts w:ascii="Arial" w:eastAsia="SimSun" w:hAnsi="Arial" w:cs="Arial"/>
                <w:color w:val="000000"/>
                <w:lang w:eastAsia="zh-CN"/>
              </w:rPr>
            </w:pPr>
            <w:r w:rsidRPr="00E072B7">
              <w:rPr>
                <w:rFonts w:ascii="Arial" w:eastAsia="SimSun" w:hAnsi="Arial" w:cs="Arial"/>
                <w:b/>
                <w:color w:val="000000"/>
                <w:lang w:eastAsia="zh-CN"/>
              </w:rPr>
              <w:t>NB.</w:t>
            </w:r>
            <w:r w:rsidRPr="00E072B7">
              <w:rPr>
                <w:rFonts w:ascii="Arial" w:eastAsia="SimSun" w:hAnsi="Arial" w:cs="Arial"/>
                <w:color w:val="000000"/>
                <w:lang w:eastAsia="zh-CN"/>
              </w:rPr>
              <w:t xml:space="preserve">  All marks are provisional until confirmed by the Final Examination Board.</w:t>
            </w:r>
          </w:p>
          <w:p w:rsidR="00E072B7" w:rsidRPr="00E072B7" w:rsidRDefault="00E072B7" w:rsidP="00E072B7">
            <w:pPr>
              <w:spacing w:after="0" w:line="240" w:lineRule="auto"/>
              <w:rPr>
                <w:rFonts w:ascii="Arial" w:eastAsia="SimSun" w:hAnsi="Arial" w:cs="Arial"/>
                <w:b/>
                <w:color w:val="000000"/>
                <w:lang w:eastAsia="zh-CN"/>
              </w:rPr>
            </w:pPr>
          </w:p>
          <w:p w:rsidR="00E072B7" w:rsidRPr="00E072B7" w:rsidRDefault="00E072B7" w:rsidP="00E072B7">
            <w:pPr>
              <w:spacing w:after="0" w:line="240" w:lineRule="auto"/>
              <w:rPr>
                <w:rFonts w:ascii="Arial" w:eastAsia="SimSun" w:hAnsi="Arial" w:cs="Arial"/>
                <w:b/>
                <w:color w:val="000000"/>
                <w:lang w:eastAsia="zh-CN"/>
              </w:rPr>
            </w:pPr>
          </w:p>
          <w:p w:rsidR="00E072B7" w:rsidRPr="00E072B7" w:rsidRDefault="00E072B7" w:rsidP="00E072B7">
            <w:pPr>
              <w:spacing w:after="0" w:line="240" w:lineRule="auto"/>
              <w:rPr>
                <w:rFonts w:ascii="Arial" w:eastAsia="SimSun" w:hAnsi="Arial" w:cs="Arial"/>
                <w:b/>
                <w:color w:val="000000"/>
                <w:lang w:eastAsia="zh-CN"/>
              </w:rPr>
            </w:pPr>
          </w:p>
          <w:p w:rsidR="00E072B7" w:rsidRPr="00E072B7" w:rsidRDefault="00E072B7" w:rsidP="00E072B7">
            <w:pPr>
              <w:spacing w:after="0" w:line="240" w:lineRule="auto"/>
              <w:rPr>
                <w:rFonts w:ascii="Arial" w:eastAsia="SimSun" w:hAnsi="Arial" w:cs="Arial"/>
                <w:b/>
                <w:color w:val="000000"/>
                <w:lang w:eastAsia="zh-CN"/>
              </w:rPr>
            </w:pPr>
          </w:p>
          <w:p w:rsidR="00E072B7" w:rsidRPr="00E072B7" w:rsidRDefault="00E072B7" w:rsidP="00E072B7">
            <w:pPr>
              <w:spacing w:after="0" w:line="240" w:lineRule="auto"/>
              <w:rPr>
                <w:rFonts w:ascii="Arial" w:eastAsia="SimSun" w:hAnsi="Arial" w:cs="Arial"/>
                <w:b/>
                <w:color w:val="000000"/>
                <w:lang w:eastAsia="zh-CN"/>
              </w:rPr>
            </w:pPr>
          </w:p>
          <w:p w:rsidR="00E072B7" w:rsidRPr="00E072B7" w:rsidRDefault="00E072B7" w:rsidP="00E072B7">
            <w:pPr>
              <w:spacing w:after="0" w:line="240" w:lineRule="auto"/>
              <w:rPr>
                <w:rFonts w:ascii="Arial" w:eastAsia="SimSun" w:hAnsi="Arial" w:cs="Arial"/>
                <w:b/>
                <w:color w:val="000000"/>
                <w:lang w:eastAsia="zh-CN"/>
              </w:rPr>
            </w:pPr>
            <w:r w:rsidRPr="00E072B7">
              <w:rPr>
                <w:rFonts w:ascii="Arial" w:eastAsia="SimSun" w:hAnsi="Arial" w:cs="Arial"/>
                <w:b/>
                <w:color w:val="000000"/>
                <w:lang w:eastAsia="zh-CN"/>
              </w:rPr>
              <w:lastRenderedPageBreak/>
              <w:t>For completion by Marker 1 :</w:t>
            </w:r>
          </w:p>
          <w:p w:rsidR="00E072B7" w:rsidRPr="00E072B7" w:rsidRDefault="00E072B7" w:rsidP="00E072B7">
            <w:pPr>
              <w:spacing w:before="100" w:beforeAutospacing="1" w:after="100" w:afterAutospacing="1" w:line="240" w:lineRule="auto"/>
              <w:rPr>
                <w:rFonts w:ascii="Arial" w:eastAsia="SimSun" w:hAnsi="Arial" w:cs="Arial"/>
                <w:color w:val="000000"/>
                <w:lang w:eastAsia="zh-CN"/>
              </w:rPr>
            </w:pPr>
            <w:r w:rsidRPr="00E072B7">
              <w:rPr>
                <w:rFonts w:ascii="Arial" w:eastAsia="SimSun" w:hAnsi="Arial" w:cs="Arial"/>
                <w:color w:val="000000"/>
                <w:lang w:eastAsia="zh-CN"/>
              </w:rPr>
              <w:t>Comments:</w:t>
            </w:r>
          </w:p>
          <w:p w:rsidR="00E072B7" w:rsidRPr="00E072B7" w:rsidRDefault="00E072B7" w:rsidP="00E072B7">
            <w:pPr>
              <w:spacing w:before="100" w:beforeAutospacing="1" w:after="100" w:afterAutospacing="1" w:line="240" w:lineRule="auto"/>
              <w:rPr>
                <w:rFonts w:ascii="Arial" w:eastAsia="SimSun" w:hAnsi="Arial" w:cs="Arial"/>
                <w:color w:val="000000"/>
                <w:lang w:eastAsia="zh-CN"/>
              </w:rPr>
            </w:pPr>
          </w:p>
        </w:tc>
      </w:tr>
      <w:tr w:rsidR="00E072B7" w:rsidRPr="00E072B7" w:rsidTr="00E072B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before="100" w:after="100" w:line="240" w:lineRule="auto"/>
              <w:ind w:left="142" w:right="34"/>
              <w:rPr>
                <w:rFonts w:ascii="Arial" w:eastAsia="SimSun" w:hAnsi="Arial" w:cs="Arial"/>
                <w:color w:val="000000"/>
                <w:lang w:eastAsia="zh-CN"/>
              </w:rPr>
            </w:pPr>
            <w:r w:rsidRPr="00E072B7">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before="100" w:after="0" w:line="240" w:lineRule="auto"/>
              <w:ind w:left="142" w:right="34"/>
              <w:rPr>
                <w:rFonts w:ascii="Arial" w:eastAsia="SimSun" w:hAnsi="Arial" w:cs="Arial"/>
                <w:color w:val="000000"/>
                <w:lang w:eastAsia="zh-CN"/>
              </w:rPr>
            </w:pPr>
            <w:r w:rsidRPr="00E072B7">
              <w:rPr>
                <w:rFonts w:ascii="Arial" w:eastAsia="SimSun" w:hAnsi="Arial" w:cs="Arial"/>
                <w:color w:val="000000"/>
                <w:lang w:eastAsia="zh-CN"/>
              </w:rPr>
              <w:t>Date:</w:t>
            </w:r>
          </w:p>
        </w:tc>
      </w:tr>
      <w:tr w:rsidR="00E072B7" w:rsidRPr="00E072B7" w:rsidTr="00E072B7">
        <w:tc>
          <w:tcPr>
            <w:tcW w:w="8856" w:type="dxa"/>
            <w:gridSpan w:val="5"/>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ind w:right="-334"/>
              <w:rPr>
                <w:rFonts w:ascii="Arial" w:eastAsia="SimSun" w:hAnsi="Arial" w:cs="Arial"/>
                <w:bCs/>
                <w:i/>
                <w:color w:val="000000"/>
                <w:lang w:eastAsia="zh-CN"/>
              </w:rPr>
            </w:pPr>
          </w:p>
          <w:p w:rsidR="00E072B7" w:rsidRPr="00E072B7" w:rsidRDefault="00E072B7" w:rsidP="00E072B7">
            <w:pPr>
              <w:spacing w:after="0" w:line="240" w:lineRule="auto"/>
              <w:ind w:right="-334"/>
              <w:rPr>
                <w:rFonts w:ascii="Arial" w:eastAsia="SimSun" w:hAnsi="Arial" w:cs="Arial"/>
                <w:b/>
                <w:bCs/>
                <w:color w:val="000000"/>
                <w:lang w:eastAsia="zh-CN"/>
              </w:rPr>
            </w:pPr>
            <w:r w:rsidRPr="00E072B7">
              <w:rPr>
                <w:rFonts w:ascii="Arial" w:eastAsia="SimSun" w:hAnsi="Arial" w:cs="Arial"/>
                <w:b/>
                <w:bCs/>
                <w:color w:val="000000"/>
                <w:lang w:eastAsia="zh-CN"/>
              </w:rPr>
              <w:t>For completion by Marker 2/Moderator:</w:t>
            </w:r>
          </w:p>
          <w:p w:rsidR="00E072B7" w:rsidRPr="00E072B7" w:rsidRDefault="00E072B7" w:rsidP="00E072B7">
            <w:pPr>
              <w:spacing w:after="0" w:line="240" w:lineRule="auto"/>
              <w:ind w:right="-334"/>
              <w:rPr>
                <w:rFonts w:ascii="Arial" w:eastAsia="SimSun" w:hAnsi="Arial" w:cs="Arial"/>
                <w:b/>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r w:rsidRPr="00E072B7">
              <w:rPr>
                <w:rFonts w:ascii="Arial" w:eastAsia="SimSun" w:hAnsi="Arial" w:cs="Arial"/>
                <w:bCs/>
                <w:color w:val="000000"/>
                <w:lang w:eastAsia="zh-CN"/>
              </w:rPr>
              <w:t>Comments:</w:t>
            </w: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tc>
      </w:tr>
      <w:tr w:rsidR="00E072B7" w:rsidRPr="00E072B7" w:rsidTr="00E072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ind w:right="-334"/>
              <w:rPr>
                <w:rFonts w:ascii="Arial" w:eastAsia="SimSun" w:hAnsi="Arial" w:cs="Arial"/>
                <w:bCs/>
                <w:color w:val="000000"/>
                <w:lang w:eastAsia="zh-CN"/>
              </w:rPr>
            </w:pPr>
            <w:r w:rsidRPr="00E072B7">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ind w:right="-334"/>
              <w:rPr>
                <w:rFonts w:ascii="Arial" w:eastAsia="SimSun" w:hAnsi="Arial" w:cs="Arial"/>
                <w:bCs/>
                <w:color w:val="000000"/>
                <w:lang w:eastAsia="zh-CN"/>
              </w:rPr>
            </w:pPr>
            <w:r w:rsidRPr="00E072B7">
              <w:rPr>
                <w:rFonts w:ascii="Arial" w:eastAsia="SimSun" w:hAnsi="Arial" w:cs="Arial"/>
                <w:bCs/>
                <w:color w:val="000000"/>
                <w:lang w:eastAsia="zh-CN"/>
              </w:rPr>
              <w:t>Date:</w:t>
            </w:r>
          </w:p>
        </w:tc>
      </w:tr>
      <w:tr w:rsidR="00E072B7" w:rsidRPr="00E072B7" w:rsidTr="00E072B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E072B7" w:rsidRPr="00E072B7" w:rsidRDefault="00E072B7" w:rsidP="00E072B7">
            <w:pPr>
              <w:spacing w:after="0" w:line="240" w:lineRule="auto"/>
              <w:rPr>
                <w:rFonts w:ascii="Arial" w:eastAsia="SimSun" w:hAnsi="Arial" w:cs="Arial"/>
                <w:b/>
                <w:lang w:eastAsia="zh-CN"/>
              </w:rPr>
            </w:pPr>
            <w:r w:rsidRPr="00E072B7">
              <w:rPr>
                <w:rFonts w:ascii="Arial" w:eastAsia="SimSun" w:hAnsi="Arial" w:cs="Arial"/>
                <w:b/>
                <w:lang w:eastAsia="zh-CN"/>
              </w:rPr>
              <w:t>External Examiner’s comments (if relevant)</w:t>
            </w: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p w:rsidR="00E072B7" w:rsidRPr="00E072B7" w:rsidRDefault="00E072B7" w:rsidP="00E072B7">
            <w:pPr>
              <w:spacing w:after="0" w:line="240" w:lineRule="auto"/>
              <w:ind w:right="-334"/>
              <w:rPr>
                <w:rFonts w:ascii="Arial" w:eastAsia="SimSun" w:hAnsi="Arial" w:cs="Arial"/>
                <w:bCs/>
                <w:color w:val="000000"/>
                <w:lang w:eastAsia="zh-CN"/>
              </w:rPr>
            </w:pPr>
          </w:p>
        </w:tc>
      </w:tr>
      <w:tr w:rsidR="00E072B7" w:rsidRPr="00E072B7" w:rsidTr="00E072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rPr>
                <w:rFonts w:ascii="Arial" w:eastAsia="SimSun" w:hAnsi="Arial" w:cs="Arial"/>
                <w:lang w:eastAsia="zh-CN"/>
              </w:rPr>
            </w:pPr>
            <w:r w:rsidRPr="00E072B7">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E072B7" w:rsidRPr="00E072B7" w:rsidRDefault="00E072B7" w:rsidP="00E072B7">
            <w:pPr>
              <w:spacing w:after="0" w:line="240" w:lineRule="auto"/>
              <w:rPr>
                <w:rFonts w:ascii="Arial" w:eastAsia="SimSun" w:hAnsi="Arial" w:cs="Arial"/>
                <w:lang w:eastAsia="zh-CN"/>
              </w:rPr>
            </w:pPr>
            <w:r w:rsidRPr="00E072B7">
              <w:rPr>
                <w:rFonts w:ascii="Arial" w:eastAsia="SimSun" w:hAnsi="Arial" w:cs="Arial"/>
                <w:lang w:eastAsia="zh-CN"/>
              </w:rPr>
              <w:t>Date:</w:t>
            </w:r>
          </w:p>
        </w:tc>
      </w:tr>
    </w:tbl>
    <w:p w:rsidR="00E072B7" w:rsidRDefault="00E072B7">
      <w:pPr>
        <w:rPr>
          <w:b/>
        </w:rPr>
      </w:pPr>
    </w:p>
    <w:p w:rsidR="000970E5" w:rsidRPr="004D60B8" w:rsidRDefault="00F3610E">
      <w:pPr>
        <w:rPr>
          <w:b/>
        </w:rPr>
      </w:pPr>
      <w:r w:rsidRPr="004D60B8">
        <w:rPr>
          <w:b/>
        </w:rPr>
        <w:lastRenderedPageBreak/>
        <w:t>Is Barbara Bender’s theory of contested space complemented by Christopher Tilley’s phenomenological perspective?</w:t>
      </w:r>
    </w:p>
    <w:p w:rsidR="00F30D3B" w:rsidRDefault="00F30D3B">
      <w:r>
        <w:t xml:space="preserve">The extent to which Bender’s and Tilley’s work complements, or not, will be examined through drawing out the similarities and differences </w:t>
      </w:r>
      <w:r w:rsidR="00575B96">
        <w:t xml:space="preserve">between their scholarly contributions </w:t>
      </w:r>
      <w:r>
        <w:t xml:space="preserve">as well as considering the </w:t>
      </w:r>
      <w:r w:rsidR="00575B96">
        <w:t>academic</w:t>
      </w:r>
      <w:r>
        <w:t xml:space="preserve"> and political stimuli t</w:t>
      </w:r>
      <w:r w:rsidR="00575B96">
        <w:t>hat promulgated those</w:t>
      </w:r>
      <w:r>
        <w:t xml:space="preserve"> contributions</w:t>
      </w:r>
      <w:r w:rsidR="00575B96">
        <w:t xml:space="preserve">. </w:t>
      </w:r>
    </w:p>
    <w:p w:rsidR="00575B96" w:rsidRDefault="00575B96">
      <w:r>
        <w:t>To accomplish such an examination in a balanced manner, one text from each author will be prioritised ab</w:t>
      </w:r>
      <w:r w:rsidR="00201650">
        <w:t xml:space="preserve">ove all previous </w:t>
      </w:r>
      <w:r w:rsidR="00AE572C">
        <w:t>and more recent</w:t>
      </w:r>
      <w:r w:rsidR="00201650">
        <w:t xml:space="preserve"> scholarship</w:t>
      </w:r>
      <w:r>
        <w:t xml:space="preserve"> because those texts were written contemporaneously and mar</w:t>
      </w:r>
      <w:r w:rsidR="00201650">
        <w:t xml:space="preserve">k a challenge to the </w:t>
      </w:r>
      <w:r>
        <w:t xml:space="preserve">dominant </w:t>
      </w:r>
      <w:r w:rsidR="00201650">
        <w:t>positivistic discourse at the interface between anthropolo</w:t>
      </w:r>
      <w:r>
        <w:t>gy</w:t>
      </w:r>
      <w:r w:rsidR="00201650">
        <w:t xml:space="preserve"> and archaeology</w:t>
      </w:r>
      <w:r>
        <w:t xml:space="preserve"> during the </w:t>
      </w:r>
      <w:r w:rsidR="00201650">
        <w:t>early 1990s.</w:t>
      </w:r>
    </w:p>
    <w:p w:rsidR="00661F41" w:rsidRDefault="0075518D">
      <w:r>
        <w:t>Writing in 1994, T</w:t>
      </w:r>
      <w:r w:rsidR="004B577E">
        <w:t>illey</w:t>
      </w:r>
      <w:r w:rsidR="00F30D3B">
        <w:t xml:space="preserve"> </w:t>
      </w:r>
      <w:r w:rsidR="00661F41">
        <w:t>states</w:t>
      </w:r>
      <w:r w:rsidR="006F5D09">
        <w:t xml:space="preserve"> in </w:t>
      </w:r>
      <w:r w:rsidR="006F5D09" w:rsidRPr="006F5D09">
        <w:rPr>
          <w:i/>
        </w:rPr>
        <w:t>A Phenomenology of Landscape: Places, Paths and Monuments</w:t>
      </w:r>
      <w:r w:rsidR="001918FA">
        <w:t>:</w:t>
      </w:r>
    </w:p>
    <w:p w:rsidR="004B577E" w:rsidRDefault="00DD3013" w:rsidP="00DD3013">
      <w:pPr>
        <w:ind w:left="1134" w:right="1088"/>
      </w:pPr>
      <w:r>
        <w:t xml:space="preserve"> </w:t>
      </w:r>
      <w:r w:rsidR="00661F41">
        <w:t>A caveat is in order: in general terms the anthropological literature, in cont</w:t>
      </w:r>
      <w:r w:rsidR="006F5D09">
        <w:t>rast</w:t>
      </w:r>
      <w:r w:rsidR="00661F41">
        <w:t xml:space="preserve"> with human geography, is not replete with discussions of the significance of landscape….Two books, currently in press as I write, are </w:t>
      </w:r>
      <w:r w:rsidR="00316DF8">
        <w:t>exceptions that prove the rule.</w:t>
      </w:r>
      <w:r w:rsidR="00661F41">
        <w:rPr>
          <w:rStyle w:val="FootnoteReference"/>
        </w:rPr>
        <w:footnoteReference w:id="1"/>
      </w:r>
    </w:p>
    <w:p w:rsidR="001918FA" w:rsidRDefault="00661F41">
      <w:r>
        <w:t>One of the two books to</w:t>
      </w:r>
      <w:r w:rsidR="00F30D3B">
        <w:t xml:space="preserve"> which Tilley refers is </w:t>
      </w:r>
      <w:r>
        <w:t>Bender’s</w:t>
      </w:r>
      <w:r w:rsidR="00F30D3B">
        <w:t xml:space="preserve"> </w:t>
      </w:r>
      <w:r w:rsidR="001918FA">
        <w:t>edited collection</w:t>
      </w:r>
      <w:r w:rsidR="0075518D">
        <w:t xml:space="preserve"> that was first</w:t>
      </w:r>
      <w:r w:rsidR="00201650">
        <w:t xml:space="preserve"> published in 199</w:t>
      </w:r>
      <w:r w:rsidR="0075518D">
        <w:t>3</w:t>
      </w:r>
      <w:r w:rsidR="001918FA">
        <w:t>,</w:t>
      </w:r>
      <w:r w:rsidR="006F5D09">
        <w:t xml:space="preserve"> </w:t>
      </w:r>
      <w:r w:rsidR="006F5D09" w:rsidRPr="006F5D09">
        <w:rPr>
          <w:i/>
        </w:rPr>
        <w:t>Lands</w:t>
      </w:r>
      <w:r w:rsidR="006F5D09">
        <w:rPr>
          <w:i/>
        </w:rPr>
        <w:t>cape: Politics and Perspectives</w:t>
      </w:r>
      <w:r w:rsidR="008C0A79">
        <w:t xml:space="preserve">.  </w:t>
      </w:r>
      <w:r w:rsidR="006F5D09">
        <w:t>Bender and Tilley were a</w:t>
      </w:r>
      <w:r w:rsidR="0075518D">
        <w:t>cademic colleagues</w:t>
      </w:r>
      <w:r w:rsidR="006F5D09">
        <w:t xml:space="preserve"> in the Anthropology department at University </w:t>
      </w:r>
      <w:r w:rsidR="001918FA">
        <w:t xml:space="preserve">College London at the time </w:t>
      </w:r>
      <w:r w:rsidR="006F5D09">
        <w:t>both texts were</w:t>
      </w:r>
      <w:r w:rsidR="001918FA">
        <w:t xml:space="preserve"> published by</w:t>
      </w:r>
      <w:r w:rsidR="006F5D09">
        <w:t xml:space="preserve"> </w:t>
      </w:r>
      <w:r w:rsidR="006F5D09" w:rsidRPr="006F5D09">
        <w:t>Berg</w:t>
      </w:r>
      <w:r w:rsidR="006F5D09">
        <w:t xml:space="preserve">.  The series of </w:t>
      </w:r>
      <w:r w:rsidR="008C17BB">
        <w:t xml:space="preserve">Berg </w:t>
      </w:r>
      <w:r w:rsidR="006F5D09">
        <w:t xml:space="preserve">publications which Bender’s and Tilley’s </w:t>
      </w:r>
      <w:r w:rsidR="008C17BB">
        <w:t xml:space="preserve">work contributed towards had the scholarly mission of ‘Explorations in Anthropology’.  </w:t>
      </w:r>
    </w:p>
    <w:p w:rsidR="00661F41" w:rsidRDefault="00AE572C">
      <w:r>
        <w:t>To understand</w:t>
      </w:r>
      <w:r w:rsidR="008C17BB">
        <w:t xml:space="preserve"> the complementary nature of Bender’s and Tilley’s contri</w:t>
      </w:r>
      <w:r>
        <w:t>bution to that mission</w:t>
      </w:r>
      <w:r w:rsidR="0075518D">
        <w:t>,</w:t>
      </w:r>
      <w:r w:rsidR="008C17BB">
        <w:t xml:space="preserve"> it </w:t>
      </w:r>
      <w:r>
        <w:t>is necessary to view their work in the</w:t>
      </w:r>
      <w:r w:rsidR="008C17BB">
        <w:t xml:space="preserve"> polit</w:t>
      </w:r>
      <w:r w:rsidR="00776505">
        <w:t>ical and scholarly</w:t>
      </w:r>
      <w:r>
        <w:t xml:space="preserve"> context of</w:t>
      </w:r>
      <w:r w:rsidR="008C17BB">
        <w:t xml:space="preserve"> t</w:t>
      </w:r>
      <w:r w:rsidR="006368E4">
        <w:t xml:space="preserve">he early </w:t>
      </w:r>
      <w:r w:rsidR="0075518D">
        <w:t xml:space="preserve">1990s and </w:t>
      </w:r>
      <w:r w:rsidR="006368E4">
        <w:t xml:space="preserve">to show </w:t>
      </w:r>
      <w:r w:rsidR="0075518D">
        <w:t>how human g</w:t>
      </w:r>
      <w:r w:rsidR="008C17BB">
        <w:t>eography had gone through a similar</w:t>
      </w:r>
      <w:r w:rsidR="001918FA">
        <w:t xml:space="preserve"> </w:t>
      </w:r>
      <w:r w:rsidR="00A41100">
        <w:t xml:space="preserve">turning point in theoretical </w:t>
      </w:r>
      <w:r w:rsidR="006368E4">
        <w:t>discourse during</w:t>
      </w:r>
      <w:r w:rsidR="001918FA">
        <w:t xml:space="preserve"> the 1970s.</w:t>
      </w:r>
    </w:p>
    <w:p w:rsidR="001918FA" w:rsidRDefault="00444791">
      <w:r>
        <w:t>Positivism and sp</w:t>
      </w:r>
      <w:r w:rsidR="0075518D">
        <w:t>atial science came to dominate human g</w:t>
      </w:r>
      <w:r>
        <w:t xml:space="preserve">eography in the 1960s but this development produced a countermovement </w:t>
      </w:r>
      <w:r w:rsidR="0075518D">
        <w:t xml:space="preserve">in the 1970s </w:t>
      </w:r>
      <w:r>
        <w:t>best exemplified by the scholarship of Yi-Fu Tuan that put human experien</w:t>
      </w:r>
      <w:r w:rsidR="0075518D">
        <w:t xml:space="preserve">ce at the centre of study.  Hubbard and </w:t>
      </w:r>
      <w:proofErr w:type="spellStart"/>
      <w:r w:rsidR="0075518D">
        <w:t>Kitchin</w:t>
      </w:r>
      <w:proofErr w:type="spellEnd"/>
      <w:r w:rsidR="0075518D">
        <w:t xml:space="preserve"> confirm</w:t>
      </w:r>
      <w:r>
        <w:t xml:space="preserve">: </w:t>
      </w:r>
      <w:r w:rsidR="00F975EA">
        <w:t>‘Focusing on human consciousness as the basis of being in the world, humanistic geography challenged the ideas of spatial science, behavioural geography and structu</w:t>
      </w:r>
      <w:r w:rsidR="00316DF8">
        <w:t xml:space="preserve">ral approaches …. </w:t>
      </w:r>
      <w:proofErr w:type="gramStart"/>
      <w:r w:rsidR="00316DF8">
        <w:t>in</w:t>
      </w:r>
      <w:proofErr w:type="gramEnd"/>
      <w:r w:rsidR="00316DF8">
        <w:t xml:space="preserve"> the 1970s.’</w:t>
      </w:r>
      <w:r w:rsidR="00F975EA">
        <w:rPr>
          <w:rStyle w:val="FootnoteReference"/>
        </w:rPr>
        <w:footnoteReference w:id="2"/>
      </w:r>
    </w:p>
    <w:p w:rsidR="005F0403" w:rsidRDefault="00DB7584">
      <w:r>
        <w:t>Tilley discusses both space and place in relation to his phenomenological perspective and quotes Tuan’s axiom: ‘If space a</w:t>
      </w:r>
      <w:r w:rsidR="00316DF8">
        <w:t>llows movement, place is pause.’</w:t>
      </w:r>
      <w:r>
        <w:t xml:space="preserve"> </w:t>
      </w:r>
      <w:r>
        <w:rPr>
          <w:rStyle w:val="FootnoteReference"/>
        </w:rPr>
        <w:footnoteReference w:id="3"/>
      </w:r>
      <w:r w:rsidR="0065674F">
        <w:t xml:space="preserve"> In contrast to Tilley, Bender’s theory of contested space is less indebted to the scholarship of the humanist geography movement of the 1970s.  Bender’</w:t>
      </w:r>
      <w:r w:rsidR="005B528B">
        <w:t>s theory</w:t>
      </w:r>
      <w:r w:rsidR="0065674F">
        <w:t xml:space="preserve"> resonate</w:t>
      </w:r>
      <w:r w:rsidR="005B528B">
        <w:t>s</w:t>
      </w:r>
      <w:r w:rsidR="0065674F">
        <w:t xml:space="preserve"> with </w:t>
      </w:r>
      <w:r w:rsidR="005B528B">
        <w:t>a differen</w:t>
      </w:r>
      <w:r w:rsidR="006368E4">
        <w:t>t more radical thread of 1970</w:t>
      </w:r>
      <w:r w:rsidR="00A41100">
        <w:t>’</w:t>
      </w:r>
      <w:r w:rsidR="006368E4">
        <w:t xml:space="preserve">s </w:t>
      </w:r>
      <w:r w:rsidR="00C94021">
        <w:t xml:space="preserve">human </w:t>
      </w:r>
      <w:r w:rsidR="006368E4">
        <w:t>g</w:t>
      </w:r>
      <w:r w:rsidR="005B528B">
        <w:t>eography</w:t>
      </w:r>
      <w:r w:rsidR="0065674F">
        <w:t xml:space="preserve"> scholarship that is </w:t>
      </w:r>
      <w:r w:rsidR="005B528B">
        <w:t xml:space="preserve">best </w:t>
      </w:r>
      <w:r w:rsidR="0065674F">
        <w:t>exemplified by</w:t>
      </w:r>
      <w:r w:rsidR="005B528B">
        <w:t xml:space="preserve"> the works of </w:t>
      </w:r>
      <w:r w:rsidR="0065674F">
        <w:t>David Harvey</w:t>
      </w:r>
      <w:r w:rsidR="005B528B">
        <w:t>.</w:t>
      </w:r>
    </w:p>
    <w:p w:rsidR="00DB7584" w:rsidRDefault="005F0403">
      <w:r>
        <w:t>Spatial sciences could not map</w:t>
      </w:r>
      <w:r w:rsidR="00102DF5">
        <w:t xml:space="preserve"> the causes of</w:t>
      </w:r>
      <w:r>
        <w:t xml:space="preserve"> inequalities of social power, or</w:t>
      </w:r>
      <w:r w:rsidR="00C01A54">
        <w:t xml:space="preserve"> the domination of elite</w:t>
      </w:r>
      <w:r w:rsidR="00C94021">
        <w:t xml:space="preserve"> power</w:t>
      </w:r>
      <w:r>
        <w:t xml:space="preserve"> that maintained </w:t>
      </w:r>
      <w:r w:rsidR="005B528B">
        <w:t xml:space="preserve">those </w:t>
      </w:r>
      <w:r>
        <w:t>inequ</w:t>
      </w:r>
      <w:r w:rsidR="00C01A54">
        <w:t>alities to serve its own interests. Radical</w:t>
      </w:r>
      <w:r w:rsidR="007A2617">
        <w:t xml:space="preserve"> argument</w:t>
      </w:r>
      <w:r w:rsidR="00C01A54">
        <w:t>s</w:t>
      </w:r>
      <w:r>
        <w:t xml:space="preserve"> relied on </w:t>
      </w:r>
      <w:r w:rsidR="00316DF8">
        <w:lastRenderedPageBreak/>
        <w:t xml:space="preserve">Marxist </w:t>
      </w:r>
      <w:r>
        <w:t>analysis</w:t>
      </w:r>
      <w:r w:rsidR="00793E39">
        <w:t xml:space="preserve"> and an understanding of space that is</w:t>
      </w:r>
      <w:r w:rsidR="00C01A54">
        <w:t xml:space="preserve"> produced</w:t>
      </w:r>
      <w:r w:rsidR="007A2617">
        <w:t xml:space="preserve"> through social practices rather than </w:t>
      </w:r>
      <w:r w:rsidR="00316DF8">
        <w:t xml:space="preserve">as </w:t>
      </w:r>
      <w:r w:rsidR="007A2617">
        <w:t>a container in which things</w:t>
      </w:r>
      <w:r w:rsidR="00102DF5">
        <w:t xml:space="preserve"> exist</w:t>
      </w:r>
      <w:r w:rsidR="007A2617">
        <w:t xml:space="preserve"> and</w:t>
      </w:r>
      <w:r w:rsidR="006368E4">
        <w:t xml:space="preserve"> </w:t>
      </w:r>
      <w:r w:rsidR="007A2617">
        <w:t>events happen</w:t>
      </w:r>
      <w:r w:rsidR="00793E39">
        <w:t>.</w:t>
      </w:r>
      <w:r w:rsidR="00793E39">
        <w:rPr>
          <w:rStyle w:val="FootnoteReference"/>
        </w:rPr>
        <w:footnoteReference w:id="4"/>
      </w:r>
    </w:p>
    <w:p w:rsidR="00102DF5" w:rsidRDefault="00102DF5">
      <w:r>
        <w:t>Bender</w:t>
      </w:r>
      <w:r w:rsidR="00316DF8">
        <w:t xml:space="preserve"> </w:t>
      </w:r>
      <w:r>
        <w:t>draws upon Harvey</w:t>
      </w:r>
      <w:r w:rsidR="00DB3AEF">
        <w:t xml:space="preserve"> </w:t>
      </w:r>
      <w:r w:rsidR="00316DF8">
        <w:t xml:space="preserve">and Gramsci </w:t>
      </w:r>
      <w:r w:rsidR="00DB3AEF">
        <w:t>in presenting a ren</w:t>
      </w:r>
      <w:r w:rsidR="006368E4">
        <w:t>egotiation of Marxism that gives</w:t>
      </w:r>
      <w:r w:rsidR="00DB3AEF">
        <w:t xml:space="preserve"> less attention to social processes producing differences in class but instead emphasises contestation predicated upon </w:t>
      </w:r>
      <w:r w:rsidR="00DB3AEF" w:rsidRPr="00DB3AEF">
        <w:rPr>
          <w:i/>
        </w:rPr>
        <w:t>inter alia</w:t>
      </w:r>
      <w:r w:rsidR="00DB3AEF">
        <w:t xml:space="preserve"> ‘the power of rhetoric and the lived materiality of our existence’</w:t>
      </w:r>
      <w:r w:rsidR="00045E6B">
        <w:t xml:space="preserve"> in the appropriation of space</w:t>
      </w:r>
      <w:r w:rsidR="00DB3AEF">
        <w:t>.</w:t>
      </w:r>
      <w:r w:rsidR="00DB3AEF">
        <w:rPr>
          <w:rStyle w:val="FootnoteReference"/>
        </w:rPr>
        <w:footnoteReference w:id="5"/>
      </w:r>
    </w:p>
    <w:p w:rsidR="00486507" w:rsidRDefault="00DB3AEF">
      <w:r>
        <w:t xml:space="preserve">Stonehenge is used </w:t>
      </w:r>
      <w:r w:rsidR="00486507">
        <w:t xml:space="preserve">by Bender </w:t>
      </w:r>
      <w:r>
        <w:t>as a case study</w:t>
      </w:r>
      <w:r w:rsidR="00486507">
        <w:t xml:space="preserve"> </w:t>
      </w:r>
      <w:r w:rsidR="00B978AB">
        <w:t xml:space="preserve">of landscape </w:t>
      </w:r>
      <w:r w:rsidR="00486507">
        <w:t>to demonstrate how:</w:t>
      </w:r>
    </w:p>
    <w:p w:rsidR="00DB3AEF" w:rsidRDefault="00486507" w:rsidP="00486507">
      <w:pPr>
        <w:ind w:left="1134" w:right="1655"/>
      </w:pPr>
      <w:r>
        <w:t>…..those with economic and political power and the necessary cultural capital have attempted, physically and aesthetically, to appropriate the landscape but also how these appropriations have been contested by those engaging with th</w:t>
      </w:r>
      <w:r w:rsidR="00316DF8">
        <w:t>e land in quite different ways.</w:t>
      </w:r>
      <w:r>
        <w:rPr>
          <w:rStyle w:val="FootnoteReference"/>
        </w:rPr>
        <w:footnoteReference w:id="6"/>
      </w:r>
    </w:p>
    <w:p w:rsidR="00B978AB" w:rsidRDefault="00B978AB" w:rsidP="00B978AB">
      <w:pPr>
        <w:ind w:right="237"/>
      </w:pPr>
      <w:r>
        <w:t>The Conservative</w:t>
      </w:r>
      <w:r w:rsidR="000F2ACB">
        <w:t xml:space="preserve"> Party government</w:t>
      </w:r>
      <w:r>
        <w:t xml:space="preserve"> (19</w:t>
      </w:r>
      <w:r w:rsidR="000F2ACB">
        <w:t>79-1997)</w:t>
      </w:r>
      <w:r>
        <w:t xml:space="preserve"> intr</w:t>
      </w:r>
      <w:r w:rsidR="00C01A54">
        <w:t xml:space="preserve">oduced </w:t>
      </w:r>
      <w:r w:rsidR="00F11647" w:rsidRPr="00F11647">
        <w:rPr>
          <w:i/>
        </w:rPr>
        <w:t>inter alia</w:t>
      </w:r>
      <w:r w:rsidR="00F11647">
        <w:t xml:space="preserve"> </w:t>
      </w:r>
      <w:r w:rsidR="00C01A54">
        <w:t xml:space="preserve">a </w:t>
      </w:r>
      <w:r w:rsidR="00D938A3">
        <w:t>command and control culture</w:t>
      </w:r>
      <w:r w:rsidR="00F11647">
        <w:t xml:space="preserve"> </w:t>
      </w:r>
      <w:r w:rsidR="00D938A3">
        <w:t xml:space="preserve">that eschewed alternative discourses.  </w:t>
      </w:r>
      <w:r w:rsidR="000F2ACB">
        <w:t>Through the quasi-state apparatus of the National Trust and English Heritage with assistance f</w:t>
      </w:r>
      <w:r w:rsidR="006368E4">
        <w:t>rom the British courts,</w:t>
      </w:r>
      <w:r w:rsidR="000F2ACB">
        <w:t xml:space="preserve"> travellers </w:t>
      </w:r>
      <w:r w:rsidR="00D954A2">
        <w:t xml:space="preserve">going to Stonehenge for a free festival were </w:t>
      </w:r>
      <w:r w:rsidR="000F2ACB">
        <w:t xml:space="preserve">served </w:t>
      </w:r>
      <w:r w:rsidR="00D954A2">
        <w:t xml:space="preserve">with </w:t>
      </w:r>
      <w:r w:rsidR="000F2ACB">
        <w:t xml:space="preserve">an injunction preventing </w:t>
      </w:r>
      <w:r w:rsidR="00D954A2">
        <w:t>access to the site.</w:t>
      </w:r>
      <w:r w:rsidR="007254AF">
        <w:rPr>
          <w:rStyle w:val="FootnoteReference"/>
        </w:rPr>
        <w:footnoteReference w:id="7"/>
      </w:r>
      <w:r w:rsidR="006368E4">
        <w:t xml:space="preserve"> When </w:t>
      </w:r>
      <w:r w:rsidR="00D954A2">
        <w:t xml:space="preserve">travellers contested this injunction through direct action </w:t>
      </w:r>
      <w:r w:rsidR="000F2ACB">
        <w:t xml:space="preserve">the state apparatus of the police </w:t>
      </w:r>
      <w:r w:rsidR="00D954A2">
        <w:t>use</w:t>
      </w:r>
      <w:r w:rsidR="006368E4">
        <w:t xml:space="preserve">d violence against the </w:t>
      </w:r>
      <w:r w:rsidR="00D954A2">
        <w:t xml:space="preserve">travellers culminating in the Battle of the </w:t>
      </w:r>
      <w:proofErr w:type="spellStart"/>
      <w:r w:rsidR="00D954A2">
        <w:t>Beanfield</w:t>
      </w:r>
      <w:proofErr w:type="spellEnd"/>
      <w:r w:rsidR="00D954A2">
        <w:t xml:space="preserve"> in 1985.</w:t>
      </w:r>
      <w:r w:rsidR="001F6920">
        <w:rPr>
          <w:rStyle w:val="FootnoteReference"/>
        </w:rPr>
        <w:footnoteReference w:id="8"/>
      </w:r>
    </w:p>
    <w:p w:rsidR="00A774A2" w:rsidRDefault="00A774A2" w:rsidP="00B978AB">
      <w:pPr>
        <w:ind w:right="237"/>
      </w:pPr>
      <w:r>
        <w:t xml:space="preserve">Bender shows through historical analysis </w:t>
      </w:r>
      <w:r w:rsidR="009532CB">
        <w:t xml:space="preserve">that Stonehenge is a richly textured and </w:t>
      </w:r>
      <w:r>
        <w:t>contested space</w:t>
      </w:r>
      <w:r w:rsidR="00045E6B">
        <w:t xml:space="preserve"> that presents different meanings to different groups of people engaging with the landscape</w:t>
      </w:r>
      <w:r w:rsidR="009532CB">
        <w:t>. Moreover, from the particularity of Stonehenge to landscape in general, Bender attends to how space is</w:t>
      </w:r>
      <w:r>
        <w:t xml:space="preserve"> appropriated by dominant political power and </w:t>
      </w:r>
      <w:r w:rsidR="00045E6B">
        <w:t xml:space="preserve">where </w:t>
      </w:r>
      <w:r w:rsidR="009532CB">
        <w:t xml:space="preserve">dominant </w:t>
      </w:r>
      <w:r>
        <w:t>political power allow</w:t>
      </w:r>
      <w:r w:rsidR="00045E6B">
        <w:t>s</w:t>
      </w:r>
      <w:r>
        <w:t xml:space="preserve"> access </w:t>
      </w:r>
      <w:r w:rsidR="009532CB">
        <w:t xml:space="preserve">to the less powerful </w:t>
      </w:r>
      <w:r>
        <w:t>then that comes with a price.</w:t>
      </w:r>
      <w:r w:rsidR="009532CB">
        <w:t xml:space="preserve">  It is through Marxist critique rather than the ‘multi-</w:t>
      </w:r>
      <w:proofErr w:type="spellStart"/>
      <w:r w:rsidR="009532CB">
        <w:t>vocal</w:t>
      </w:r>
      <w:r w:rsidR="007254AF">
        <w:t>ity</w:t>
      </w:r>
      <w:proofErr w:type="spellEnd"/>
      <w:r w:rsidR="007254AF">
        <w:t xml:space="preserve"> which eschews explanation’ offered up by postmodernism that Bender’s theory embeds its </w:t>
      </w:r>
      <w:r w:rsidR="00F11647">
        <w:t>rad</w:t>
      </w:r>
      <w:r w:rsidR="00045E6B">
        <w:t xml:space="preserve">ical </w:t>
      </w:r>
      <w:r w:rsidR="007254AF">
        <w:t>roots.</w:t>
      </w:r>
      <w:r w:rsidR="007254AF">
        <w:rPr>
          <w:rStyle w:val="FootnoteReference"/>
        </w:rPr>
        <w:footnoteReference w:id="9"/>
      </w:r>
    </w:p>
    <w:p w:rsidR="007254AF" w:rsidRDefault="00FC5FF7" w:rsidP="00B978AB">
      <w:pPr>
        <w:ind w:right="237"/>
      </w:pPr>
      <w:r>
        <w:t xml:space="preserve">The theory of contested spaces proposed </w:t>
      </w:r>
      <w:r w:rsidR="00F11647">
        <w:t>by Bender was formed in part as a response</w:t>
      </w:r>
      <w:r>
        <w:t xml:space="preserve"> to the </w:t>
      </w:r>
      <w:r w:rsidR="00D57C77">
        <w:t>political zeitgeist.  Bender sends</w:t>
      </w:r>
      <w:r>
        <w:t xml:space="preserve"> a </w:t>
      </w:r>
      <w:r w:rsidR="00D57C77">
        <w:t xml:space="preserve">blunt </w:t>
      </w:r>
      <w:r>
        <w:t xml:space="preserve">message to English Heritage and the Establishment that </w:t>
      </w:r>
      <w:r w:rsidR="00D57C77">
        <w:t>these nodes of power hold to a</w:t>
      </w:r>
      <w:r>
        <w:t xml:space="preserve"> ‘socially empty view of the past in line with modern conservative sensibilities</w:t>
      </w:r>
      <w:r w:rsidR="00D57C77">
        <w:t>.’</w:t>
      </w:r>
      <w:r w:rsidR="00D57C77">
        <w:rPr>
          <w:rStyle w:val="FootnoteReference"/>
        </w:rPr>
        <w:footnoteReference w:id="10"/>
      </w:r>
      <w:r w:rsidR="00D57C77">
        <w:t xml:space="preserve"> Landscape for Bender is ‘something constantly open to renegotiation.’</w:t>
      </w:r>
      <w:r w:rsidR="00D57C77">
        <w:rPr>
          <w:rStyle w:val="FootnoteReference"/>
        </w:rPr>
        <w:footnoteReference w:id="11"/>
      </w:r>
    </w:p>
    <w:p w:rsidR="00D57C77" w:rsidRDefault="008C2702" w:rsidP="00B978AB">
      <w:pPr>
        <w:ind w:right="237"/>
      </w:pPr>
      <w:r>
        <w:t>Unlike Bender, T</w:t>
      </w:r>
      <w:r w:rsidR="006368E4">
        <w:t>illey does not use</w:t>
      </w:r>
      <w:r w:rsidR="004B4B14">
        <w:t xml:space="preserve"> </w:t>
      </w:r>
      <w:r w:rsidR="00892B83">
        <w:t>neo-</w:t>
      </w:r>
      <w:r w:rsidR="004B4B14">
        <w:t>Marxist arguments</w:t>
      </w:r>
      <w:r w:rsidR="00892B83">
        <w:t xml:space="preserve"> (e.g. </w:t>
      </w:r>
      <w:r w:rsidR="00F11647">
        <w:t xml:space="preserve">Harvey or </w:t>
      </w:r>
      <w:r w:rsidR="00892B83">
        <w:t>Gramsci)</w:t>
      </w:r>
      <w:r w:rsidR="004B4B14">
        <w:t xml:space="preserve"> in defence of the phenomenolo</w:t>
      </w:r>
      <w:r w:rsidR="00316DF8">
        <w:t xml:space="preserve">gy of landscape but </w:t>
      </w:r>
      <w:r w:rsidR="004B4B14">
        <w:t>centres the basis of t</w:t>
      </w:r>
      <w:r>
        <w:t>he theory on human space as</w:t>
      </w:r>
      <w:r w:rsidR="004B4B14">
        <w:t xml:space="preserve"> a </w:t>
      </w:r>
      <w:r>
        <w:t>‘</w:t>
      </w:r>
      <w:r w:rsidR="004B4B14">
        <w:t>ma</w:t>
      </w:r>
      <w:r>
        <w:t xml:space="preserve">terialist, rational’ medium that stands in </w:t>
      </w:r>
      <w:r w:rsidR="004B4B14">
        <w:t>juxtaposition to a</w:t>
      </w:r>
      <w:r>
        <w:t>n ‘idealist, irrational’ container</w:t>
      </w:r>
      <w:r w:rsidR="004B4B14">
        <w:t>.</w:t>
      </w:r>
      <w:r>
        <w:rPr>
          <w:rStyle w:val="FootnoteReference"/>
        </w:rPr>
        <w:footnoteReference w:id="12"/>
      </w:r>
      <w:r w:rsidR="00F11647">
        <w:t xml:space="preserve"> </w:t>
      </w:r>
      <w:r w:rsidR="00F11647">
        <w:lastRenderedPageBreak/>
        <w:t xml:space="preserve">This proposition is fully consistent with Bender’s theory despite </w:t>
      </w:r>
      <w:r w:rsidR="00C076E5">
        <w:t>Tilley’s perspective being apolitical, so each scholar shares a common starting point in terms of th</w:t>
      </w:r>
      <w:r w:rsidR="00402861">
        <w:t xml:space="preserve">eir conceptualisation: </w:t>
      </w:r>
      <w:r w:rsidR="00C076E5">
        <w:t xml:space="preserve">space production </w:t>
      </w:r>
      <w:r w:rsidR="00402861">
        <w:t xml:space="preserve">is mediated </w:t>
      </w:r>
      <w:r w:rsidR="00C076E5">
        <w:t>through social practices.</w:t>
      </w:r>
    </w:p>
    <w:p w:rsidR="007254AF" w:rsidRDefault="00F47321" w:rsidP="00B978AB">
      <w:pPr>
        <w:ind w:right="237"/>
      </w:pPr>
      <w:r>
        <w:t>Tilley states:</w:t>
      </w:r>
    </w:p>
    <w:p w:rsidR="00F47321" w:rsidRDefault="00F47321" w:rsidP="00F47321">
      <w:pPr>
        <w:ind w:left="1134" w:right="1655"/>
      </w:pPr>
      <w:r>
        <w:t xml:space="preserve">There is no space, only spaces.  These spaces, as social productions, are always centred in relation to human agency and are amenable to reproduction or change because their constitution takes place as part of the day-to-day </w:t>
      </w:r>
      <w:r w:rsidRPr="00F47321">
        <w:rPr>
          <w:i/>
        </w:rPr>
        <w:t>praxis</w:t>
      </w:r>
      <w:r>
        <w:t xml:space="preserve"> or practical activity of individuals and groups in the world.</w:t>
      </w:r>
      <w:r>
        <w:rPr>
          <w:rStyle w:val="FootnoteReference"/>
        </w:rPr>
        <w:footnoteReference w:id="13"/>
      </w:r>
    </w:p>
    <w:p w:rsidR="00F47321" w:rsidRDefault="00B45482" w:rsidP="00B978AB">
      <w:pPr>
        <w:ind w:right="237"/>
      </w:pPr>
      <w:r>
        <w:t xml:space="preserve">A subtle point of difference between Tilley’s and Bender’s arguments emerge because Tilley inherently suggests, somewhat obliquely, that socially produced space is created by individuals </w:t>
      </w:r>
      <w:r w:rsidR="002A6840">
        <w:t xml:space="preserve">and groups </w:t>
      </w:r>
      <w:r>
        <w:t>where</w:t>
      </w:r>
      <w:r w:rsidR="002A6840">
        <w:t>as</w:t>
      </w:r>
      <w:r>
        <w:t xml:space="preserve"> Bender’s theory implies </w:t>
      </w:r>
      <w:r w:rsidR="002A6840">
        <w:t>group</w:t>
      </w:r>
      <w:r w:rsidR="006368E4">
        <w:t>s only</w:t>
      </w:r>
      <w:r w:rsidR="002A6840">
        <w:t>.  Tilley’s perspective affords more opportunity for individual human agency to produce space</w:t>
      </w:r>
      <w:r w:rsidR="006368E4">
        <w:t>s</w:t>
      </w:r>
      <w:r w:rsidR="002A6840">
        <w:t>.</w:t>
      </w:r>
    </w:p>
    <w:p w:rsidR="002A6840" w:rsidRDefault="002A6840" w:rsidP="00B978AB">
      <w:pPr>
        <w:ind w:right="237"/>
      </w:pPr>
      <w:r>
        <w:t xml:space="preserve">Tilley </w:t>
      </w:r>
      <w:r w:rsidR="00892B83">
        <w:t xml:space="preserve">draws upon the philosophy of Heidegger </w:t>
      </w:r>
      <w:r w:rsidR="006368E4">
        <w:t xml:space="preserve">and </w:t>
      </w:r>
      <w:proofErr w:type="spellStart"/>
      <w:r w:rsidR="006368E4">
        <w:t>Merleau-Ponty</w:t>
      </w:r>
      <w:proofErr w:type="spellEnd"/>
      <w:r w:rsidR="006368E4">
        <w:t xml:space="preserve">, </w:t>
      </w:r>
      <w:r w:rsidR="00550454">
        <w:t xml:space="preserve">thus </w:t>
      </w:r>
      <w:r w:rsidR="006368E4">
        <w:t>defining</w:t>
      </w:r>
      <w:r>
        <w:t xml:space="preserve"> phenomenology as ‘…the understanding and description of things as they are experienced by a subject. It is about the relationship between Being and Being-in the World.’</w:t>
      </w:r>
      <w:r>
        <w:rPr>
          <w:rStyle w:val="FootnoteReference"/>
        </w:rPr>
        <w:footnoteReference w:id="14"/>
      </w:r>
      <w:r w:rsidR="00B60461">
        <w:t xml:space="preserve"> Being-in-the-World is where individual human consciousness separates itself from its environment, thus setting-up a subjective mind and objective world dichotomy. The gap this distinction produces requires a bridge constructed of perceptions, movements and experiences to create a state of </w:t>
      </w:r>
      <w:r w:rsidR="00D767F8">
        <w:t>there-ness.</w:t>
      </w:r>
      <w:r w:rsidR="00D767F8">
        <w:rPr>
          <w:rStyle w:val="FootnoteReference"/>
        </w:rPr>
        <w:footnoteReference w:id="15"/>
      </w:r>
    </w:p>
    <w:p w:rsidR="00550454" w:rsidRDefault="006368E4" w:rsidP="00B978AB">
      <w:pPr>
        <w:ind w:right="237"/>
      </w:pPr>
      <w:r>
        <w:t xml:space="preserve">The work of de </w:t>
      </w:r>
      <w:proofErr w:type="spellStart"/>
      <w:r>
        <w:t>Certeau</w:t>
      </w:r>
      <w:proofErr w:type="spellEnd"/>
      <w:r w:rsidR="00550454">
        <w:t xml:space="preserve"> is drawn upon by Tilley to argue</w:t>
      </w:r>
      <w:r>
        <w:t xml:space="preserve"> for</w:t>
      </w:r>
      <w:r w:rsidR="00550454">
        <w:t xml:space="preserve"> the importance of movement of the body in relation to landsc</w:t>
      </w:r>
      <w:r w:rsidR="00024B39">
        <w:t xml:space="preserve">ape to aid understanding of </w:t>
      </w:r>
      <w:r w:rsidR="00550454">
        <w:t xml:space="preserve">landscape </w:t>
      </w:r>
      <w:r w:rsidR="008161E5">
        <w:t>on its own terms.</w:t>
      </w:r>
      <w:r w:rsidR="00DC1EBF">
        <w:rPr>
          <w:rStyle w:val="FootnoteReference"/>
        </w:rPr>
        <w:footnoteReference w:id="16"/>
      </w:r>
      <w:r w:rsidR="008161E5">
        <w:t xml:space="preserve">  H</w:t>
      </w:r>
      <w:r w:rsidR="00402861">
        <w:t>istorical meaning can best be re</w:t>
      </w:r>
      <w:r w:rsidR="008161E5">
        <w:t>covered through recognising landscape as a ‘</w:t>
      </w:r>
      <w:r w:rsidR="008161E5" w:rsidRPr="008161E5">
        <w:rPr>
          <w:i/>
        </w:rPr>
        <w:t>process</w:t>
      </w:r>
      <w:r w:rsidR="008161E5">
        <w:t xml:space="preserve"> rather than a </w:t>
      </w:r>
      <w:r w:rsidR="008161E5" w:rsidRPr="008161E5">
        <w:rPr>
          <w:i/>
        </w:rPr>
        <w:t>product</w:t>
      </w:r>
      <w:r w:rsidR="00316DF8">
        <w:t>.’</w:t>
      </w:r>
      <w:r w:rsidR="008161E5">
        <w:rPr>
          <w:rStyle w:val="FootnoteReference"/>
        </w:rPr>
        <w:footnoteReference w:id="17"/>
      </w:r>
      <w:r w:rsidR="00024B39">
        <w:t xml:space="preserve"> Once landscape is understood as </w:t>
      </w:r>
      <w:r w:rsidR="00024B39" w:rsidRPr="00024B39">
        <w:rPr>
          <w:i/>
        </w:rPr>
        <w:t>process</w:t>
      </w:r>
      <w:r w:rsidR="00024B39">
        <w:t xml:space="preserve"> and human consciousn</w:t>
      </w:r>
      <w:r w:rsidR="00316DF8">
        <w:t>ess as well as</w:t>
      </w:r>
      <w:r w:rsidR="00C710CE">
        <w:t xml:space="preserve"> bodily movement</w:t>
      </w:r>
      <w:r w:rsidR="00024B39">
        <w:t xml:space="preserve"> is recognised as constitutive of that process, it follows </w:t>
      </w:r>
      <w:r w:rsidR="00C710CE">
        <w:t>that this ‘social space, rather than being uniform and forever the same, is constituted by differential densities of human experience, attachment and involvement.’</w:t>
      </w:r>
      <w:r w:rsidR="00C710CE">
        <w:rPr>
          <w:rStyle w:val="FootnoteReference"/>
        </w:rPr>
        <w:footnoteReference w:id="18"/>
      </w:r>
    </w:p>
    <w:p w:rsidR="00C710CE" w:rsidRDefault="00C710CE" w:rsidP="00B978AB">
      <w:pPr>
        <w:ind w:right="237"/>
      </w:pPr>
      <w:r>
        <w:t xml:space="preserve">The meaning that </w:t>
      </w:r>
      <w:r w:rsidR="00DC1EBF">
        <w:t xml:space="preserve">emerges from </w:t>
      </w:r>
      <w:r>
        <w:t xml:space="preserve">social </w:t>
      </w:r>
      <w:r w:rsidR="00DC1EBF">
        <w:t xml:space="preserve">space </w:t>
      </w:r>
      <w:r>
        <w:t xml:space="preserve">shifts with time and the </w:t>
      </w:r>
      <w:r w:rsidR="00DC1EBF">
        <w:t xml:space="preserve">changing </w:t>
      </w:r>
      <w:r>
        <w:t xml:space="preserve">pathways through </w:t>
      </w:r>
      <w:r w:rsidR="00DC1EBF">
        <w:t>which bodies and consciousness interact with it.  Spatial science</w:t>
      </w:r>
      <w:r w:rsidR="006368E4">
        <w:t xml:space="preserve"> and quantitative analysis can</w:t>
      </w:r>
      <w:r w:rsidR="004405AA">
        <w:t>not elicit</w:t>
      </w:r>
      <w:r w:rsidR="00DC1EBF">
        <w:t xml:space="preserve"> deep meaning and although environmental change and human engagement with landscape</w:t>
      </w:r>
      <w:r w:rsidR="008D505B">
        <w:t xml:space="preserve"> from the past cannot be unpeeled like the multiple skins of an onion, there remains nonetheless ‘bones’ of landscape that provide so</w:t>
      </w:r>
      <w:r w:rsidR="004405AA">
        <w:t xml:space="preserve">me basis of connection with </w:t>
      </w:r>
      <w:r w:rsidR="008D505B">
        <w:t xml:space="preserve">historic populations and their </w:t>
      </w:r>
      <w:r w:rsidR="004405AA">
        <w:t>engagement with landscape</w:t>
      </w:r>
      <w:r w:rsidR="008D505B">
        <w:t>.</w:t>
      </w:r>
      <w:r w:rsidR="008D505B">
        <w:rPr>
          <w:rStyle w:val="FootnoteReference"/>
        </w:rPr>
        <w:footnoteReference w:id="19"/>
      </w:r>
    </w:p>
    <w:p w:rsidR="008D505B" w:rsidRDefault="008D505B" w:rsidP="00B978AB">
      <w:pPr>
        <w:ind w:right="237"/>
      </w:pPr>
      <w:r>
        <w:t>It has been shown that Bender’s theory of contested space mostly complements Tilley’s phenomenological perspective of landscape as both posit</w:t>
      </w:r>
      <w:r w:rsidR="00402861">
        <w:t>ed</w:t>
      </w:r>
      <w:r>
        <w:t xml:space="preserve"> a non-positivistic treatment of </w:t>
      </w:r>
      <w:r>
        <w:lastRenderedPageBreak/>
        <w:t>human-env</w:t>
      </w:r>
      <w:r w:rsidR="00707DA1">
        <w:t xml:space="preserve">ironment interactions that sought to challenge the </w:t>
      </w:r>
      <w:r>
        <w:t>dominance</w:t>
      </w:r>
      <w:r w:rsidR="00707DA1">
        <w:t xml:space="preserve"> of positivistic epistemology in anthropology and cognate disciplines during the early 1990s.  Both scholars attempted to reassert the rol</w:t>
      </w:r>
      <w:r w:rsidR="00402861">
        <w:t>e of human experience and social</w:t>
      </w:r>
      <w:r w:rsidR="00707DA1">
        <w:t xml:space="preserve"> praxis as valid knowledge</w:t>
      </w:r>
      <w:r w:rsidR="004405AA">
        <w:t xml:space="preserve"> in the p</w:t>
      </w:r>
      <w:r w:rsidR="00982E48">
        <w:t>roduction of space</w:t>
      </w:r>
      <w:r w:rsidR="004405AA">
        <w:t>s</w:t>
      </w:r>
      <w:r w:rsidR="00982E48">
        <w:t xml:space="preserve"> and meaning</w:t>
      </w:r>
      <w:r w:rsidR="00707DA1">
        <w:t>.</w:t>
      </w:r>
    </w:p>
    <w:p w:rsidR="00426979" w:rsidRDefault="00A65369" w:rsidP="00B978AB">
      <w:pPr>
        <w:ind w:right="237"/>
      </w:pPr>
      <w:r>
        <w:t>Be</w:t>
      </w:r>
      <w:r w:rsidR="00EE45E5">
        <w:t>nder and Tilley agree that the meaning of space</w:t>
      </w:r>
      <w:r w:rsidR="004405AA">
        <w:t>s are</w:t>
      </w:r>
      <w:r w:rsidR="00EA5D78">
        <w:t xml:space="preserve"> </w:t>
      </w:r>
      <w:r w:rsidR="00EE45E5">
        <w:t xml:space="preserve">continuously </w:t>
      </w:r>
      <w:r w:rsidR="00EA5D78">
        <w:t>negotiated</w:t>
      </w:r>
      <w:r w:rsidR="00EE45E5">
        <w:t xml:space="preserve"> and reformed both in the present</w:t>
      </w:r>
      <w:r w:rsidR="00EA5D78">
        <w:t xml:space="preserve"> </w:t>
      </w:r>
      <w:r w:rsidR="00EE45E5">
        <w:t>and</w:t>
      </w:r>
      <w:r w:rsidR="00EA5D78">
        <w:t xml:space="preserve"> through time </w:t>
      </w:r>
      <w:r w:rsidR="00C13558">
        <w:t>(sedimentation of landscape) but for Bender this</w:t>
      </w:r>
      <w:r w:rsidR="004405AA">
        <w:t xml:space="preserve"> dialectic</w:t>
      </w:r>
      <w:r w:rsidR="00341466">
        <w:t xml:space="preserve"> arises from contestation due to power inequalities manifest in landscape</w:t>
      </w:r>
      <w:r w:rsidR="00C13558">
        <w:t>, whereas for Tilley,</w:t>
      </w:r>
      <w:r w:rsidR="00EE45E5">
        <w:t xml:space="preserve"> p</w:t>
      </w:r>
      <w:r w:rsidR="00C13558">
        <w:t xml:space="preserve">henomenology drawn from the insights of Heidegger and </w:t>
      </w:r>
      <w:proofErr w:type="spellStart"/>
      <w:r w:rsidR="00C13558">
        <w:t>Merleau-Ponty</w:t>
      </w:r>
      <w:proofErr w:type="spellEnd"/>
      <w:r w:rsidR="007F6E3D">
        <w:t xml:space="preserve"> seeks to recover</w:t>
      </w:r>
      <w:r w:rsidR="004405AA">
        <w:t xml:space="preserve"> </w:t>
      </w:r>
      <w:r w:rsidR="00CB21DC">
        <w:t xml:space="preserve">individual and group </w:t>
      </w:r>
      <w:r w:rsidR="004405AA">
        <w:t xml:space="preserve">meaning from the landscape </w:t>
      </w:r>
      <w:r w:rsidR="00EE45E5">
        <w:t>to which quantitative analysis remains blind.</w:t>
      </w:r>
    </w:p>
    <w:p w:rsidR="00B15787" w:rsidRDefault="00EE45E5" w:rsidP="00B978AB">
      <w:pPr>
        <w:ind w:right="237"/>
      </w:pPr>
      <w:r>
        <w:t>The explorations in anthropology that both Bender and Tilley contributed to</w:t>
      </w:r>
      <w:r w:rsidR="007E24DB">
        <w:t xml:space="preserve"> in the early 1990s</w:t>
      </w:r>
      <w:r>
        <w:t xml:space="preserve"> constitute</w:t>
      </w:r>
      <w:r w:rsidR="007E24DB">
        <w:t>d</w:t>
      </w:r>
      <w:r>
        <w:t xml:space="preserve"> an assertion of difference</w:t>
      </w:r>
      <w:r w:rsidR="007E24DB">
        <w:t xml:space="preserve"> in the d</w:t>
      </w:r>
      <w:r w:rsidR="00A65369">
        <w:t>iscipline that reflected the experience</w:t>
      </w:r>
      <w:r w:rsidR="007E24DB">
        <w:t xml:space="preserve"> of human geography in the 1970s.  Both Bender and Tilley</w:t>
      </w:r>
      <w:r w:rsidR="00CB21DC">
        <w:t xml:space="preserve"> took their own path through that</w:t>
      </w:r>
      <w:r w:rsidR="007E24DB">
        <w:t xml:space="preserve"> intellectual lands</w:t>
      </w:r>
      <w:r w:rsidR="00383C20">
        <w:t xml:space="preserve">cape </w:t>
      </w:r>
      <w:r w:rsidR="00B15787">
        <w:t xml:space="preserve">of anthropology and </w:t>
      </w:r>
      <w:r w:rsidR="007F6E3D">
        <w:t>cognate disciplines</w:t>
      </w:r>
      <w:r w:rsidR="00B15787">
        <w:t xml:space="preserve">, </w:t>
      </w:r>
      <w:r w:rsidR="00383C20">
        <w:t xml:space="preserve">drawing upon the sediment </w:t>
      </w:r>
      <w:r w:rsidR="007E24DB">
        <w:t>layers of historic</w:t>
      </w:r>
      <w:r w:rsidR="00B15787">
        <w:t xml:space="preserve"> inter-disciplinary</w:t>
      </w:r>
      <w:r w:rsidR="007E24DB">
        <w:t xml:space="preserve"> scholarship to</w:t>
      </w:r>
      <w:r w:rsidR="00A65369">
        <w:t xml:space="preserve"> seek a</w:t>
      </w:r>
      <w:r w:rsidR="001A7082">
        <w:t>n</w:t>
      </w:r>
      <w:r w:rsidR="00A65369">
        <w:t>swers</w:t>
      </w:r>
      <w:r w:rsidR="00383C20">
        <w:t xml:space="preserve"> to the questions</w:t>
      </w:r>
      <w:r w:rsidR="00CB21DC">
        <w:t xml:space="preserve"> that quantitative analysis could not confront: how are</w:t>
      </w:r>
      <w:r w:rsidR="00383C20">
        <w:t xml:space="preserve"> space</w:t>
      </w:r>
      <w:r w:rsidR="00CB21DC">
        <w:t>s</w:t>
      </w:r>
      <w:r w:rsidR="00383C20">
        <w:t xml:space="preserve"> produced an</w:t>
      </w:r>
      <w:r w:rsidR="00B15787">
        <w:t>d meaning recover</w:t>
      </w:r>
      <w:r w:rsidR="00CB21DC">
        <w:t>ed?</w:t>
      </w:r>
    </w:p>
    <w:p w:rsidR="00EE45E5" w:rsidRDefault="00CB21DC" w:rsidP="00B978AB">
      <w:pPr>
        <w:ind w:right="237"/>
      </w:pPr>
      <w:r>
        <w:t>Th</w:t>
      </w:r>
      <w:r w:rsidR="00B15787">
        <w:t>is paper has shown that Bender’s and Tilley’s</w:t>
      </w:r>
      <w:r>
        <w:t xml:space="preserve"> paths </w:t>
      </w:r>
      <w:r w:rsidR="00341466">
        <w:t>across that</w:t>
      </w:r>
      <w:r w:rsidR="00A36554">
        <w:t xml:space="preserve"> intellectual landscape </w:t>
      </w:r>
      <w:r>
        <w:t xml:space="preserve">were </w:t>
      </w:r>
      <w:r w:rsidR="00B15787">
        <w:t xml:space="preserve">uniquely </w:t>
      </w:r>
      <w:r>
        <w:t>different bu</w:t>
      </w:r>
      <w:r w:rsidR="00383C20">
        <w:t>t</w:t>
      </w:r>
      <w:r w:rsidR="00A36554">
        <w:t xml:space="preserve"> at certain points</w:t>
      </w:r>
      <w:r w:rsidR="00383C20">
        <w:t xml:space="preserve"> intersect</w:t>
      </w:r>
      <w:r>
        <w:t>ed</w:t>
      </w:r>
      <w:r w:rsidR="00A41100">
        <w:t xml:space="preserve"> (comple</w:t>
      </w:r>
      <w:r w:rsidR="00B15787">
        <w:t>mented)</w:t>
      </w:r>
      <w:r>
        <w:t xml:space="preserve"> </w:t>
      </w:r>
      <w:r w:rsidR="00383C20">
        <w:t>and</w:t>
      </w:r>
      <w:r w:rsidR="00B15787">
        <w:t xml:space="preserve"> </w:t>
      </w:r>
      <w:r w:rsidR="00383C20">
        <w:t>readers that h</w:t>
      </w:r>
      <w:r w:rsidR="00B15787">
        <w:t xml:space="preserve">ave journeyed with them on each respective path can </w:t>
      </w:r>
      <w:r w:rsidR="004B31EE">
        <w:t>look</w:t>
      </w:r>
      <w:r w:rsidR="00383C20">
        <w:t xml:space="preserve"> back and be</w:t>
      </w:r>
      <w:r w:rsidR="00A36554">
        <w:t>tter appreciate the theoretical</w:t>
      </w:r>
      <w:r w:rsidR="00383C20">
        <w:t xml:space="preserve"> terrain that is rel</w:t>
      </w:r>
      <w:r w:rsidR="004B31EE">
        <w:t>ational</w:t>
      </w:r>
      <w:r w:rsidR="00A36554">
        <w:t xml:space="preserve"> to the questions to which Bender’s and Tilley’s scholarship attended</w:t>
      </w:r>
      <w:r w:rsidR="004B31EE">
        <w:t>.</w:t>
      </w:r>
    </w:p>
    <w:p w:rsidR="00A65369" w:rsidRDefault="001A7082" w:rsidP="00B978AB">
      <w:pPr>
        <w:ind w:right="237"/>
      </w:pPr>
      <w:r>
        <w:t xml:space="preserve">Thus, despite identified differences </w:t>
      </w:r>
      <w:r w:rsidR="004B31EE">
        <w:t xml:space="preserve">between </w:t>
      </w:r>
      <w:r>
        <w:t>Bender’s and Tilley’s arguments</w:t>
      </w:r>
      <w:r w:rsidR="00A36554">
        <w:t>,</w:t>
      </w:r>
      <w:r w:rsidR="004B31EE">
        <w:t xml:space="preserve"> the</w:t>
      </w:r>
      <w:r w:rsidR="00A36554">
        <w:t>ir</w:t>
      </w:r>
      <w:r w:rsidR="004B31EE">
        <w:t xml:space="preserve"> </w:t>
      </w:r>
      <w:r w:rsidR="00A36554">
        <w:t>commonality of view with respect to space production</w:t>
      </w:r>
      <w:r w:rsidR="00341466">
        <w:t>, meaning</w:t>
      </w:r>
      <w:r w:rsidR="00A36554">
        <w:t xml:space="preserve"> and the ne</w:t>
      </w:r>
      <w:r w:rsidR="00341466">
        <w:t>ed to anchor human experience to</w:t>
      </w:r>
      <w:r w:rsidR="00A36554">
        <w:t xml:space="preserve"> the centre of</w:t>
      </w:r>
      <w:r w:rsidR="00CD0816">
        <w:t xml:space="preserve"> their investigatory project</w:t>
      </w:r>
      <w:r w:rsidR="004B31EE">
        <w:t xml:space="preserve"> shows both studies</w:t>
      </w:r>
      <w:r>
        <w:t xml:space="preserve"> deeply complement each other.</w:t>
      </w:r>
    </w:p>
    <w:p w:rsidR="001A7082" w:rsidRDefault="001A7082" w:rsidP="00B978AB">
      <w:pPr>
        <w:ind w:right="237"/>
      </w:pPr>
    </w:p>
    <w:p w:rsidR="001A7082" w:rsidRDefault="001A7082" w:rsidP="00B978AB">
      <w:pPr>
        <w:ind w:right="237"/>
      </w:pPr>
    </w:p>
    <w:p w:rsidR="001A7082" w:rsidRDefault="001A7082" w:rsidP="00B978AB">
      <w:pPr>
        <w:ind w:right="237"/>
      </w:pPr>
    </w:p>
    <w:p w:rsidR="001A7082" w:rsidRDefault="001A7082" w:rsidP="00B978AB">
      <w:pPr>
        <w:ind w:right="237"/>
      </w:pPr>
      <w:bookmarkStart w:id="6" w:name="_GoBack"/>
      <w:bookmarkEnd w:id="6"/>
    </w:p>
    <w:p w:rsidR="001A7082" w:rsidRDefault="001A7082" w:rsidP="00B978AB">
      <w:pPr>
        <w:ind w:right="237"/>
      </w:pPr>
    </w:p>
    <w:p w:rsidR="001A7082" w:rsidRDefault="001A7082" w:rsidP="00B978AB">
      <w:pPr>
        <w:ind w:right="237"/>
      </w:pPr>
    </w:p>
    <w:p w:rsidR="004B31EE" w:rsidRDefault="004B31EE" w:rsidP="00B978AB">
      <w:pPr>
        <w:ind w:right="237"/>
        <w:rPr>
          <w:b/>
        </w:rPr>
      </w:pPr>
    </w:p>
    <w:p w:rsidR="004B31EE" w:rsidRDefault="004B31EE" w:rsidP="00B978AB">
      <w:pPr>
        <w:ind w:right="237"/>
        <w:rPr>
          <w:b/>
        </w:rPr>
      </w:pPr>
    </w:p>
    <w:p w:rsidR="004B31EE" w:rsidRDefault="004B31EE" w:rsidP="00B978AB">
      <w:pPr>
        <w:ind w:right="237"/>
        <w:rPr>
          <w:b/>
        </w:rPr>
      </w:pPr>
    </w:p>
    <w:p w:rsidR="004B31EE" w:rsidRDefault="004B31EE" w:rsidP="00B978AB">
      <w:pPr>
        <w:ind w:right="237"/>
        <w:rPr>
          <w:b/>
        </w:rPr>
      </w:pPr>
    </w:p>
    <w:p w:rsidR="004B31EE" w:rsidRDefault="004B31EE" w:rsidP="00B978AB">
      <w:pPr>
        <w:ind w:right="237"/>
        <w:rPr>
          <w:b/>
        </w:rPr>
      </w:pPr>
    </w:p>
    <w:p w:rsidR="000330F8" w:rsidRDefault="000330F8" w:rsidP="00B978AB">
      <w:pPr>
        <w:ind w:right="237"/>
        <w:rPr>
          <w:b/>
        </w:rPr>
      </w:pPr>
    </w:p>
    <w:p w:rsidR="001A7082" w:rsidRPr="001F6920" w:rsidRDefault="001A7082" w:rsidP="00B978AB">
      <w:pPr>
        <w:ind w:right="237"/>
        <w:rPr>
          <w:b/>
        </w:rPr>
      </w:pPr>
      <w:r w:rsidRPr="001F6920">
        <w:rPr>
          <w:b/>
        </w:rPr>
        <w:lastRenderedPageBreak/>
        <w:t>Bibliography:</w:t>
      </w:r>
    </w:p>
    <w:p w:rsidR="001A7082" w:rsidRDefault="001A7082" w:rsidP="00B978AB">
      <w:pPr>
        <w:ind w:right="237"/>
      </w:pPr>
      <w:proofErr w:type="gramStart"/>
      <w:r>
        <w:t>Bender,</w:t>
      </w:r>
      <w:r w:rsidR="0015204C">
        <w:t xml:space="preserve"> </w:t>
      </w:r>
      <w:r>
        <w:t>B.</w:t>
      </w:r>
      <w:proofErr w:type="gramEnd"/>
      <w:r>
        <w:t xml:space="preserve"> </w:t>
      </w:r>
      <w:r w:rsidR="0015204C">
        <w:t xml:space="preserve"> </w:t>
      </w:r>
      <w:r>
        <w:t>1995. ‘Stonehenge – Contested Landscapes (Medieval to Present-Day)</w:t>
      </w:r>
      <w:r w:rsidR="0015204C">
        <w:t>’</w:t>
      </w:r>
      <w:r>
        <w:t xml:space="preserve"> in B. Bender (ed.), </w:t>
      </w:r>
      <w:r w:rsidR="0015204C" w:rsidRPr="0015204C">
        <w:rPr>
          <w:i/>
        </w:rPr>
        <w:t>Landscape: Politics and Perspectives</w:t>
      </w:r>
      <w:r w:rsidR="0015204C">
        <w:t>. Oxford: Berg, 245-280</w:t>
      </w:r>
      <w:r w:rsidR="008F4B6C">
        <w:t>.</w:t>
      </w:r>
    </w:p>
    <w:p w:rsidR="0015204C" w:rsidRDefault="0015204C" w:rsidP="00B978AB">
      <w:pPr>
        <w:ind w:right="237"/>
      </w:pPr>
      <w:r>
        <w:t xml:space="preserve">De </w:t>
      </w:r>
      <w:proofErr w:type="spellStart"/>
      <w:r>
        <w:t>Certeau</w:t>
      </w:r>
      <w:proofErr w:type="spellEnd"/>
      <w:r>
        <w:t>, M.</w:t>
      </w:r>
      <w:r w:rsidR="00C73AE1">
        <w:t xml:space="preserve"> 1984.</w:t>
      </w:r>
      <w:r>
        <w:t xml:space="preserve"> </w:t>
      </w:r>
      <w:proofErr w:type="gramStart"/>
      <w:r w:rsidRPr="00C73AE1">
        <w:rPr>
          <w:i/>
        </w:rPr>
        <w:t>The Practice of Everyday Life</w:t>
      </w:r>
      <w:r>
        <w:t>.</w:t>
      </w:r>
      <w:proofErr w:type="gramEnd"/>
      <w:r>
        <w:t xml:space="preserve"> Berkeley: University of California Press</w:t>
      </w:r>
      <w:r w:rsidR="00C73AE1">
        <w:t>.</w:t>
      </w:r>
    </w:p>
    <w:p w:rsidR="00107E05" w:rsidRDefault="00107E05" w:rsidP="00B978AB">
      <w:pPr>
        <w:ind w:right="237"/>
      </w:pPr>
      <w:proofErr w:type="gramStart"/>
      <w:r>
        <w:t>Gramsci, A. 1971.</w:t>
      </w:r>
      <w:proofErr w:type="gramEnd"/>
      <w:r>
        <w:t xml:space="preserve"> </w:t>
      </w:r>
      <w:proofErr w:type="gramStart"/>
      <w:r w:rsidRPr="00107E05">
        <w:rPr>
          <w:i/>
        </w:rPr>
        <w:t>Selections from Prison Notebooks</w:t>
      </w:r>
      <w:r>
        <w:t>.</w:t>
      </w:r>
      <w:proofErr w:type="gramEnd"/>
      <w:r>
        <w:t xml:space="preserve"> New York: International Publishers.</w:t>
      </w:r>
    </w:p>
    <w:p w:rsidR="00C73AE1" w:rsidRDefault="00C73AE1" w:rsidP="00B978AB">
      <w:pPr>
        <w:ind w:right="237"/>
      </w:pPr>
      <w:r>
        <w:t xml:space="preserve">Harvey, D. 1973. </w:t>
      </w:r>
      <w:proofErr w:type="gramStart"/>
      <w:r w:rsidRPr="00C73AE1">
        <w:rPr>
          <w:i/>
        </w:rPr>
        <w:t>Social Justice and the City</w:t>
      </w:r>
      <w:r>
        <w:t>.</w:t>
      </w:r>
      <w:proofErr w:type="gramEnd"/>
      <w:r>
        <w:t xml:space="preserve"> London: Arnold.</w:t>
      </w:r>
    </w:p>
    <w:p w:rsidR="00107E05" w:rsidRDefault="00107E05" w:rsidP="00B978AB">
      <w:pPr>
        <w:ind w:right="237"/>
      </w:pPr>
      <w:r>
        <w:t>Heidegger, M. 1972. ‘Building dwelling thinking’</w:t>
      </w:r>
      <w:r w:rsidR="00057482">
        <w:t xml:space="preserve"> in D. </w:t>
      </w:r>
      <w:proofErr w:type="spellStart"/>
      <w:r w:rsidR="00057482">
        <w:t>Krell</w:t>
      </w:r>
      <w:proofErr w:type="spellEnd"/>
      <w:r w:rsidR="00057482">
        <w:t xml:space="preserve"> (ed.)</w:t>
      </w:r>
      <w:r>
        <w:t xml:space="preserve">, </w:t>
      </w:r>
      <w:r w:rsidRPr="00057482">
        <w:rPr>
          <w:i/>
        </w:rPr>
        <w:t>Basic Writings</w:t>
      </w:r>
      <w:r w:rsidR="00057482">
        <w:t xml:space="preserve">. London: </w:t>
      </w:r>
      <w:proofErr w:type="spellStart"/>
      <w:r w:rsidR="00057482">
        <w:t>Routledge</w:t>
      </w:r>
      <w:proofErr w:type="spellEnd"/>
      <w:r w:rsidR="00057482">
        <w:t>.</w:t>
      </w:r>
    </w:p>
    <w:p w:rsidR="00C73AE1" w:rsidRDefault="00C73AE1" w:rsidP="00B978AB">
      <w:pPr>
        <w:ind w:right="237"/>
      </w:pPr>
      <w:r>
        <w:t xml:space="preserve">Hubbard, P. and </w:t>
      </w:r>
      <w:proofErr w:type="spellStart"/>
      <w:r>
        <w:t>Kitchin</w:t>
      </w:r>
      <w:proofErr w:type="spellEnd"/>
      <w:r>
        <w:t>, R.</w:t>
      </w:r>
      <w:r w:rsidR="008F4B6C">
        <w:t xml:space="preserve"> 2011.</w:t>
      </w:r>
      <w:r>
        <w:t xml:space="preserve"> </w:t>
      </w:r>
      <w:proofErr w:type="gramStart"/>
      <w:r>
        <w:t xml:space="preserve">‘Glossary’ in P. Hubbard and R. Kitchen (ed.), </w:t>
      </w:r>
      <w:r w:rsidRPr="008F4B6C">
        <w:rPr>
          <w:i/>
        </w:rPr>
        <w:t>Key Thinkers on Space and Place</w:t>
      </w:r>
      <w:r>
        <w:t>.</w:t>
      </w:r>
      <w:proofErr w:type="gramEnd"/>
      <w:r>
        <w:t xml:space="preserve"> Londo</w:t>
      </w:r>
      <w:r w:rsidR="008F4B6C">
        <w:t>n: Sage, 494.</w:t>
      </w:r>
    </w:p>
    <w:p w:rsidR="00057482" w:rsidRDefault="00057482" w:rsidP="00B978AB">
      <w:pPr>
        <w:ind w:right="237"/>
      </w:pPr>
      <w:proofErr w:type="spellStart"/>
      <w:proofErr w:type="gramStart"/>
      <w:r>
        <w:t>Merleau-Ponty</w:t>
      </w:r>
      <w:proofErr w:type="spellEnd"/>
      <w:r>
        <w:t>, M. 1962.</w:t>
      </w:r>
      <w:proofErr w:type="gramEnd"/>
      <w:r>
        <w:t xml:space="preserve"> </w:t>
      </w:r>
      <w:proofErr w:type="gramStart"/>
      <w:r w:rsidRPr="00057482">
        <w:rPr>
          <w:i/>
        </w:rPr>
        <w:t>Phenomenology of Perception</w:t>
      </w:r>
      <w:r>
        <w:t>.</w:t>
      </w:r>
      <w:proofErr w:type="gramEnd"/>
      <w:r>
        <w:t xml:space="preserve"> London: </w:t>
      </w:r>
      <w:proofErr w:type="spellStart"/>
      <w:r>
        <w:t>Routledge</w:t>
      </w:r>
      <w:proofErr w:type="spellEnd"/>
      <w:r>
        <w:t>.</w:t>
      </w:r>
    </w:p>
    <w:p w:rsidR="001A7082" w:rsidRDefault="0015204C" w:rsidP="00B978AB">
      <w:pPr>
        <w:ind w:right="237"/>
      </w:pPr>
      <w:r>
        <w:t xml:space="preserve">Tilley, C. 1994. </w:t>
      </w:r>
      <w:r w:rsidRPr="0015204C">
        <w:rPr>
          <w:i/>
        </w:rPr>
        <w:t>A Phenomenology of Landscape: Places, Paths and Monuments</w:t>
      </w:r>
      <w:r>
        <w:t>. Oxford: Berg.</w:t>
      </w:r>
    </w:p>
    <w:p w:rsidR="00316DF8" w:rsidRDefault="00316DF8" w:rsidP="00B978AB">
      <w:pPr>
        <w:ind w:right="237"/>
      </w:pPr>
      <w:proofErr w:type="gramStart"/>
      <w:r>
        <w:t>Tuan, Y.-F.</w:t>
      </w:r>
      <w:proofErr w:type="gramEnd"/>
      <w:r>
        <w:t xml:space="preserve"> 1977. </w:t>
      </w:r>
      <w:r w:rsidRPr="00316DF8">
        <w:rPr>
          <w:i/>
        </w:rPr>
        <w:t>Space and Place: The Perspectives of Experience</w:t>
      </w:r>
      <w:r>
        <w:t>. London: Arnold</w:t>
      </w:r>
    </w:p>
    <w:p w:rsidR="001A7082" w:rsidRDefault="001A7082" w:rsidP="00B978AB">
      <w:pPr>
        <w:ind w:right="237"/>
      </w:pPr>
    </w:p>
    <w:p w:rsidR="00383C20" w:rsidRDefault="00383C20" w:rsidP="00B978AB">
      <w:pPr>
        <w:ind w:right="237"/>
      </w:pPr>
    </w:p>
    <w:p w:rsidR="00D767F8" w:rsidRDefault="00D767F8" w:rsidP="00B978AB">
      <w:pPr>
        <w:ind w:right="237"/>
      </w:pPr>
    </w:p>
    <w:p w:rsidR="009532CB" w:rsidRDefault="009532CB" w:rsidP="00B978AB">
      <w:pPr>
        <w:ind w:right="237"/>
      </w:pPr>
    </w:p>
    <w:p w:rsidR="005F0403" w:rsidRDefault="005F0403"/>
    <w:p w:rsidR="00444791" w:rsidRPr="006F5D09" w:rsidRDefault="00444791"/>
    <w:sectPr w:rsidR="00444791" w:rsidRPr="006F5D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3FE3" w:rsidRDefault="00433FE3" w:rsidP="00661F41">
      <w:pPr>
        <w:spacing w:after="0" w:line="240" w:lineRule="auto"/>
      </w:pPr>
      <w:r>
        <w:separator/>
      </w:r>
    </w:p>
  </w:endnote>
  <w:endnote w:type="continuationSeparator" w:id="0">
    <w:p w:rsidR="00433FE3" w:rsidRDefault="00433FE3" w:rsidP="0066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3FE3" w:rsidRDefault="00433FE3" w:rsidP="00661F41">
      <w:pPr>
        <w:spacing w:after="0" w:line="240" w:lineRule="auto"/>
      </w:pPr>
      <w:r>
        <w:separator/>
      </w:r>
    </w:p>
  </w:footnote>
  <w:footnote w:type="continuationSeparator" w:id="0">
    <w:p w:rsidR="00433FE3" w:rsidRDefault="00433FE3" w:rsidP="00661F41">
      <w:pPr>
        <w:spacing w:after="0" w:line="240" w:lineRule="auto"/>
      </w:pPr>
      <w:r>
        <w:continuationSeparator/>
      </w:r>
    </w:p>
  </w:footnote>
  <w:footnote w:id="1">
    <w:p w:rsidR="00661F41" w:rsidRDefault="00661F41">
      <w:pPr>
        <w:pStyle w:val="FootnoteText"/>
      </w:pPr>
      <w:r>
        <w:rPr>
          <w:rStyle w:val="FootnoteReference"/>
        </w:rPr>
        <w:footnoteRef/>
      </w:r>
      <w:r>
        <w:t xml:space="preserve"> Tilley 1994:35</w:t>
      </w:r>
    </w:p>
  </w:footnote>
  <w:footnote w:id="2">
    <w:p w:rsidR="00F975EA" w:rsidRDefault="00F975EA">
      <w:pPr>
        <w:pStyle w:val="FootnoteText"/>
      </w:pPr>
      <w:r>
        <w:rPr>
          <w:rStyle w:val="FootnoteReference"/>
        </w:rPr>
        <w:footnoteRef/>
      </w:r>
      <w:r>
        <w:t xml:space="preserve"> Hubbard &amp; </w:t>
      </w:r>
      <w:proofErr w:type="spellStart"/>
      <w:r>
        <w:t>Kitchin</w:t>
      </w:r>
      <w:proofErr w:type="spellEnd"/>
      <w:r>
        <w:t xml:space="preserve"> 2011:494</w:t>
      </w:r>
    </w:p>
  </w:footnote>
  <w:footnote w:id="3">
    <w:p w:rsidR="00DB7584" w:rsidRDefault="00DB7584">
      <w:pPr>
        <w:pStyle w:val="FootnoteText"/>
      </w:pPr>
      <w:r>
        <w:rPr>
          <w:rStyle w:val="FootnoteReference"/>
        </w:rPr>
        <w:footnoteRef/>
      </w:r>
      <w:r>
        <w:t xml:space="preserve"> Tilley 1994:14</w:t>
      </w:r>
    </w:p>
  </w:footnote>
  <w:footnote w:id="4">
    <w:p w:rsidR="00793E39" w:rsidRDefault="00793E39">
      <w:pPr>
        <w:pStyle w:val="FootnoteText"/>
      </w:pPr>
      <w:r>
        <w:rPr>
          <w:rStyle w:val="FootnoteReference"/>
        </w:rPr>
        <w:footnoteRef/>
      </w:r>
      <w:r>
        <w:t xml:space="preserve"> Harvey 1973:14</w:t>
      </w:r>
    </w:p>
  </w:footnote>
  <w:footnote w:id="5">
    <w:p w:rsidR="00DB3AEF" w:rsidRDefault="00DB3AEF">
      <w:pPr>
        <w:pStyle w:val="FootnoteText"/>
      </w:pPr>
      <w:r>
        <w:rPr>
          <w:rStyle w:val="FootnoteReference"/>
        </w:rPr>
        <w:footnoteRef/>
      </w:r>
      <w:r>
        <w:t xml:space="preserve"> Bender </w:t>
      </w:r>
      <w:r w:rsidR="00486507">
        <w:t>1995:276</w:t>
      </w:r>
    </w:p>
  </w:footnote>
  <w:footnote w:id="6">
    <w:p w:rsidR="00486507" w:rsidRDefault="00486507">
      <w:pPr>
        <w:pStyle w:val="FootnoteText"/>
      </w:pPr>
      <w:r>
        <w:rPr>
          <w:rStyle w:val="FootnoteReference"/>
        </w:rPr>
        <w:footnoteRef/>
      </w:r>
      <w:r>
        <w:t xml:space="preserve"> Ibid. 1995:246</w:t>
      </w:r>
    </w:p>
  </w:footnote>
  <w:footnote w:id="7">
    <w:p w:rsidR="007254AF" w:rsidRDefault="007254AF">
      <w:pPr>
        <w:pStyle w:val="FootnoteText"/>
      </w:pPr>
      <w:r>
        <w:rPr>
          <w:rStyle w:val="FootnoteReference"/>
        </w:rPr>
        <w:footnoteRef/>
      </w:r>
      <w:r>
        <w:t xml:space="preserve"> Ibid. 1995:275</w:t>
      </w:r>
    </w:p>
  </w:footnote>
  <w:footnote w:id="8">
    <w:p w:rsidR="001F6920" w:rsidRDefault="001F6920">
      <w:pPr>
        <w:pStyle w:val="FootnoteText"/>
      </w:pPr>
      <w:r>
        <w:rPr>
          <w:rStyle w:val="FootnoteReference"/>
        </w:rPr>
        <w:footnoteRef/>
      </w:r>
      <w:r>
        <w:t xml:space="preserve"> Ibid. 1995:274</w:t>
      </w:r>
    </w:p>
  </w:footnote>
  <w:footnote w:id="9">
    <w:p w:rsidR="007254AF" w:rsidRDefault="007254AF">
      <w:pPr>
        <w:pStyle w:val="FootnoteText"/>
      </w:pPr>
      <w:r>
        <w:rPr>
          <w:rStyle w:val="FootnoteReference"/>
        </w:rPr>
        <w:footnoteRef/>
      </w:r>
      <w:r>
        <w:t xml:space="preserve"> Ibid. </w:t>
      </w:r>
      <w:r w:rsidR="001F6920">
        <w:t>1995:275</w:t>
      </w:r>
    </w:p>
  </w:footnote>
  <w:footnote w:id="10">
    <w:p w:rsidR="00D57C77" w:rsidRDefault="00D57C77">
      <w:pPr>
        <w:pStyle w:val="FootnoteText"/>
      </w:pPr>
      <w:r>
        <w:rPr>
          <w:rStyle w:val="FootnoteReference"/>
        </w:rPr>
        <w:footnoteRef/>
      </w:r>
      <w:r w:rsidR="008C2702">
        <w:t xml:space="preserve"> Ibid. 1995:</w:t>
      </w:r>
      <w:r>
        <w:t>276</w:t>
      </w:r>
    </w:p>
  </w:footnote>
  <w:footnote w:id="11">
    <w:p w:rsidR="00D57C77" w:rsidRDefault="00D57C77">
      <w:pPr>
        <w:pStyle w:val="FootnoteText"/>
      </w:pPr>
      <w:r>
        <w:rPr>
          <w:rStyle w:val="FootnoteReference"/>
        </w:rPr>
        <w:footnoteRef/>
      </w:r>
      <w:r>
        <w:t xml:space="preserve"> Ibid.</w:t>
      </w:r>
    </w:p>
  </w:footnote>
  <w:footnote w:id="12">
    <w:p w:rsidR="008C2702" w:rsidRDefault="008C2702">
      <w:pPr>
        <w:pStyle w:val="FootnoteText"/>
      </w:pPr>
      <w:r>
        <w:rPr>
          <w:rStyle w:val="FootnoteReference"/>
        </w:rPr>
        <w:footnoteRef/>
      </w:r>
      <w:r>
        <w:t xml:space="preserve"> Tilley 1994:8</w:t>
      </w:r>
    </w:p>
  </w:footnote>
  <w:footnote w:id="13">
    <w:p w:rsidR="00F47321" w:rsidRDefault="00F47321">
      <w:pPr>
        <w:pStyle w:val="FootnoteText"/>
      </w:pPr>
      <w:r>
        <w:rPr>
          <w:rStyle w:val="FootnoteReference"/>
        </w:rPr>
        <w:footnoteRef/>
      </w:r>
      <w:r>
        <w:t xml:space="preserve"> Ibid. 1994:10</w:t>
      </w:r>
    </w:p>
  </w:footnote>
  <w:footnote w:id="14">
    <w:p w:rsidR="002A6840" w:rsidRDefault="002A6840">
      <w:pPr>
        <w:pStyle w:val="FootnoteText"/>
      </w:pPr>
      <w:r>
        <w:rPr>
          <w:rStyle w:val="FootnoteReference"/>
        </w:rPr>
        <w:footnoteRef/>
      </w:r>
      <w:r>
        <w:t xml:space="preserve"> Ibid. 1994:12</w:t>
      </w:r>
    </w:p>
  </w:footnote>
  <w:footnote w:id="15">
    <w:p w:rsidR="00D767F8" w:rsidRDefault="00D767F8">
      <w:pPr>
        <w:pStyle w:val="FootnoteText"/>
      </w:pPr>
      <w:r>
        <w:rPr>
          <w:rStyle w:val="FootnoteReference"/>
        </w:rPr>
        <w:footnoteRef/>
      </w:r>
      <w:r>
        <w:t xml:space="preserve"> Ibid. 1994:13</w:t>
      </w:r>
    </w:p>
  </w:footnote>
  <w:footnote w:id="16">
    <w:p w:rsidR="00DC1EBF" w:rsidRDefault="00DC1EBF">
      <w:pPr>
        <w:pStyle w:val="FootnoteText"/>
      </w:pPr>
      <w:r>
        <w:rPr>
          <w:rStyle w:val="FootnoteReference"/>
        </w:rPr>
        <w:footnoteRef/>
      </w:r>
      <w:r>
        <w:t xml:space="preserve"> De </w:t>
      </w:r>
      <w:proofErr w:type="spellStart"/>
      <w:r>
        <w:t>Certeau</w:t>
      </w:r>
      <w:proofErr w:type="spellEnd"/>
      <w:r>
        <w:t xml:space="preserve"> 1984:</w:t>
      </w:r>
      <w:r w:rsidR="004D60B8">
        <w:t>1</w:t>
      </w:r>
      <w:r w:rsidR="001F6920">
        <w:t>02</w:t>
      </w:r>
    </w:p>
  </w:footnote>
  <w:footnote w:id="17">
    <w:p w:rsidR="008161E5" w:rsidRDefault="008161E5">
      <w:pPr>
        <w:pStyle w:val="FootnoteText"/>
      </w:pPr>
      <w:r>
        <w:rPr>
          <w:rStyle w:val="FootnoteReference"/>
        </w:rPr>
        <w:footnoteRef/>
      </w:r>
      <w:r w:rsidR="00DC1EBF">
        <w:t xml:space="preserve"> Tilley</w:t>
      </w:r>
      <w:r w:rsidR="008D505B">
        <w:t xml:space="preserve"> </w:t>
      </w:r>
      <w:r>
        <w:t>1994:73</w:t>
      </w:r>
    </w:p>
  </w:footnote>
  <w:footnote w:id="18">
    <w:p w:rsidR="00C710CE" w:rsidRDefault="00C710CE">
      <w:pPr>
        <w:pStyle w:val="FootnoteText"/>
      </w:pPr>
      <w:r>
        <w:rPr>
          <w:rStyle w:val="FootnoteReference"/>
        </w:rPr>
        <w:footnoteRef/>
      </w:r>
      <w:r>
        <w:t xml:space="preserve"> Ibid. 1994:10</w:t>
      </w:r>
    </w:p>
  </w:footnote>
  <w:footnote w:id="19">
    <w:p w:rsidR="008D505B" w:rsidRDefault="008D505B">
      <w:pPr>
        <w:pStyle w:val="FootnoteText"/>
      </w:pPr>
      <w:r>
        <w:rPr>
          <w:rStyle w:val="FootnoteReference"/>
        </w:rPr>
        <w:footnoteRef/>
      </w:r>
      <w:r>
        <w:t xml:space="preserve"> Ibid. 1994:73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610E"/>
    <w:rsid w:val="00024B39"/>
    <w:rsid w:val="000330F8"/>
    <w:rsid w:val="00045E6B"/>
    <w:rsid w:val="00057482"/>
    <w:rsid w:val="00084133"/>
    <w:rsid w:val="000970E5"/>
    <w:rsid w:val="000F2ACB"/>
    <w:rsid w:val="00102DF5"/>
    <w:rsid w:val="00107E05"/>
    <w:rsid w:val="0015204C"/>
    <w:rsid w:val="001918FA"/>
    <w:rsid w:val="001A7082"/>
    <w:rsid w:val="001B4843"/>
    <w:rsid w:val="001F6920"/>
    <w:rsid w:val="00200A65"/>
    <w:rsid w:val="00201650"/>
    <w:rsid w:val="002A6840"/>
    <w:rsid w:val="00316DF8"/>
    <w:rsid w:val="00341466"/>
    <w:rsid w:val="00383C20"/>
    <w:rsid w:val="003C23CE"/>
    <w:rsid w:val="00402861"/>
    <w:rsid w:val="00426979"/>
    <w:rsid w:val="00433FE3"/>
    <w:rsid w:val="004405AA"/>
    <w:rsid w:val="00444791"/>
    <w:rsid w:val="00486507"/>
    <w:rsid w:val="004B31EE"/>
    <w:rsid w:val="004B4B14"/>
    <w:rsid w:val="004B577E"/>
    <w:rsid w:val="004D60B8"/>
    <w:rsid w:val="00550454"/>
    <w:rsid w:val="00575B96"/>
    <w:rsid w:val="005B528B"/>
    <w:rsid w:val="005F0403"/>
    <w:rsid w:val="006368E4"/>
    <w:rsid w:val="0065674F"/>
    <w:rsid w:val="00661F41"/>
    <w:rsid w:val="006C1D0F"/>
    <w:rsid w:val="006F5D09"/>
    <w:rsid w:val="00707DA1"/>
    <w:rsid w:val="007254AF"/>
    <w:rsid w:val="0075518D"/>
    <w:rsid w:val="00776505"/>
    <w:rsid w:val="00793E39"/>
    <w:rsid w:val="007A2617"/>
    <w:rsid w:val="007E24DB"/>
    <w:rsid w:val="007F6E3D"/>
    <w:rsid w:val="008161E5"/>
    <w:rsid w:val="00892B83"/>
    <w:rsid w:val="008C0A79"/>
    <w:rsid w:val="008C17BB"/>
    <w:rsid w:val="008C2702"/>
    <w:rsid w:val="008D505B"/>
    <w:rsid w:val="008F4B6C"/>
    <w:rsid w:val="009532CB"/>
    <w:rsid w:val="00982E48"/>
    <w:rsid w:val="009C5D22"/>
    <w:rsid w:val="009F2435"/>
    <w:rsid w:val="00A36554"/>
    <w:rsid w:val="00A41100"/>
    <w:rsid w:val="00A65369"/>
    <w:rsid w:val="00A774A2"/>
    <w:rsid w:val="00AE572C"/>
    <w:rsid w:val="00B15787"/>
    <w:rsid w:val="00B45482"/>
    <w:rsid w:val="00B60461"/>
    <w:rsid w:val="00B70993"/>
    <w:rsid w:val="00B978AB"/>
    <w:rsid w:val="00BE3C66"/>
    <w:rsid w:val="00C01A54"/>
    <w:rsid w:val="00C076E5"/>
    <w:rsid w:val="00C13558"/>
    <w:rsid w:val="00C710CE"/>
    <w:rsid w:val="00C73AE1"/>
    <w:rsid w:val="00C94021"/>
    <w:rsid w:val="00C9740B"/>
    <w:rsid w:val="00CB21DC"/>
    <w:rsid w:val="00CD0816"/>
    <w:rsid w:val="00D01BFA"/>
    <w:rsid w:val="00D046A4"/>
    <w:rsid w:val="00D57C77"/>
    <w:rsid w:val="00D767F8"/>
    <w:rsid w:val="00D938A3"/>
    <w:rsid w:val="00D954A2"/>
    <w:rsid w:val="00DA4AB6"/>
    <w:rsid w:val="00DB3AEF"/>
    <w:rsid w:val="00DB7584"/>
    <w:rsid w:val="00DC1EBF"/>
    <w:rsid w:val="00DC695F"/>
    <w:rsid w:val="00DD3013"/>
    <w:rsid w:val="00E072B7"/>
    <w:rsid w:val="00E22A36"/>
    <w:rsid w:val="00E25102"/>
    <w:rsid w:val="00EA5D78"/>
    <w:rsid w:val="00EE45E5"/>
    <w:rsid w:val="00F11647"/>
    <w:rsid w:val="00F30D3B"/>
    <w:rsid w:val="00F3610E"/>
    <w:rsid w:val="00F47321"/>
    <w:rsid w:val="00F54101"/>
    <w:rsid w:val="00F975EA"/>
    <w:rsid w:val="00FC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1F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1F41"/>
    <w:rPr>
      <w:sz w:val="20"/>
      <w:szCs w:val="20"/>
    </w:rPr>
  </w:style>
  <w:style w:type="character" w:styleId="FootnoteReference">
    <w:name w:val="footnote reference"/>
    <w:basedOn w:val="DefaultParagraphFont"/>
    <w:uiPriority w:val="99"/>
    <w:semiHidden/>
    <w:unhideWhenUsed/>
    <w:rsid w:val="00661F41"/>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1F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1F41"/>
    <w:rPr>
      <w:sz w:val="20"/>
      <w:szCs w:val="20"/>
    </w:rPr>
  </w:style>
  <w:style w:type="character" w:styleId="FootnoteReference">
    <w:name w:val="footnote reference"/>
    <w:basedOn w:val="DefaultParagraphFont"/>
    <w:uiPriority w:val="99"/>
    <w:semiHidden/>
    <w:unhideWhenUsed/>
    <w:rsid w:val="00661F4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080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94206F-9E47-4CD5-BDF6-A2F94D87A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7</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Brockenhurst College</Company>
  <LinksUpToDate>false</LinksUpToDate>
  <CharactersWithSpaces>12745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Bartlett</dc:creator>
  <cp:keywords/>
  <dc:description/>
  <cp:lastModifiedBy>Martina Bartlett</cp:lastModifiedBy>
  <cp:revision>27</cp:revision>
  <dcterms:created xsi:type="dcterms:W3CDTF">2017-10-09T15:44:00Z</dcterms:created>
  <dcterms:modified xsi:type="dcterms:W3CDTF">2017-11-05T13:25:00Z</dcterms:modified>
</cp:coreProperties>
</file>