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55375437" w:displacedByCustomXml="next"/>
    <w:sdt>
      <w:sdtPr>
        <w:id w:val="1955198440"/>
        <w:docPartObj>
          <w:docPartGallery w:val="Cover Pages"/>
          <w:docPartUnique/>
        </w:docPartObj>
      </w:sdtPr>
      <w:sdtContent>
        <w:p w14:paraId="500FE493" w14:textId="71A55DF9" w:rsidR="001C6667" w:rsidRPr="00D8759D" w:rsidRDefault="00D8759D" w:rsidP="00D8759D">
          <w:pPr>
            <w:rPr>
              <w:rFonts w:eastAsiaTheme="majorEastAsia" w:cstheme="majorBidi"/>
              <w:b/>
              <w:szCs w:val="32"/>
            </w:rPr>
          </w:pPr>
          <w:r>
            <w:rPr>
              <w:noProof/>
            </w:rPr>
            <mc:AlternateContent>
              <mc:Choice Requires="wpg">
                <w:drawing>
                  <wp:anchor distT="0" distB="0" distL="114300" distR="114300" simplePos="0" relativeHeight="251659264" behindDoc="1" locked="0" layoutInCell="1" allowOverlap="1" wp14:anchorId="2CD72C31" wp14:editId="4E83457B">
                    <wp:simplePos x="0" y="0"/>
                    <wp:positionH relativeFrom="margin">
                      <wp:posOffset>-669335</wp:posOffset>
                    </wp:positionH>
                    <wp:positionV relativeFrom="page">
                      <wp:posOffset>592159</wp:posOffset>
                    </wp:positionV>
                    <wp:extent cx="7210133" cy="8886423"/>
                    <wp:effectExtent l="0" t="0" r="3810" b="0"/>
                    <wp:wrapNone/>
                    <wp:docPr id="125" name="组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210133" cy="8886423"/>
                              <a:chOff x="0" y="0"/>
                              <a:chExt cx="5561330" cy="5404485"/>
                            </a:xfrm>
                          </wpg:grpSpPr>
                          <wps:wsp>
                            <wps:cNvPr id="126" name="任意多边形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0CFAE8E" w14:textId="58A52090" w:rsidR="00D8759D" w:rsidRDefault="00D8759D" w:rsidP="00D8759D">
                                  <w:pPr>
                                    <w:rPr>
                                      <w:rFonts w:eastAsiaTheme="majorEastAsia" w:cstheme="majorBidi"/>
                                      <w:b/>
                                      <w:sz w:val="72"/>
                                      <w:szCs w:val="144"/>
                                    </w:rPr>
                                  </w:pPr>
                                  <w:sdt>
                                    <w:sdtPr>
                                      <w:rPr>
                                        <w:rFonts w:eastAsiaTheme="majorEastAsia" w:cstheme="majorBidi"/>
                                        <w:b/>
                                        <w:sz w:val="72"/>
                                        <w:szCs w:val="144"/>
                                      </w:rPr>
                                      <w:alias w:val="标题"/>
                                      <w:tag w:val=""/>
                                      <w:id w:val="-554696155"/>
                                      <w:dataBinding w:prefixMappings="xmlns:ns0='http://purl.org/dc/elements/1.1/' xmlns:ns1='http://schemas.openxmlformats.org/package/2006/metadata/core-properties' " w:xpath="/ns1:coreProperties[1]/ns0:title[1]" w:storeItemID="{6C3C8BC8-F283-45AE-878A-BAB7291924A1}"/>
                                      <w:text/>
                                    </w:sdtPr>
                                    <w:sdtContent>
                                      <w:r w:rsidRPr="00D8759D">
                                        <w:rPr>
                                          <w:rFonts w:eastAsiaTheme="majorEastAsia" w:cstheme="majorBidi"/>
                                          <w:b/>
                                          <w:sz w:val="72"/>
                                          <w:szCs w:val="144"/>
                                        </w:rPr>
                                        <w:t xml:space="preserve">International </w:t>
                                      </w:r>
                                      <w:r w:rsidRPr="00D8759D">
                                        <w:rPr>
                                          <w:rFonts w:eastAsiaTheme="majorEastAsia" w:cstheme="majorBidi"/>
                                          <w:b/>
                                          <w:sz w:val="72"/>
                                          <w:szCs w:val="144"/>
                                        </w:rPr>
                                        <w:t>Business Communication</w:t>
                                      </w:r>
                                      <w:r w:rsidRPr="00D8759D">
                                        <w:rPr>
                                          <w:rFonts w:eastAsiaTheme="majorEastAsia" w:cstheme="majorBidi"/>
                                          <w:b/>
                                          <w:sz w:val="72"/>
                                          <w:szCs w:val="144"/>
                                        </w:rPr>
                                        <w:t xml:space="preserve"> (BMBM6021)</w:t>
                                      </w:r>
                                    </w:sdtContent>
                                  </w:sdt>
                                </w:p>
                                <w:p w14:paraId="27A87364" w14:textId="37EA9518" w:rsidR="00D8759D" w:rsidRPr="00D8759D" w:rsidRDefault="00D8759D" w:rsidP="00D8759D">
                                  <w:pPr>
                                    <w:rPr>
                                      <w:rFonts w:eastAsiaTheme="majorEastAsia" w:cstheme="majorBidi"/>
                                      <w:b/>
                                      <w:sz w:val="44"/>
                                      <w:szCs w:val="52"/>
                                    </w:rPr>
                                  </w:pPr>
                                  <w:proofErr w:type="spellStart"/>
                                  <w:r w:rsidRPr="00D8759D">
                                    <w:rPr>
                                      <w:rFonts w:eastAsiaTheme="majorEastAsia" w:cstheme="majorBidi" w:hint="eastAsia"/>
                                      <w:b/>
                                      <w:sz w:val="44"/>
                                      <w:szCs w:val="52"/>
                                    </w:rPr>
                                    <w:t>H</w:t>
                                  </w:r>
                                  <w:r w:rsidRPr="00D8759D">
                                    <w:rPr>
                                      <w:rFonts w:eastAsiaTheme="majorEastAsia" w:cstheme="majorBidi"/>
                                      <w:b/>
                                      <w:sz w:val="44"/>
                                      <w:szCs w:val="52"/>
                                    </w:rPr>
                                    <w:t>uijie</w:t>
                                  </w:r>
                                  <w:proofErr w:type="spellEnd"/>
                                  <w:r w:rsidRPr="00D8759D">
                                    <w:rPr>
                                      <w:rFonts w:eastAsiaTheme="majorEastAsia" w:cstheme="majorBidi"/>
                                      <w:b/>
                                      <w:sz w:val="44"/>
                                      <w:szCs w:val="52"/>
                                    </w:rPr>
                                    <w:t xml:space="preserve"> Han</w:t>
                                  </w:r>
                                </w:p>
                                <w:p w14:paraId="20A2845E" w14:textId="524EC3DB" w:rsidR="00D8759D" w:rsidRPr="00D8759D" w:rsidRDefault="00D8759D" w:rsidP="00D8759D">
                                  <w:pPr>
                                    <w:rPr>
                                      <w:rFonts w:hint="eastAsia"/>
                                      <w:color w:val="FFFFFF" w:themeColor="background1"/>
                                      <w:sz w:val="200"/>
                                      <w:szCs w:val="200"/>
                                    </w:rPr>
                                  </w:pPr>
                                  <w:r w:rsidRPr="00D8759D">
                                    <w:rPr>
                                      <w:rFonts w:eastAsiaTheme="majorEastAsia" w:cstheme="majorBidi" w:hint="eastAsia"/>
                                      <w:b/>
                                      <w:sz w:val="44"/>
                                      <w:szCs w:val="52"/>
                                    </w:rPr>
                                    <w:t>2</w:t>
                                  </w:r>
                                  <w:r w:rsidRPr="00D8759D">
                                    <w:rPr>
                                      <w:rFonts w:eastAsiaTheme="majorEastAsia" w:cstheme="majorBidi"/>
                                      <w:b/>
                                      <w:sz w:val="44"/>
                                      <w:szCs w:val="52"/>
                                    </w:rPr>
                                    <w:t>304054</w:t>
                                  </w:r>
                                </w:p>
                              </w:txbxContent>
                            </wps:txbx>
                            <wps:bodyPr rot="0" vert="horz" wrap="square" lIns="914400" tIns="1097280" rIns="1097280" bIns="1097280" anchor="b" anchorCtr="0" upright="1">
                              <a:noAutofit/>
                            </wps:bodyPr>
                          </wps:wsp>
                          <wps:wsp>
                            <wps:cNvPr id="127" name="任意多边形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2CD72C31" id="组 125" o:spid="_x0000_s1026" style="position:absolute;margin-left:-52.7pt;margin-top:46.65pt;width:567.75pt;height:699.7pt;z-index:-251657216;mso-position-horizontal-relative:margin;mso-position-vertical-relative:page;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">
                    <o:lock v:ext="edit" aspectratio="t"/>
                    <v:shape id="任意多边形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0CFAE8E" w14:textId="58A52090" w:rsidR="00D8759D" w:rsidRDefault="00D8759D" w:rsidP="00D8759D">
                            <w:pPr>
                              <w:rPr>
                                <w:rFonts w:eastAsiaTheme="majorEastAsia" w:cstheme="majorBidi"/>
                                <w:b/>
                                <w:sz w:val="72"/>
                                <w:szCs w:val="144"/>
                              </w:rPr>
                            </w:pPr>
                            <w:sdt>
                              <w:sdtPr>
                                <w:rPr>
                                  <w:rFonts w:eastAsiaTheme="majorEastAsia" w:cstheme="majorBidi"/>
                                  <w:b/>
                                  <w:sz w:val="72"/>
                                  <w:szCs w:val="144"/>
                                </w:rPr>
                                <w:alias w:val="标题"/>
                                <w:tag w:val=""/>
                                <w:id w:val="-554696155"/>
                                <w:dataBinding w:prefixMappings="xmlns:ns0='http://purl.org/dc/elements/1.1/' xmlns:ns1='http://schemas.openxmlformats.org/package/2006/metadata/core-properties' " w:xpath="/ns1:coreProperties[1]/ns0:title[1]" w:storeItemID="{6C3C8BC8-F283-45AE-878A-BAB7291924A1}"/>
                                <w:text/>
                              </w:sdtPr>
                              <w:sdtContent>
                                <w:r w:rsidRPr="00D8759D">
                                  <w:rPr>
                                    <w:rFonts w:eastAsiaTheme="majorEastAsia" w:cstheme="majorBidi"/>
                                    <w:b/>
                                    <w:sz w:val="72"/>
                                    <w:szCs w:val="144"/>
                                  </w:rPr>
                                  <w:t xml:space="preserve">International </w:t>
                                </w:r>
                                <w:r w:rsidRPr="00D8759D">
                                  <w:rPr>
                                    <w:rFonts w:eastAsiaTheme="majorEastAsia" w:cstheme="majorBidi"/>
                                    <w:b/>
                                    <w:sz w:val="72"/>
                                    <w:szCs w:val="144"/>
                                  </w:rPr>
                                  <w:t>Business Communication</w:t>
                                </w:r>
                                <w:r w:rsidRPr="00D8759D">
                                  <w:rPr>
                                    <w:rFonts w:eastAsiaTheme="majorEastAsia" w:cstheme="majorBidi"/>
                                    <w:b/>
                                    <w:sz w:val="72"/>
                                    <w:szCs w:val="144"/>
                                  </w:rPr>
                                  <w:t xml:space="preserve"> (BMBM6021)</w:t>
                                </w:r>
                              </w:sdtContent>
                            </w:sdt>
                          </w:p>
                          <w:p w14:paraId="27A87364" w14:textId="37EA9518" w:rsidR="00D8759D" w:rsidRPr="00D8759D" w:rsidRDefault="00D8759D" w:rsidP="00D8759D">
                            <w:pPr>
                              <w:rPr>
                                <w:rFonts w:eastAsiaTheme="majorEastAsia" w:cstheme="majorBidi"/>
                                <w:b/>
                                <w:sz w:val="44"/>
                                <w:szCs w:val="52"/>
                              </w:rPr>
                            </w:pPr>
                            <w:proofErr w:type="spellStart"/>
                            <w:r w:rsidRPr="00D8759D">
                              <w:rPr>
                                <w:rFonts w:eastAsiaTheme="majorEastAsia" w:cstheme="majorBidi" w:hint="eastAsia"/>
                                <w:b/>
                                <w:sz w:val="44"/>
                                <w:szCs w:val="52"/>
                              </w:rPr>
                              <w:t>H</w:t>
                            </w:r>
                            <w:r w:rsidRPr="00D8759D">
                              <w:rPr>
                                <w:rFonts w:eastAsiaTheme="majorEastAsia" w:cstheme="majorBidi"/>
                                <w:b/>
                                <w:sz w:val="44"/>
                                <w:szCs w:val="52"/>
                              </w:rPr>
                              <w:t>uijie</w:t>
                            </w:r>
                            <w:proofErr w:type="spellEnd"/>
                            <w:r w:rsidRPr="00D8759D">
                              <w:rPr>
                                <w:rFonts w:eastAsiaTheme="majorEastAsia" w:cstheme="majorBidi"/>
                                <w:b/>
                                <w:sz w:val="44"/>
                                <w:szCs w:val="52"/>
                              </w:rPr>
                              <w:t xml:space="preserve"> Han</w:t>
                            </w:r>
                          </w:p>
                          <w:p w14:paraId="20A2845E" w14:textId="524EC3DB" w:rsidR="00D8759D" w:rsidRPr="00D8759D" w:rsidRDefault="00D8759D" w:rsidP="00D8759D">
                            <w:pPr>
                              <w:rPr>
                                <w:rFonts w:hint="eastAsia"/>
                                <w:color w:val="FFFFFF" w:themeColor="background1"/>
                                <w:sz w:val="200"/>
                                <w:szCs w:val="200"/>
                              </w:rPr>
                            </w:pPr>
                            <w:r w:rsidRPr="00D8759D">
                              <w:rPr>
                                <w:rFonts w:eastAsiaTheme="majorEastAsia" w:cstheme="majorBidi" w:hint="eastAsia"/>
                                <w:b/>
                                <w:sz w:val="44"/>
                                <w:szCs w:val="52"/>
                              </w:rPr>
                              <w:t>2</w:t>
                            </w:r>
                            <w:r w:rsidRPr="00D8759D">
                              <w:rPr>
                                <w:rFonts w:eastAsiaTheme="majorEastAsia" w:cstheme="majorBidi"/>
                                <w:b/>
                                <w:sz w:val="44"/>
                                <w:szCs w:val="52"/>
                              </w:rPr>
                              <w:t>304054</w:t>
                            </w:r>
                          </w:p>
                        </w:txbxContent>
                      </v:textbox>
                    </v:shape>
                    <v:shape id="任意多边形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564911">
            <w:rPr>
              <w:noProof/>
            </w:rPr>
            <w:drawing>
              <wp:inline distT="0" distB="0" distL="0" distR="0" wp14:anchorId="0E42CAD0" wp14:editId="08267BC9">
                <wp:extent cx="1813560" cy="723900"/>
                <wp:effectExtent l="0" t="0" r="0" b="0"/>
                <wp:docPr id="2032297592" name="Picture 1" descr="C:\Users\User\AppData\Local\Temp\WeChat Files\622af4a0e1157af7f024c0f8b4563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WeChat Files\622af4a0e1157af7f024c0f8b456384.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r>
            <w:br w:type="page"/>
          </w:r>
        </w:p>
      </w:sdtContent>
    </w:sdt>
    <w:p w14:paraId="2C464432" w14:textId="77777777" w:rsidR="001C6667" w:rsidRDefault="001C6667" w:rsidP="00564911">
      <w:pPr>
        <w:pStyle w:val="1"/>
        <w:numPr>
          <w:ilvl w:val="0"/>
          <w:numId w:val="0"/>
        </w:numPr>
      </w:pPr>
    </w:p>
    <w:p w14:paraId="77341C46" w14:textId="23C3DEC7" w:rsidR="00BF4A59" w:rsidRDefault="00DD6BD5">
      <w:pPr>
        <w:pStyle w:val="1"/>
        <w:numPr>
          <w:ilvl w:val="0"/>
          <w:numId w:val="0"/>
        </w:numPr>
        <w:jc w:val="center"/>
      </w:pPr>
      <w:r>
        <w:t>Executive Summary</w:t>
      </w:r>
      <w:bookmarkEnd w:id="0"/>
    </w:p>
    <w:p w14:paraId="3413CA5B" w14:textId="18BA9765" w:rsidR="00C83F8F" w:rsidRPr="00C83F8F" w:rsidRDefault="00C83F8F" w:rsidP="00C83F8F">
      <w:pPr>
        <w:jc w:val="both"/>
      </w:pPr>
      <w:r w:rsidRPr="00C83F8F">
        <w:t xml:space="preserve">This report </w:t>
      </w:r>
      <w:r>
        <w:t>studies the</w:t>
      </w:r>
      <w:r w:rsidRPr="00C83F8F">
        <w:t xml:space="preserve"> cultural differences</w:t>
      </w:r>
      <w:r>
        <w:t xml:space="preserve"> which</w:t>
      </w:r>
      <w:r w:rsidRPr="00C83F8F">
        <w:t xml:space="preserve"> impacting communication between the United Kingdom (UK) and Finland</w:t>
      </w:r>
      <w:r>
        <w:t xml:space="preserve">. </w:t>
      </w:r>
      <w:r w:rsidR="00321F73">
        <w:t>Based on the</w:t>
      </w:r>
      <w:r w:rsidRPr="00C83F8F">
        <w:t xml:space="preserve"> theoretical frameworks </w:t>
      </w:r>
      <w:r w:rsidR="00321F73">
        <w:t>of</w:t>
      </w:r>
      <w:r w:rsidRPr="00C83F8F">
        <w:t xml:space="preserve"> Hofstede's 7 Cultural Dimensions and Trompenaars Cultural Dimensions</w:t>
      </w:r>
      <w:r>
        <w:t xml:space="preserve">, the main </w:t>
      </w:r>
      <w:r w:rsidR="00321F73">
        <w:t xml:space="preserve">cultural </w:t>
      </w:r>
      <w:r>
        <w:t xml:space="preserve">disparities was identified as </w:t>
      </w:r>
      <w:r w:rsidRPr="00C83F8F">
        <w:t>differences in masculinity/femininity, specificity/diffuseness, and non-verbal communication approaches</w:t>
      </w:r>
      <w:r w:rsidR="00321F73">
        <w:t xml:space="preserve"> such as pause in conversation and handshakes</w:t>
      </w:r>
      <w:r w:rsidRPr="00C83F8F">
        <w:t>. Th</w:t>
      </w:r>
      <w:r w:rsidR="00321F73">
        <w:t>is</w:t>
      </w:r>
      <w:r w:rsidRPr="00C83F8F">
        <w:t xml:space="preserve"> study illustrates these differences through three detailed scenario</w:t>
      </w:r>
      <w:r w:rsidR="00321F73">
        <w:t>s, including the next of teamwork, collaboration and negotiation</w:t>
      </w:r>
      <w:r w:rsidRPr="00C83F8F">
        <w:t>.</w:t>
      </w:r>
      <w:r>
        <w:t xml:space="preserve"> </w:t>
      </w:r>
      <w:r w:rsidR="00321F73">
        <w:t xml:space="preserve">The reasons causing to </w:t>
      </w:r>
      <w:r w:rsidRPr="00C83F8F">
        <w:t>communication failures</w:t>
      </w:r>
      <w:r w:rsidR="00321F73">
        <w:t xml:space="preserve"> was interpretated</w:t>
      </w:r>
      <w:r w:rsidRPr="00C83F8F">
        <w:t xml:space="preserve">, emphasizing the impact of </w:t>
      </w:r>
      <w:r w:rsidR="00321F73">
        <w:t>cultural nuances</w:t>
      </w:r>
      <w:r w:rsidRPr="00C83F8F">
        <w:t xml:space="preserve"> on decision-making styles, conflict resolution</w:t>
      </w:r>
      <w:r w:rsidR="00321F73">
        <w:t xml:space="preserve">, </w:t>
      </w:r>
      <w:r w:rsidRPr="00C83F8F">
        <w:t>communication clarity</w:t>
      </w:r>
      <w:r w:rsidR="00321F73">
        <w:t xml:space="preserve"> and understanding on non-verbal cues</w:t>
      </w:r>
      <w:r w:rsidRPr="00C83F8F">
        <w:t>.</w:t>
      </w:r>
      <w:r>
        <w:t xml:space="preserve"> Last but not least, this study </w:t>
      </w:r>
      <w:r w:rsidRPr="00C83F8F">
        <w:t xml:space="preserve">recommends </w:t>
      </w:r>
      <w:r>
        <w:t xml:space="preserve">on </w:t>
      </w:r>
      <w:r w:rsidRPr="00C83F8F">
        <w:t xml:space="preserve">strategies to overcome these challenges, including open discussions about decision-making preferences, the development of communication protocols, and employment of intermediaries </w:t>
      </w:r>
      <w:r w:rsidR="00321F73">
        <w:t xml:space="preserve">who </w:t>
      </w:r>
      <w:r w:rsidRPr="00C83F8F">
        <w:t>proficient in both cultures.</w:t>
      </w:r>
      <w:r w:rsidR="00B627F9">
        <w:t xml:space="preserve"> </w:t>
      </w:r>
      <w:r w:rsidR="00321F73">
        <w:t>With these strategies</w:t>
      </w:r>
      <w:r w:rsidR="00B627F9" w:rsidRPr="00B627F9">
        <w:t>, organizations can mitigate communication failures, foster collaboration, and achieve desired goals in cross-cultural business interactions.</w:t>
      </w:r>
      <w:r w:rsidR="00B627F9">
        <w:t xml:space="preserve"> In short, th</w:t>
      </w:r>
      <w:r w:rsidR="00B627F9" w:rsidRPr="00B627F9">
        <w:t xml:space="preserve">is report serves as a valuable resource for </w:t>
      </w:r>
      <w:r w:rsidR="00321F73">
        <w:t xml:space="preserve">organisation to </w:t>
      </w:r>
      <w:r w:rsidR="00B627F9" w:rsidRPr="00B627F9">
        <w:t>navigat</w:t>
      </w:r>
      <w:r w:rsidR="00321F73">
        <w:t>e</w:t>
      </w:r>
      <w:r w:rsidR="00B627F9" w:rsidRPr="00B627F9">
        <w:t xml:space="preserve"> the complexities of </w:t>
      </w:r>
      <w:r w:rsidR="00321F73">
        <w:t>cross-</w:t>
      </w:r>
      <w:r w:rsidR="00B627F9" w:rsidRPr="00B627F9">
        <w:t>cultural communication between the UK and Finland.</w:t>
      </w:r>
    </w:p>
    <w:p w14:paraId="252D9EC5" w14:textId="67D71C8A" w:rsidR="00BF4A59" w:rsidRDefault="00DD6BD5">
      <w:pPr>
        <w:spacing w:after="160" w:line="259" w:lineRule="auto"/>
      </w:pPr>
      <w:r>
        <w:br w:type="page"/>
      </w:r>
    </w:p>
    <w:p w14:paraId="6230B06C" w14:textId="77777777" w:rsidR="00BF4A59" w:rsidRDefault="00DD6BD5">
      <w:pPr>
        <w:pStyle w:val="1"/>
        <w:numPr>
          <w:ilvl w:val="0"/>
          <w:numId w:val="0"/>
        </w:numPr>
        <w:ind w:left="432" w:hanging="432"/>
      </w:pPr>
      <w:bookmarkStart w:id="1" w:name="_Toc155375438"/>
      <w:r>
        <w:lastRenderedPageBreak/>
        <w:t>Table of Content</w:t>
      </w:r>
      <w:bookmarkEnd w:id="1"/>
    </w:p>
    <w:p w14:paraId="00ED1CAB" w14:textId="77777777" w:rsidR="00BF4A59" w:rsidRDefault="00BF4A59">
      <w:pPr>
        <w:pStyle w:val="TOC1"/>
        <w:tabs>
          <w:tab w:val="right" w:leader="dot" w:pos="9016"/>
        </w:tabs>
      </w:pPr>
    </w:p>
    <w:p w14:paraId="23718225" w14:textId="77777777" w:rsidR="00BF4A59" w:rsidRDefault="00DD6BD5">
      <w:pPr>
        <w:pStyle w:val="TOC1"/>
        <w:tabs>
          <w:tab w:val="right" w:leader="dot" w:pos="9016"/>
        </w:tabs>
        <w:rPr>
          <w:rFonts w:asciiTheme="minorHAnsi" w:hAnsiTheme="minorHAnsi"/>
          <w:sz w:val="22"/>
        </w:rPr>
      </w:pPr>
      <w:r>
        <w:fldChar w:fldCharType="begin"/>
      </w:r>
      <w:r>
        <w:instrText xml:space="preserve"> TOC \o "1-3" \h \z \u </w:instrText>
      </w:r>
      <w:r>
        <w:fldChar w:fldCharType="separate"/>
      </w:r>
      <w:hyperlink w:anchor="_Toc155375437" w:history="1">
        <w:r>
          <w:rPr>
            <w:rStyle w:val="ae"/>
          </w:rPr>
          <w:t>Executive Summary</w:t>
        </w:r>
        <w:r>
          <w:tab/>
        </w:r>
        <w:r>
          <w:fldChar w:fldCharType="begin"/>
        </w:r>
        <w:r>
          <w:instrText xml:space="preserve"> PAGEREF _Toc155375437 \h </w:instrText>
        </w:r>
        <w:r>
          <w:fldChar w:fldCharType="separate"/>
        </w:r>
        <w:r>
          <w:t>i</w:t>
        </w:r>
        <w:r>
          <w:fldChar w:fldCharType="end"/>
        </w:r>
      </w:hyperlink>
    </w:p>
    <w:p w14:paraId="549A9DDB" w14:textId="77777777" w:rsidR="00BF4A59" w:rsidRDefault="00000000">
      <w:pPr>
        <w:pStyle w:val="TOC1"/>
        <w:tabs>
          <w:tab w:val="right" w:leader="dot" w:pos="9016"/>
        </w:tabs>
        <w:rPr>
          <w:rFonts w:asciiTheme="minorHAnsi" w:hAnsiTheme="minorHAnsi"/>
          <w:sz w:val="22"/>
        </w:rPr>
      </w:pPr>
      <w:hyperlink w:anchor="_Toc155375438" w:history="1">
        <w:r w:rsidR="00DD6BD5">
          <w:rPr>
            <w:rStyle w:val="ae"/>
          </w:rPr>
          <w:t>Table of Content</w:t>
        </w:r>
        <w:r w:rsidR="00DD6BD5">
          <w:tab/>
        </w:r>
        <w:r w:rsidR="00DD6BD5">
          <w:fldChar w:fldCharType="begin"/>
        </w:r>
        <w:r w:rsidR="00DD6BD5">
          <w:instrText xml:space="preserve"> PAGEREF _Toc155375438 \h </w:instrText>
        </w:r>
        <w:r w:rsidR="00DD6BD5">
          <w:fldChar w:fldCharType="separate"/>
        </w:r>
        <w:r w:rsidR="00DD6BD5">
          <w:t>ii</w:t>
        </w:r>
        <w:r w:rsidR="00DD6BD5">
          <w:fldChar w:fldCharType="end"/>
        </w:r>
      </w:hyperlink>
    </w:p>
    <w:p w14:paraId="4AA6CCC9" w14:textId="77777777" w:rsidR="00BF4A59" w:rsidRDefault="00000000">
      <w:pPr>
        <w:pStyle w:val="TOC1"/>
        <w:tabs>
          <w:tab w:val="left" w:pos="660"/>
          <w:tab w:val="right" w:leader="dot" w:pos="9016"/>
        </w:tabs>
        <w:rPr>
          <w:rFonts w:asciiTheme="minorHAnsi" w:hAnsiTheme="minorHAnsi"/>
          <w:sz w:val="22"/>
        </w:rPr>
      </w:pPr>
      <w:hyperlink w:anchor="_Toc155375439" w:history="1">
        <w:r w:rsidR="00DD6BD5">
          <w:rPr>
            <w:rStyle w:val="ae"/>
          </w:rPr>
          <w:t>1.0</w:t>
        </w:r>
        <w:r w:rsidR="00DD6BD5">
          <w:rPr>
            <w:rFonts w:asciiTheme="minorHAnsi" w:hAnsiTheme="minorHAnsi"/>
            <w:sz w:val="22"/>
          </w:rPr>
          <w:tab/>
        </w:r>
        <w:r w:rsidR="00DD6BD5">
          <w:rPr>
            <w:rStyle w:val="ae"/>
          </w:rPr>
          <w:t>Introduction</w:t>
        </w:r>
        <w:r w:rsidR="00DD6BD5">
          <w:tab/>
        </w:r>
        <w:r w:rsidR="00DD6BD5">
          <w:fldChar w:fldCharType="begin"/>
        </w:r>
        <w:r w:rsidR="00DD6BD5">
          <w:instrText xml:space="preserve"> PAGEREF _Toc155375439 \h </w:instrText>
        </w:r>
        <w:r w:rsidR="00DD6BD5">
          <w:fldChar w:fldCharType="separate"/>
        </w:r>
        <w:r w:rsidR="00DD6BD5">
          <w:t>1</w:t>
        </w:r>
        <w:r w:rsidR="00DD6BD5">
          <w:fldChar w:fldCharType="end"/>
        </w:r>
      </w:hyperlink>
    </w:p>
    <w:p w14:paraId="7C0B24AA" w14:textId="77777777" w:rsidR="00BF4A59" w:rsidRDefault="00000000">
      <w:pPr>
        <w:pStyle w:val="TOC1"/>
        <w:tabs>
          <w:tab w:val="left" w:pos="660"/>
          <w:tab w:val="right" w:leader="dot" w:pos="9016"/>
        </w:tabs>
        <w:rPr>
          <w:rFonts w:asciiTheme="minorHAnsi" w:hAnsiTheme="minorHAnsi"/>
          <w:sz w:val="22"/>
        </w:rPr>
      </w:pPr>
      <w:hyperlink w:anchor="_Toc155375440" w:history="1">
        <w:r w:rsidR="00DD6BD5">
          <w:rPr>
            <w:rStyle w:val="ae"/>
          </w:rPr>
          <w:t>2.0</w:t>
        </w:r>
        <w:r w:rsidR="00DD6BD5">
          <w:rPr>
            <w:rFonts w:asciiTheme="minorHAnsi" w:hAnsiTheme="minorHAnsi"/>
            <w:sz w:val="22"/>
          </w:rPr>
          <w:tab/>
        </w:r>
        <w:r w:rsidR="00DD6BD5">
          <w:rPr>
            <w:rStyle w:val="ae"/>
          </w:rPr>
          <w:t>Cultural Differences</w:t>
        </w:r>
        <w:r w:rsidR="00DD6BD5">
          <w:tab/>
        </w:r>
        <w:r w:rsidR="00DD6BD5">
          <w:fldChar w:fldCharType="begin"/>
        </w:r>
        <w:r w:rsidR="00DD6BD5">
          <w:instrText xml:space="preserve"> PAGEREF _Toc155375440 \h </w:instrText>
        </w:r>
        <w:r w:rsidR="00DD6BD5">
          <w:fldChar w:fldCharType="separate"/>
        </w:r>
        <w:r w:rsidR="00DD6BD5">
          <w:t>1</w:t>
        </w:r>
        <w:r w:rsidR="00DD6BD5">
          <w:fldChar w:fldCharType="end"/>
        </w:r>
      </w:hyperlink>
    </w:p>
    <w:p w14:paraId="528A924E" w14:textId="77777777" w:rsidR="00BF4A59" w:rsidRDefault="00000000">
      <w:pPr>
        <w:pStyle w:val="TOC1"/>
        <w:tabs>
          <w:tab w:val="left" w:pos="660"/>
          <w:tab w:val="right" w:leader="dot" w:pos="9016"/>
        </w:tabs>
        <w:rPr>
          <w:rFonts w:asciiTheme="minorHAnsi" w:hAnsiTheme="minorHAnsi"/>
          <w:sz w:val="22"/>
        </w:rPr>
      </w:pPr>
      <w:hyperlink w:anchor="_Toc155375441" w:history="1">
        <w:r w:rsidR="00DD6BD5">
          <w:rPr>
            <w:rStyle w:val="ae"/>
          </w:rPr>
          <w:t>3.0</w:t>
        </w:r>
        <w:r w:rsidR="00DD6BD5">
          <w:rPr>
            <w:rFonts w:asciiTheme="minorHAnsi" w:hAnsiTheme="minorHAnsi"/>
            <w:sz w:val="22"/>
          </w:rPr>
          <w:tab/>
        </w:r>
        <w:r w:rsidR="00DD6BD5">
          <w:rPr>
            <w:rStyle w:val="ae"/>
          </w:rPr>
          <w:t>Case Study Scenarios</w:t>
        </w:r>
        <w:r w:rsidR="00DD6BD5">
          <w:tab/>
        </w:r>
        <w:r w:rsidR="00DD6BD5">
          <w:fldChar w:fldCharType="begin"/>
        </w:r>
        <w:r w:rsidR="00DD6BD5">
          <w:instrText xml:space="preserve"> PAGEREF _Toc155375441 \h </w:instrText>
        </w:r>
        <w:r w:rsidR="00DD6BD5">
          <w:fldChar w:fldCharType="separate"/>
        </w:r>
        <w:r w:rsidR="00DD6BD5">
          <w:t>2</w:t>
        </w:r>
        <w:r w:rsidR="00DD6BD5">
          <w:fldChar w:fldCharType="end"/>
        </w:r>
      </w:hyperlink>
    </w:p>
    <w:p w14:paraId="291BA09D" w14:textId="77777777" w:rsidR="00BF4A59" w:rsidRDefault="00000000">
      <w:pPr>
        <w:pStyle w:val="TOC2"/>
        <w:tabs>
          <w:tab w:val="left" w:pos="880"/>
          <w:tab w:val="right" w:leader="dot" w:pos="9016"/>
        </w:tabs>
        <w:rPr>
          <w:rFonts w:asciiTheme="minorHAnsi" w:hAnsiTheme="minorHAnsi"/>
          <w:sz w:val="22"/>
        </w:rPr>
      </w:pPr>
      <w:hyperlink w:anchor="_Toc155375442" w:history="1">
        <w:r w:rsidR="00DD6BD5">
          <w:rPr>
            <w:rStyle w:val="ae"/>
          </w:rPr>
          <w:t>3.1</w:t>
        </w:r>
        <w:r w:rsidR="00DD6BD5">
          <w:rPr>
            <w:rFonts w:asciiTheme="minorHAnsi" w:hAnsiTheme="minorHAnsi"/>
            <w:sz w:val="22"/>
          </w:rPr>
          <w:tab/>
        </w:r>
        <w:r w:rsidR="00DD6BD5">
          <w:rPr>
            <w:rStyle w:val="ae"/>
          </w:rPr>
          <w:t>Scenario 1</w:t>
        </w:r>
        <w:r w:rsidR="00DD6BD5">
          <w:tab/>
        </w:r>
        <w:r w:rsidR="00DD6BD5">
          <w:fldChar w:fldCharType="begin"/>
        </w:r>
        <w:r w:rsidR="00DD6BD5">
          <w:instrText xml:space="preserve"> PAGEREF _Toc155375442 \h </w:instrText>
        </w:r>
        <w:r w:rsidR="00DD6BD5">
          <w:fldChar w:fldCharType="separate"/>
        </w:r>
        <w:r w:rsidR="00DD6BD5">
          <w:t>2</w:t>
        </w:r>
        <w:r w:rsidR="00DD6BD5">
          <w:fldChar w:fldCharType="end"/>
        </w:r>
      </w:hyperlink>
    </w:p>
    <w:p w14:paraId="23ED7E8E" w14:textId="77777777" w:rsidR="00BF4A59" w:rsidRDefault="00000000">
      <w:pPr>
        <w:pStyle w:val="TOC2"/>
        <w:tabs>
          <w:tab w:val="left" w:pos="880"/>
          <w:tab w:val="right" w:leader="dot" w:pos="9016"/>
        </w:tabs>
        <w:rPr>
          <w:rFonts w:asciiTheme="minorHAnsi" w:hAnsiTheme="minorHAnsi"/>
          <w:sz w:val="22"/>
        </w:rPr>
      </w:pPr>
      <w:hyperlink w:anchor="_Toc155375443" w:history="1">
        <w:r w:rsidR="00DD6BD5">
          <w:rPr>
            <w:rStyle w:val="ae"/>
          </w:rPr>
          <w:t>3.2</w:t>
        </w:r>
        <w:r w:rsidR="00DD6BD5">
          <w:rPr>
            <w:rFonts w:asciiTheme="minorHAnsi" w:hAnsiTheme="minorHAnsi"/>
            <w:sz w:val="22"/>
          </w:rPr>
          <w:tab/>
        </w:r>
        <w:r w:rsidR="00DD6BD5">
          <w:rPr>
            <w:rStyle w:val="ae"/>
          </w:rPr>
          <w:t>Scenario 2</w:t>
        </w:r>
        <w:r w:rsidR="00DD6BD5">
          <w:tab/>
        </w:r>
        <w:r w:rsidR="00DD6BD5">
          <w:fldChar w:fldCharType="begin"/>
        </w:r>
        <w:r w:rsidR="00DD6BD5">
          <w:instrText xml:space="preserve"> PAGEREF _Toc155375443 \h </w:instrText>
        </w:r>
        <w:r w:rsidR="00DD6BD5">
          <w:fldChar w:fldCharType="separate"/>
        </w:r>
        <w:r w:rsidR="00DD6BD5">
          <w:t>3</w:t>
        </w:r>
        <w:r w:rsidR="00DD6BD5">
          <w:fldChar w:fldCharType="end"/>
        </w:r>
      </w:hyperlink>
    </w:p>
    <w:p w14:paraId="691CC70E" w14:textId="77777777" w:rsidR="00BF4A59" w:rsidRDefault="00000000">
      <w:pPr>
        <w:pStyle w:val="TOC2"/>
        <w:tabs>
          <w:tab w:val="left" w:pos="880"/>
          <w:tab w:val="right" w:leader="dot" w:pos="9016"/>
        </w:tabs>
        <w:rPr>
          <w:rFonts w:asciiTheme="minorHAnsi" w:hAnsiTheme="minorHAnsi"/>
          <w:sz w:val="22"/>
        </w:rPr>
      </w:pPr>
      <w:hyperlink w:anchor="_Toc155375444" w:history="1">
        <w:r w:rsidR="00DD6BD5">
          <w:rPr>
            <w:rStyle w:val="ae"/>
          </w:rPr>
          <w:t>3.3</w:t>
        </w:r>
        <w:r w:rsidR="00DD6BD5">
          <w:rPr>
            <w:rFonts w:asciiTheme="minorHAnsi" w:hAnsiTheme="minorHAnsi"/>
            <w:sz w:val="22"/>
          </w:rPr>
          <w:tab/>
        </w:r>
        <w:r w:rsidR="00DD6BD5">
          <w:rPr>
            <w:rStyle w:val="ae"/>
          </w:rPr>
          <w:t>Scenario 3</w:t>
        </w:r>
        <w:r w:rsidR="00DD6BD5">
          <w:tab/>
        </w:r>
        <w:r w:rsidR="00DD6BD5">
          <w:fldChar w:fldCharType="begin"/>
        </w:r>
        <w:r w:rsidR="00DD6BD5">
          <w:instrText xml:space="preserve"> PAGEREF _Toc155375444 \h </w:instrText>
        </w:r>
        <w:r w:rsidR="00DD6BD5">
          <w:fldChar w:fldCharType="separate"/>
        </w:r>
        <w:r w:rsidR="00DD6BD5">
          <w:t>3</w:t>
        </w:r>
        <w:r w:rsidR="00DD6BD5">
          <w:fldChar w:fldCharType="end"/>
        </w:r>
      </w:hyperlink>
    </w:p>
    <w:p w14:paraId="100D4A24" w14:textId="77777777" w:rsidR="00BF4A59" w:rsidRDefault="00000000">
      <w:pPr>
        <w:pStyle w:val="TOC1"/>
        <w:tabs>
          <w:tab w:val="left" w:pos="660"/>
          <w:tab w:val="right" w:leader="dot" w:pos="9016"/>
        </w:tabs>
        <w:rPr>
          <w:rFonts w:asciiTheme="minorHAnsi" w:hAnsiTheme="minorHAnsi"/>
          <w:sz w:val="22"/>
        </w:rPr>
      </w:pPr>
      <w:hyperlink w:anchor="_Toc155375445" w:history="1">
        <w:r w:rsidR="00DD6BD5">
          <w:rPr>
            <w:rStyle w:val="ae"/>
          </w:rPr>
          <w:t>4.0</w:t>
        </w:r>
        <w:r w:rsidR="00DD6BD5">
          <w:rPr>
            <w:rFonts w:asciiTheme="minorHAnsi" w:hAnsiTheme="minorHAnsi"/>
            <w:sz w:val="22"/>
          </w:rPr>
          <w:tab/>
        </w:r>
        <w:r w:rsidR="00DD6BD5">
          <w:rPr>
            <w:rStyle w:val="ae"/>
          </w:rPr>
          <w:t>Reasons of Communication Failures</w:t>
        </w:r>
        <w:r w:rsidR="00DD6BD5">
          <w:tab/>
        </w:r>
        <w:r w:rsidR="00DD6BD5">
          <w:fldChar w:fldCharType="begin"/>
        </w:r>
        <w:r w:rsidR="00DD6BD5">
          <w:instrText xml:space="preserve"> PAGEREF _Toc155375445 \h </w:instrText>
        </w:r>
        <w:r w:rsidR="00DD6BD5">
          <w:fldChar w:fldCharType="separate"/>
        </w:r>
        <w:r w:rsidR="00DD6BD5">
          <w:t>4</w:t>
        </w:r>
        <w:r w:rsidR="00DD6BD5">
          <w:fldChar w:fldCharType="end"/>
        </w:r>
      </w:hyperlink>
    </w:p>
    <w:p w14:paraId="68E209B0" w14:textId="77777777" w:rsidR="00BF4A59" w:rsidRDefault="00000000">
      <w:pPr>
        <w:pStyle w:val="TOC2"/>
        <w:tabs>
          <w:tab w:val="left" w:pos="880"/>
          <w:tab w:val="right" w:leader="dot" w:pos="9016"/>
        </w:tabs>
        <w:rPr>
          <w:rFonts w:asciiTheme="minorHAnsi" w:hAnsiTheme="minorHAnsi"/>
          <w:sz w:val="22"/>
        </w:rPr>
      </w:pPr>
      <w:hyperlink w:anchor="_Toc155375446" w:history="1">
        <w:r w:rsidR="00DD6BD5">
          <w:rPr>
            <w:rStyle w:val="ae"/>
          </w:rPr>
          <w:t>4.1</w:t>
        </w:r>
        <w:r w:rsidR="00DD6BD5">
          <w:rPr>
            <w:rFonts w:asciiTheme="minorHAnsi" w:hAnsiTheme="minorHAnsi"/>
            <w:sz w:val="22"/>
          </w:rPr>
          <w:tab/>
        </w:r>
        <w:r w:rsidR="00DD6BD5">
          <w:rPr>
            <w:rStyle w:val="ae"/>
          </w:rPr>
          <w:t>Scenario 1</w:t>
        </w:r>
        <w:r w:rsidR="00DD6BD5">
          <w:tab/>
        </w:r>
        <w:r w:rsidR="00DD6BD5">
          <w:fldChar w:fldCharType="begin"/>
        </w:r>
        <w:r w:rsidR="00DD6BD5">
          <w:instrText xml:space="preserve"> PAGEREF _Toc155375446 \h </w:instrText>
        </w:r>
        <w:r w:rsidR="00DD6BD5">
          <w:fldChar w:fldCharType="separate"/>
        </w:r>
        <w:r w:rsidR="00DD6BD5">
          <w:t>4</w:t>
        </w:r>
        <w:r w:rsidR="00DD6BD5">
          <w:fldChar w:fldCharType="end"/>
        </w:r>
      </w:hyperlink>
    </w:p>
    <w:p w14:paraId="429A9122" w14:textId="77777777" w:rsidR="00BF4A59" w:rsidRDefault="00000000">
      <w:pPr>
        <w:pStyle w:val="TOC2"/>
        <w:tabs>
          <w:tab w:val="left" w:pos="880"/>
          <w:tab w:val="right" w:leader="dot" w:pos="9016"/>
        </w:tabs>
        <w:rPr>
          <w:rFonts w:asciiTheme="minorHAnsi" w:hAnsiTheme="minorHAnsi"/>
          <w:sz w:val="22"/>
        </w:rPr>
      </w:pPr>
      <w:hyperlink w:anchor="_Toc155375447" w:history="1">
        <w:r w:rsidR="00DD6BD5">
          <w:rPr>
            <w:rStyle w:val="ae"/>
          </w:rPr>
          <w:t>4.2</w:t>
        </w:r>
        <w:r w:rsidR="00DD6BD5">
          <w:rPr>
            <w:rFonts w:asciiTheme="minorHAnsi" w:hAnsiTheme="minorHAnsi"/>
            <w:sz w:val="22"/>
          </w:rPr>
          <w:tab/>
        </w:r>
        <w:r w:rsidR="00DD6BD5">
          <w:rPr>
            <w:rStyle w:val="ae"/>
          </w:rPr>
          <w:t>Scenario 2</w:t>
        </w:r>
        <w:r w:rsidR="00DD6BD5">
          <w:tab/>
        </w:r>
        <w:r w:rsidR="00DD6BD5">
          <w:fldChar w:fldCharType="begin"/>
        </w:r>
        <w:r w:rsidR="00DD6BD5">
          <w:instrText xml:space="preserve"> PAGEREF _Toc155375447 \h </w:instrText>
        </w:r>
        <w:r w:rsidR="00DD6BD5">
          <w:fldChar w:fldCharType="separate"/>
        </w:r>
        <w:r w:rsidR="00DD6BD5">
          <w:t>4</w:t>
        </w:r>
        <w:r w:rsidR="00DD6BD5">
          <w:fldChar w:fldCharType="end"/>
        </w:r>
      </w:hyperlink>
    </w:p>
    <w:p w14:paraId="3EBEAA48" w14:textId="77777777" w:rsidR="00BF4A59" w:rsidRDefault="00000000">
      <w:pPr>
        <w:pStyle w:val="TOC2"/>
        <w:tabs>
          <w:tab w:val="left" w:pos="880"/>
          <w:tab w:val="right" w:leader="dot" w:pos="9016"/>
        </w:tabs>
        <w:rPr>
          <w:rFonts w:asciiTheme="minorHAnsi" w:hAnsiTheme="minorHAnsi"/>
          <w:sz w:val="22"/>
        </w:rPr>
      </w:pPr>
      <w:hyperlink w:anchor="_Toc155375448" w:history="1">
        <w:r w:rsidR="00DD6BD5">
          <w:rPr>
            <w:rStyle w:val="ae"/>
          </w:rPr>
          <w:t>4.3</w:t>
        </w:r>
        <w:r w:rsidR="00DD6BD5">
          <w:rPr>
            <w:rFonts w:asciiTheme="minorHAnsi" w:hAnsiTheme="minorHAnsi"/>
            <w:sz w:val="22"/>
          </w:rPr>
          <w:tab/>
        </w:r>
        <w:r w:rsidR="00DD6BD5">
          <w:rPr>
            <w:rStyle w:val="ae"/>
          </w:rPr>
          <w:t>Scenario 3</w:t>
        </w:r>
        <w:r w:rsidR="00DD6BD5">
          <w:tab/>
        </w:r>
        <w:r w:rsidR="00DD6BD5">
          <w:fldChar w:fldCharType="begin"/>
        </w:r>
        <w:r w:rsidR="00DD6BD5">
          <w:instrText xml:space="preserve"> PAGEREF _Toc155375448 \h </w:instrText>
        </w:r>
        <w:r w:rsidR="00DD6BD5">
          <w:fldChar w:fldCharType="separate"/>
        </w:r>
        <w:r w:rsidR="00DD6BD5">
          <w:t>5</w:t>
        </w:r>
        <w:r w:rsidR="00DD6BD5">
          <w:fldChar w:fldCharType="end"/>
        </w:r>
      </w:hyperlink>
    </w:p>
    <w:p w14:paraId="33975955" w14:textId="77777777" w:rsidR="00BF4A59" w:rsidRDefault="00000000">
      <w:pPr>
        <w:pStyle w:val="TOC1"/>
        <w:tabs>
          <w:tab w:val="left" w:pos="660"/>
          <w:tab w:val="right" w:leader="dot" w:pos="9016"/>
        </w:tabs>
        <w:rPr>
          <w:rFonts w:asciiTheme="minorHAnsi" w:hAnsiTheme="minorHAnsi"/>
          <w:sz w:val="22"/>
        </w:rPr>
      </w:pPr>
      <w:hyperlink w:anchor="_Toc155375449" w:history="1">
        <w:r w:rsidR="00DD6BD5">
          <w:rPr>
            <w:rStyle w:val="ae"/>
          </w:rPr>
          <w:t>5.0</w:t>
        </w:r>
        <w:r w:rsidR="00DD6BD5">
          <w:rPr>
            <w:rFonts w:asciiTheme="minorHAnsi" w:hAnsiTheme="minorHAnsi"/>
            <w:sz w:val="22"/>
          </w:rPr>
          <w:tab/>
        </w:r>
        <w:r w:rsidR="00DD6BD5">
          <w:rPr>
            <w:rStyle w:val="ae"/>
          </w:rPr>
          <w:t>Strategies to Overcome Communication Failures</w:t>
        </w:r>
        <w:r w:rsidR="00DD6BD5">
          <w:tab/>
        </w:r>
        <w:r w:rsidR="00DD6BD5">
          <w:fldChar w:fldCharType="begin"/>
        </w:r>
        <w:r w:rsidR="00DD6BD5">
          <w:instrText xml:space="preserve"> PAGEREF _Toc155375449 \h </w:instrText>
        </w:r>
        <w:r w:rsidR="00DD6BD5">
          <w:fldChar w:fldCharType="separate"/>
        </w:r>
        <w:r w:rsidR="00DD6BD5">
          <w:t>5</w:t>
        </w:r>
        <w:r w:rsidR="00DD6BD5">
          <w:fldChar w:fldCharType="end"/>
        </w:r>
      </w:hyperlink>
    </w:p>
    <w:p w14:paraId="504AEF2A" w14:textId="77777777" w:rsidR="00BF4A59" w:rsidRDefault="00000000">
      <w:pPr>
        <w:pStyle w:val="TOC2"/>
        <w:tabs>
          <w:tab w:val="left" w:pos="880"/>
          <w:tab w:val="right" w:leader="dot" w:pos="9016"/>
        </w:tabs>
        <w:rPr>
          <w:rFonts w:asciiTheme="minorHAnsi" w:hAnsiTheme="minorHAnsi"/>
          <w:sz w:val="22"/>
        </w:rPr>
      </w:pPr>
      <w:hyperlink w:anchor="_Toc155375450" w:history="1">
        <w:r w:rsidR="00DD6BD5">
          <w:rPr>
            <w:rStyle w:val="ae"/>
          </w:rPr>
          <w:t>5.1</w:t>
        </w:r>
        <w:r w:rsidR="00DD6BD5">
          <w:rPr>
            <w:rFonts w:asciiTheme="minorHAnsi" w:hAnsiTheme="minorHAnsi"/>
            <w:sz w:val="22"/>
          </w:rPr>
          <w:tab/>
        </w:r>
        <w:r w:rsidR="00DD6BD5">
          <w:rPr>
            <w:rStyle w:val="ae"/>
          </w:rPr>
          <w:t>Scenario 1</w:t>
        </w:r>
        <w:r w:rsidR="00DD6BD5">
          <w:tab/>
        </w:r>
        <w:r w:rsidR="00DD6BD5">
          <w:fldChar w:fldCharType="begin"/>
        </w:r>
        <w:r w:rsidR="00DD6BD5">
          <w:instrText xml:space="preserve"> PAGEREF _Toc155375450 \h </w:instrText>
        </w:r>
        <w:r w:rsidR="00DD6BD5">
          <w:fldChar w:fldCharType="separate"/>
        </w:r>
        <w:r w:rsidR="00DD6BD5">
          <w:t>5</w:t>
        </w:r>
        <w:r w:rsidR="00DD6BD5">
          <w:fldChar w:fldCharType="end"/>
        </w:r>
      </w:hyperlink>
    </w:p>
    <w:p w14:paraId="65C5FD91" w14:textId="77777777" w:rsidR="00BF4A59" w:rsidRDefault="00000000">
      <w:pPr>
        <w:pStyle w:val="TOC2"/>
        <w:tabs>
          <w:tab w:val="left" w:pos="880"/>
          <w:tab w:val="right" w:leader="dot" w:pos="9016"/>
        </w:tabs>
        <w:rPr>
          <w:rFonts w:asciiTheme="minorHAnsi" w:hAnsiTheme="minorHAnsi"/>
          <w:sz w:val="22"/>
        </w:rPr>
      </w:pPr>
      <w:hyperlink w:anchor="_Toc155375451" w:history="1">
        <w:r w:rsidR="00DD6BD5">
          <w:rPr>
            <w:rStyle w:val="ae"/>
          </w:rPr>
          <w:t>5.2</w:t>
        </w:r>
        <w:r w:rsidR="00DD6BD5">
          <w:rPr>
            <w:rFonts w:asciiTheme="minorHAnsi" w:hAnsiTheme="minorHAnsi"/>
            <w:sz w:val="22"/>
          </w:rPr>
          <w:tab/>
        </w:r>
        <w:r w:rsidR="00DD6BD5">
          <w:rPr>
            <w:rStyle w:val="ae"/>
          </w:rPr>
          <w:t>Scenario 2</w:t>
        </w:r>
        <w:r w:rsidR="00DD6BD5">
          <w:tab/>
        </w:r>
        <w:r w:rsidR="00DD6BD5">
          <w:fldChar w:fldCharType="begin"/>
        </w:r>
        <w:r w:rsidR="00DD6BD5">
          <w:instrText xml:space="preserve"> PAGEREF _Toc155375451 \h </w:instrText>
        </w:r>
        <w:r w:rsidR="00DD6BD5">
          <w:fldChar w:fldCharType="separate"/>
        </w:r>
        <w:r w:rsidR="00DD6BD5">
          <w:t>6</w:t>
        </w:r>
        <w:r w:rsidR="00DD6BD5">
          <w:fldChar w:fldCharType="end"/>
        </w:r>
      </w:hyperlink>
    </w:p>
    <w:p w14:paraId="779D7F4F" w14:textId="77777777" w:rsidR="00BF4A59" w:rsidRDefault="00000000">
      <w:pPr>
        <w:pStyle w:val="TOC2"/>
        <w:tabs>
          <w:tab w:val="left" w:pos="880"/>
          <w:tab w:val="right" w:leader="dot" w:pos="9016"/>
        </w:tabs>
        <w:rPr>
          <w:rFonts w:asciiTheme="minorHAnsi" w:hAnsiTheme="minorHAnsi"/>
          <w:sz w:val="22"/>
        </w:rPr>
      </w:pPr>
      <w:hyperlink w:anchor="_Toc155375452" w:history="1">
        <w:r w:rsidR="00DD6BD5">
          <w:rPr>
            <w:rStyle w:val="ae"/>
          </w:rPr>
          <w:t>5.3</w:t>
        </w:r>
        <w:r w:rsidR="00DD6BD5">
          <w:rPr>
            <w:rFonts w:asciiTheme="minorHAnsi" w:hAnsiTheme="minorHAnsi"/>
            <w:sz w:val="22"/>
          </w:rPr>
          <w:tab/>
        </w:r>
        <w:r w:rsidR="00DD6BD5">
          <w:rPr>
            <w:rStyle w:val="ae"/>
          </w:rPr>
          <w:t>Scenario 3</w:t>
        </w:r>
        <w:r w:rsidR="00DD6BD5">
          <w:tab/>
        </w:r>
        <w:r w:rsidR="00DD6BD5">
          <w:fldChar w:fldCharType="begin"/>
        </w:r>
        <w:r w:rsidR="00DD6BD5">
          <w:instrText xml:space="preserve"> PAGEREF _Toc155375452 \h </w:instrText>
        </w:r>
        <w:r w:rsidR="00DD6BD5">
          <w:fldChar w:fldCharType="separate"/>
        </w:r>
        <w:r w:rsidR="00DD6BD5">
          <w:t>6</w:t>
        </w:r>
        <w:r w:rsidR="00DD6BD5">
          <w:fldChar w:fldCharType="end"/>
        </w:r>
      </w:hyperlink>
    </w:p>
    <w:p w14:paraId="7029FF85" w14:textId="77777777" w:rsidR="00BF4A59" w:rsidRDefault="00000000">
      <w:pPr>
        <w:pStyle w:val="TOC1"/>
        <w:tabs>
          <w:tab w:val="left" w:pos="660"/>
          <w:tab w:val="right" w:leader="dot" w:pos="9016"/>
        </w:tabs>
        <w:rPr>
          <w:rFonts w:asciiTheme="minorHAnsi" w:hAnsiTheme="minorHAnsi"/>
          <w:sz w:val="22"/>
        </w:rPr>
      </w:pPr>
      <w:hyperlink w:anchor="_Toc155375453" w:history="1">
        <w:r w:rsidR="00DD6BD5">
          <w:rPr>
            <w:rStyle w:val="ae"/>
          </w:rPr>
          <w:t>6.0</w:t>
        </w:r>
        <w:r w:rsidR="00DD6BD5">
          <w:rPr>
            <w:rFonts w:asciiTheme="minorHAnsi" w:hAnsiTheme="minorHAnsi"/>
            <w:sz w:val="22"/>
          </w:rPr>
          <w:tab/>
        </w:r>
        <w:r w:rsidR="00DD6BD5">
          <w:rPr>
            <w:rStyle w:val="ae"/>
          </w:rPr>
          <w:t>Conclusion</w:t>
        </w:r>
        <w:r w:rsidR="00DD6BD5">
          <w:tab/>
        </w:r>
        <w:r w:rsidR="00DD6BD5">
          <w:fldChar w:fldCharType="begin"/>
        </w:r>
        <w:r w:rsidR="00DD6BD5">
          <w:instrText xml:space="preserve"> PAGEREF _Toc155375453 \h </w:instrText>
        </w:r>
        <w:r w:rsidR="00DD6BD5">
          <w:fldChar w:fldCharType="separate"/>
        </w:r>
        <w:r w:rsidR="00DD6BD5">
          <w:t>6</w:t>
        </w:r>
        <w:r w:rsidR="00DD6BD5">
          <w:fldChar w:fldCharType="end"/>
        </w:r>
      </w:hyperlink>
    </w:p>
    <w:p w14:paraId="163C7B0B" w14:textId="77777777" w:rsidR="00BF4A59" w:rsidRDefault="00000000">
      <w:pPr>
        <w:pStyle w:val="TOC1"/>
        <w:tabs>
          <w:tab w:val="right" w:leader="dot" w:pos="9016"/>
        </w:tabs>
        <w:rPr>
          <w:rFonts w:asciiTheme="minorHAnsi" w:hAnsiTheme="minorHAnsi"/>
          <w:sz w:val="22"/>
        </w:rPr>
      </w:pPr>
      <w:hyperlink w:anchor="_Toc155375454" w:history="1">
        <w:r w:rsidR="00DD6BD5">
          <w:rPr>
            <w:rStyle w:val="ae"/>
          </w:rPr>
          <w:t>References</w:t>
        </w:r>
        <w:r w:rsidR="00DD6BD5">
          <w:tab/>
        </w:r>
        <w:r w:rsidR="00DD6BD5">
          <w:fldChar w:fldCharType="begin"/>
        </w:r>
        <w:r w:rsidR="00DD6BD5">
          <w:instrText xml:space="preserve"> PAGEREF _Toc155375454 \h </w:instrText>
        </w:r>
        <w:r w:rsidR="00DD6BD5">
          <w:fldChar w:fldCharType="separate"/>
        </w:r>
        <w:r w:rsidR="00DD6BD5">
          <w:t>7</w:t>
        </w:r>
        <w:r w:rsidR="00DD6BD5">
          <w:fldChar w:fldCharType="end"/>
        </w:r>
      </w:hyperlink>
    </w:p>
    <w:p w14:paraId="294913DD" w14:textId="77777777" w:rsidR="00BF4A59" w:rsidRDefault="00DD6BD5">
      <w:r>
        <w:fldChar w:fldCharType="end"/>
      </w:r>
    </w:p>
    <w:p w14:paraId="738BC7F8" w14:textId="77777777" w:rsidR="00BF4A59" w:rsidRDefault="00BF4A59"/>
    <w:p w14:paraId="54836842" w14:textId="77777777" w:rsidR="00BF4A59" w:rsidRDefault="00BF4A59">
      <w:pPr>
        <w:sectPr w:rsidR="00BF4A59" w:rsidSect="005E4828">
          <w:footerReference w:type="default" r:id="rId10"/>
          <w:pgSz w:w="11906" w:h="16838"/>
          <w:pgMar w:top="1440" w:right="1440" w:bottom="1440" w:left="1440" w:header="708" w:footer="708" w:gutter="0"/>
          <w:pgNumType w:fmt="lowerRoman" w:start="0"/>
          <w:cols w:space="708"/>
          <w:titlePg/>
          <w:docGrid w:linePitch="360"/>
        </w:sectPr>
      </w:pPr>
    </w:p>
    <w:p w14:paraId="4A7FA871" w14:textId="47C196F8" w:rsidR="00BF4A59" w:rsidRDefault="00DD6BD5" w:rsidP="009B18AF">
      <w:pPr>
        <w:pStyle w:val="1"/>
      </w:pPr>
      <w:bookmarkStart w:id="2" w:name="_Toc155375439"/>
      <w:r>
        <w:lastRenderedPageBreak/>
        <w:t>Introduction</w:t>
      </w:r>
      <w:bookmarkEnd w:id="2"/>
    </w:p>
    <w:p w14:paraId="1E6DCCB2" w14:textId="0CA04226" w:rsidR="00BF4A59" w:rsidRDefault="00DD6BD5" w:rsidP="009B18AF">
      <w:pPr>
        <w:jc w:val="both"/>
      </w:pPr>
      <w:r>
        <w:rPr>
          <w:rFonts w:hint="eastAsia"/>
        </w:rPr>
        <w:t>Even</w:t>
      </w:r>
      <w:r>
        <w:rPr>
          <w:lang w:val="en-GB"/>
        </w:rPr>
        <w:t xml:space="preserve"> though Finland and British both </w:t>
      </w:r>
      <w:r>
        <w:t>are Northern Europe country</w:t>
      </w:r>
      <w:r>
        <w:rPr>
          <w:lang w:val="en-GB"/>
        </w:rPr>
        <w:t xml:space="preserve"> which geographically near to each another, there are cultural differences exist between these two countries. This report will particularly analysing the cultural differences with business communication theoretical frameworks, including </w:t>
      </w:r>
      <w:r>
        <w:rPr>
          <w:bCs/>
        </w:rPr>
        <w:t>Hofstede’s</w:t>
      </w:r>
      <w:r>
        <w:rPr>
          <w:bCs/>
          <w:lang w:val="en-GB"/>
        </w:rPr>
        <w:t xml:space="preserve"> 7 Cultural Dimensions and </w:t>
      </w:r>
      <w:r>
        <w:t xml:space="preserve">Trompenaars </w:t>
      </w:r>
      <w:r>
        <w:rPr>
          <w:lang w:val="en-GB"/>
        </w:rPr>
        <w:t xml:space="preserve">Cultural Dimensions. The variances between degree of result-oriented, communication preferences and understanding on non-verbal cues can lead to communication failures. This discussion explores the cultural disparities between UK and Finland, formulating possible scenarios and determining the reasons that cause to the failure. Also, this study </w:t>
      </w:r>
      <w:r w:rsidR="009B18AF">
        <w:rPr>
          <w:lang w:val="en-GB"/>
        </w:rPr>
        <w:t>proposes</w:t>
      </w:r>
      <w:r>
        <w:rPr>
          <w:lang w:val="en-GB"/>
        </w:rPr>
        <w:t xml:space="preserve"> on effective solutions to prevent the communication failures. </w:t>
      </w:r>
    </w:p>
    <w:p w14:paraId="755293BD" w14:textId="77777777" w:rsidR="00BF4A59" w:rsidRDefault="00BF4A59"/>
    <w:p w14:paraId="7BFABA02" w14:textId="77777777" w:rsidR="00BF4A59" w:rsidRDefault="00DD6BD5">
      <w:pPr>
        <w:pStyle w:val="1"/>
      </w:pPr>
      <w:bookmarkStart w:id="3" w:name="_Toc155375440"/>
      <w:r>
        <w:t>Cultural Differences</w:t>
      </w:r>
      <w:bookmarkEnd w:id="3"/>
    </w:p>
    <w:p w14:paraId="5CBEE4C6" w14:textId="77777777" w:rsidR="00BF4A59" w:rsidRDefault="00DD6BD5">
      <w:pPr>
        <w:jc w:val="both"/>
      </w:pPr>
      <w:r>
        <w:t>By utilising the Hofstede’s theory, the main cultural differences between UK and Finland lies in the motivation towards achievement and success, which also known as masculinity. Figure 1 shows the comparison of Hofstede’s cultural dimensions for the two countries. The masculinity index for the UK is 66 while for Finland is 26. This indicates that UK tend to be motivated by competition and achievement, while the Finland culture place greater value on taking care of others and more focus on well-being (Papas, 2018). In a business context, the communication style of UK companies tends to be goal-oriented, with a preference for precise and concise communication. However, Finnish companies are more likely to focus on collaboration and team-building, where communication may be indirect, emphasizing the maintenance of harmony.</w:t>
      </w:r>
    </w:p>
    <w:p w14:paraId="225B581F" w14:textId="77777777" w:rsidR="00BF4A59" w:rsidRDefault="00BF4A59">
      <w:pPr>
        <w:jc w:val="both"/>
      </w:pPr>
    </w:p>
    <w:p w14:paraId="25506F16" w14:textId="77777777" w:rsidR="00BF4A59" w:rsidRDefault="00DD6BD5">
      <w:pPr>
        <w:rPr>
          <w:rFonts w:asciiTheme="minorHAnsi" w:hAnsiTheme="minorHAnsi" w:cstheme="minorHAnsi"/>
          <w:bCs/>
          <w:color w:val="A6A6A6" w:themeColor="background1" w:themeShade="A6"/>
          <w:sz w:val="20"/>
        </w:rPr>
      </w:pPr>
      <w:r>
        <w:rPr>
          <w:rFonts w:asciiTheme="minorHAnsi" w:hAnsiTheme="minorHAnsi" w:cstheme="minorHAnsi"/>
          <w:bCs/>
          <w:noProof/>
          <w:color w:val="A6A6A6" w:themeColor="background1" w:themeShade="A6"/>
          <w:sz w:val="20"/>
        </w:rPr>
        <mc:AlternateContent>
          <mc:Choice Requires="wps">
            <w:drawing>
              <wp:inline distT="0" distB="0" distL="0" distR="0" wp14:anchorId="51F58C30" wp14:editId="540FF36A">
                <wp:extent cx="276225" cy="127000"/>
                <wp:effectExtent l="0" t="0" r="9525" b="6350"/>
                <wp:docPr id="5" name="Rectangle 5"/>
                <wp:cNvGraphicFramePr/>
                <a:graphic xmlns:a="http://schemas.openxmlformats.org/drawingml/2006/main">
                  <a:graphicData uri="http://schemas.microsoft.com/office/word/2010/wordprocessingShape">
                    <wps:wsp>
                      <wps:cNvSpPr/>
                      <wps:spPr>
                        <a:xfrm>
                          <a:off x="0" y="0"/>
                          <a:ext cx="276447" cy="127591"/>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inline>
            </w:drawing>
          </mc:Choice>
          <mc:Fallback>
            <w:pict>
              <v:rect w14:anchorId="3897D59E" id="Rectangle 5" o:spid="_x0000_s1026" style="width:21.75pt;height:10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" fillcolor="#ed7d31 [3205]" stroked="f" strokeweight="1pt">
                <w10:anchorlock/>
              </v:rect>
            </w:pict>
          </mc:Fallback>
        </mc:AlternateContent>
      </w:r>
      <w:r>
        <w:rPr>
          <w:rFonts w:asciiTheme="minorHAnsi" w:hAnsiTheme="minorHAnsi" w:cstheme="minorHAnsi"/>
          <w:bCs/>
          <w:color w:val="A6A6A6" w:themeColor="background1" w:themeShade="A6"/>
          <w:sz w:val="20"/>
        </w:rPr>
        <w:t xml:space="preserve"> Finland</w:t>
      </w:r>
      <w:r>
        <w:rPr>
          <w:rFonts w:asciiTheme="minorHAnsi" w:hAnsiTheme="minorHAnsi" w:cstheme="minorHAnsi"/>
          <w:bCs/>
          <w:color w:val="A6A6A6" w:themeColor="background1" w:themeShade="A6"/>
          <w:sz w:val="20"/>
        </w:rPr>
        <w:tab/>
      </w:r>
      <w:r>
        <w:rPr>
          <w:rFonts w:asciiTheme="minorHAnsi" w:hAnsiTheme="minorHAnsi" w:cstheme="minorHAnsi"/>
          <w:bCs/>
          <w:noProof/>
          <w:color w:val="A6A6A6" w:themeColor="background1" w:themeShade="A6"/>
          <w:sz w:val="20"/>
        </w:rPr>
        <mc:AlternateContent>
          <mc:Choice Requires="wps">
            <w:drawing>
              <wp:inline distT="0" distB="0" distL="0" distR="0" wp14:anchorId="02FA0B85" wp14:editId="4D9890E8">
                <wp:extent cx="276225" cy="127000"/>
                <wp:effectExtent l="0" t="0" r="9525" b="6350"/>
                <wp:docPr id="6" name="Rectangle 6"/>
                <wp:cNvGraphicFramePr/>
                <a:graphic xmlns:a="http://schemas.openxmlformats.org/drawingml/2006/main">
                  <a:graphicData uri="http://schemas.microsoft.com/office/word/2010/wordprocessingShape">
                    <wps:wsp>
                      <wps:cNvSpPr/>
                      <wps:spPr>
                        <a:xfrm>
                          <a:off x="0" y="0"/>
                          <a:ext cx="276447" cy="127591"/>
                        </a:xfrm>
                        <a:prstGeom prst="rect">
                          <a:avLst/>
                        </a:prstGeom>
                        <a:solidFill>
                          <a:srgbClr val="00808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inline>
            </w:drawing>
          </mc:Choice>
          <mc:Fallback>
            <w:pict>
              <v:rect w14:anchorId="7EBAC883" id="Rectangle 6" o:spid="_x0000_s1026" style="width:21.75pt;height:10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" fillcolor="teal" stroked="f" strokeweight="1pt">
                <w10:anchorlock/>
              </v:rect>
            </w:pict>
          </mc:Fallback>
        </mc:AlternateContent>
      </w:r>
      <w:r>
        <w:rPr>
          <w:rFonts w:asciiTheme="minorHAnsi" w:hAnsiTheme="minorHAnsi" w:cstheme="minorHAnsi"/>
          <w:bCs/>
          <w:color w:val="A6A6A6" w:themeColor="background1" w:themeShade="A6"/>
          <w:sz w:val="20"/>
        </w:rPr>
        <w:t xml:space="preserve"> United Kingdom</w:t>
      </w:r>
    </w:p>
    <w:p w14:paraId="19C25FF5" w14:textId="77777777" w:rsidR="00BF4A59" w:rsidRDefault="00DD6BD5">
      <w:pPr>
        <w:rPr>
          <w:bCs/>
        </w:rPr>
      </w:pPr>
      <w:r>
        <w:rPr>
          <w:noProof/>
        </w:rPr>
        <w:drawing>
          <wp:inline distT="0" distB="0" distL="0" distR="0" wp14:anchorId="70FBF8D6" wp14:editId="0D861172">
            <wp:extent cx="5731510" cy="19583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1"/>
                    <a:srcRect t="10330"/>
                    <a:stretch>
                      <a:fillRect/>
                    </a:stretch>
                  </pic:blipFill>
                  <pic:spPr>
                    <a:xfrm>
                      <a:off x="0" y="0"/>
                      <a:ext cx="5731510" cy="1958768"/>
                    </a:xfrm>
                    <a:prstGeom prst="rect">
                      <a:avLst/>
                    </a:prstGeom>
                    <a:ln>
                      <a:noFill/>
                    </a:ln>
                  </pic:spPr>
                </pic:pic>
              </a:graphicData>
            </a:graphic>
          </wp:inline>
        </w:drawing>
      </w:r>
    </w:p>
    <w:p w14:paraId="50E7FFFC" w14:textId="77777777" w:rsidR="00BF4A59" w:rsidRDefault="00DD6BD5">
      <w:pPr>
        <w:jc w:val="center"/>
        <w:rPr>
          <w:bCs/>
        </w:rPr>
      </w:pPr>
      <w:r>
        <w:rPr>
          <w:bCs/>
        </w:rPr>
        <w:t>Figure 1: Hofstede’s Cultural Dimensions Finland vs.UK (The Culture Factor Group, n.d.)</w:t>
      </w:r>
    </w:p>
    <w:p w14:paraId="6F545969" w14:textId="77777777" w:rsidR="00BF4A59" w:rsidRDefault="00BF4A59">
      <w:pPr>
        <w:ind w:firstLine="720"/>
        <w:jc w:val="both"/>
        <w:rPr>
          <w:bCs/>
        </w:rPr>
      </w:pPr>
    </w:p>
    <w:p w14:paraId="11F6FC72" w14:textId="77777777" w:rsidR="00BF4A59" w:rsidRDefault="00DD6BD5">
      <w:pPr>
        <w:ind w:firstLine="720"/>
        <w:jc w:val="both"/>
        <w:rPr>
          <w:bCs/>
        </w:rPr>
      </w:pPr>
      <w:r>
        <w:rPr>
          <w:bCs/>
        </w:rPr>
        <w:lastRenderedPageBreak/>
        <w:t>Meanwhile, by applying Trompenaars theory, the cultures of the UK and Finland primarily differ in the aspect of specificity and diffuseness. The specificity index of Finland is 92, which is higher than UK by 32. The specific culture values the clear separation between personal and professional life; conversely, a diffuse culture tends to blur the boundaries between work and personal matters (Branch, 2022). In Finland, the communication style tends to emphasise on explicit guidelines, instruction and clear expectations but in UK, there might be a greater tolerance for more flexible business interaction. The UK culture may exhibit a lower degree of focus towards details in communication.</w:t>
      </w:r>
    </w:p>
    <w:p w14:paraId="4B3F5916" w14:textId="77777777" w:rsidR="00BF4A59" w:rsidRDefault="00DD6BD5">
      <w:pPr>
        <w:jc w:val="center"/>
      </w:pPr>
      <w:r>
        <w:rPr>
          <w:noProof/>
        </w:rPr>
        <w:drawing>
          <wp:inline distT="0" distB="0" distL="0" distR="0" wp14:anchorId="6B5804E0" wp14:editId="2ABFE3A3">
            <wp:extent cx="4014470" cy="2929255"/>
            <wp:effectExtent l="0" t="0" r="508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2"/>
                    <a:stretch>
                      <a:fillRect/>
                    </a:stretch>
                  </pic:blipFill>
                  <pic:spPr>
                    <a:xfrm>
                      <a:off x="0" y="0"/>
                      <a:ext cx="4046896" cy="2952898"/>
                    </a:xfrm>
                    <a:prstGeom prst="rect">
                      <a:avLst/>
                    </a:prstGeom>
                  </pic:spPr>
                </pic:pic>
              </a:graphicData>
            </a:graphic>
          </wp:inline>
        </w:drawing>
      </w:r>
    </w:p>
    <w:p w14:paraId="58497942" w14:textId="77777777" w:rsidR="00BF4A59" w:rsidRDefault="00DD6BD5">
      <w:pPr>
        <w:jc w:val="center"/>
      </w:pPr>
      <w:r>
        <w:t>Figure 2: Trompenaars Cultural Dimensions Finland vs. UK (Trompenaars Hampden-Turner Consulting, n.d.)</w:t>
      </w:r>
    </w:p>
    <w:p w14:paraId="15BDB1C5" w14:textId="77777777" w:rsidR="00BF4A59" w:rsidRDefault="00BF4A59"/>
    <w:p w14:paraId="29598F69" w14:textId="77777777" w:rsidR="00BF4A59" w:rsidRDefault="00DD6BD5">
      <w:pPr>
        <w:jc w:val="both"/>
      </w:pPr>
      <w:r>
        <w:t xml:space="preserve">The other distinction between UK and Finland cultures pertains to non-verbal communication in business context.  Even though both countries are low context cultures, there may be slightly differences in their communication approach. For example, in Finnish culture, handshakes is important especially after reaching agreements or when concluding a business deal; however in UK, the use of handshakes can be selective and may not occur on every occasion (Business Culture, n.d.). If there is an expectation of meeting again soon, individuals with UK cultural background may not offer a handshake. This does not necessarily imply a lack of professionalism but a cultural nuance. The other example of difference in non-verbal communication reflects in the silence in conversations. In Finnish culture, silence is considered a common and accepted aspect of social interaction. However, in UK culture, there is often an </w:t>
      </w:r>
      <w:r>
        <w:lastRenderedPageBreak/>
        <w:t>avoidance of embarrassment in communication (London School, n.d.), and thus, they might perceive silence as awkward.</w:t>
      </w:r>
    </w:p>
    <w:p w14:paraId="6BDF7580" w14:textId="77777777" w:rsidR="00BF4A59" w:rsidRDefault="00BF4A59"/>
    <w:p w14:paraId="76AB9ED7" w14:textId="77777777" w:rsidR="00BF4A59" w:rsidRDefault="00DD6BD5">
      <w:pPr>
        <w:pStyle w:val="1"/>
      </w:pPr>
      <w:bookmarkStart w:id="4" w:name="_Toc155375441"/>
      <w:r>
        <w:t>Case Study Scenarios</w:t>
      </w:r>
      <w:bookmarkEnd w:id="4"/>
    </w:p>
    <w:p w14:paraId="30F99B50" w14:textId="77777777" w:rsidR="00BF4A59" w:rsidRDefault="00DD6BD5">
      <w:pPr>
        <w:pStyle w:val="2"/>
      </w:pPr>
      <w:bookmarkStart w:id="5" w:name="_Toc155375442"/>
      <w:r>
        <w:t>Scenario 1</w:t>
      </w:r>
      <w:bookmarkEnd w:id="5"/>
    </w:p>
    <w:p w14:paraId="72C8139E" w14:textId="77777777" w:rsidR="00BF4A59" w:rsidRDefault="00DD6BD5">
      <w:pPr>
        <w:jc w:val="both"/>
      </w:pPr>
      <w:r>
        <w:t>The UK-based project manager is leading a team that consists of both British and Finnish members in accomplishing a common goal. During the meeting, the project manager, who is accustomed to a goal-oriented communication style, assigns individual tasks to the members. The British members, sharing a similar cultural background are able to adapt to the manager’s leadership style quickly and be willing to take their responsibilities individually. However, the Finnish members, who place a greater emphasis on collaboration, may expect the tasks to be accomplished collectively as a team rather than through individual efforts. The misalignment between the Finnish members and the British project manager results in a communication failure. The Finnish members are uncertain about their roles within the team and confused about the methods of accomplishing the tasks. On the other hand, the British members perceive the hesitancy of the Finnish members as a lack of initiative, thus they bring out this issue to the project manager and seeking for solution. As a result, conflicts arise due to misunderstandings among team members. This communication failure has negative affected the efficiency of works.</w:t>
      </w:r>
    </w:p>
    <w:p w14:paraId="00A58026" w14:textId="77777777" w:rsidR="00BF4A59" w:rsidRDefault="00BF4A59">
      <w:pPr>
        <w:jc w:val="both"/>
      </w:pPr>
    </w:p>
    <w:p w14:paraId="6831ED12" w14:textId="77777777" w:rsidR="00BF4A59" w:rsidRDefault="00DD6BD5">
      <w:pPr>
        <w:pStyle w:val="2"/>
      </w:pPr>
      <w:bookmarkStart w:id="6" w:name="_Toc155375443"/>
      <w:r>
        <w:t>Scenario 2</w:t>
      </w:r>
      <w:bookmarkEnd w:id="6"/>
    </w:p>
    <w:p w14:paraId="5E60BF61" w14:textId="7C8492CC" w:rsidR="00BF4A59" w:rsidRDefault="00DD6BD5">
      <w:pPr>
        <w:jc w:val="both"/>
      </w:pPr>
      <w:r>
        <w:t xml:space="preserve">The UK company is collaborating with a Finnish company for the manufacturing of a new product. As the collaboration progresses, the UK team is providing general instruction and expect the Finnish team to adapt to the changing circumstances flexibly. The British representative said: “After packaging, the products shall be delivered to customers by end of the year.” However, the Finish team is expecting explicit guidelines and detailed instruction to ensure a clear understanding of each </w:t>
      </w:r>
      <w:r w:rsidR="00C83F8F">
        <w:t>step</w:t>
      </w:r>
      <w:r>
        <w:t>. They are confused with the steps due to the missing information on the product warehousing, distribution channel and precise date of delivery. T</w:t>
      </w:r>
      <w:r>
        <w:rPr>
          <w:rFonts w:hint="eastAsia"/>
        </w:rPr>
        <w:t>h</w:t>
      </w:r>
      <w:r>
        <w:t>e Finish team feel that the UK team is not providing sufficient information, thus leading to misunderstandings regarding the manufacturing process and project timelines.</w:t>
      </w:r>
    </w:p>
    <w:p w14:paraId="409ACA80" w14:textId="77777777" w:rsidR="00BF4A59" w:rsidRDefault="00BF4A59">
      <w:pPr>
        <w:jc w:val="both"/>
      </w:pPr>
    </w:p>
    <w:p w14:paraId="0D575750" w14:textId="77777777" w:rsidR="00BF4A59" w:rsidRDefault="00DD6BD5">
      <w:pPr>
        <w:pStyle w:val="2"/>
      </w:pPr>
      <w:bookmarkStart w:id="7" w:name="_Toc155375444"/>
      <w:r>
        <w:t>Scenario 3</w:t>
      </w:r>
      <w:bookmarkEnd w:id="7"/>
    </w:p>
    <w:p w14:paraId="6ABD3E20" w14:textId="77777777" w:rsidR="00BF4A59" w:rsidRDefault="00DD6BD5">
      <w:pPr>
        <w:jc w:val="both"/>
      </w:pPr>
      <w:r>
        <w:t xml:space="preserve">The UK company has organised a virtual meeting with Finnish company to address the challenges of the collaborative project. During the meeting, as the UK representatives propose </w:t>
      </w:r>
      <w:r>
        <w:lastRenderedPageBreak/>
        <w:t>a solution and ask for an opinion, the Finnish team pauses for half a minute before responding. The UK team, unfamiliar with the Finnish cultural norm, perceives the pause as an awkward silence. Thus, they interpret this silence as a sign of disagreement with the solution. As a result, the UK team is uncertain about the Finnish team’s stance on the proposed ideas, while the Finnish team, unaware of the discomfort caused by the silence, continues with the meeting, assuming everything is proceeding as usual.</w:t>
      </w:r>
    </w:p>
    <w:p w14:paraId="790535F3" w14:textId="0F8AD06D" w:rsidR="00BF4A59" w:rsidRDefault="00DD6BD5">
      <w:pPr>
        <w:ind w:firstLine="576"/>
        <w:jc w:val="both"/>
      </w:pPr>
      <w:r>
        <w:t xml:space="preserve">Then, after reaching a consensus on the terms and conditions, the Finnish representatives expect a handshake to symbolize the formalization of the agreements. However, the UK representatives is not offering a handshake because the teams will meet each another in a business event on the next day. The Finnish team interprets the absence of handshake from UK team as a sign of disrespect and lock of commitment to the agreed terms. This misunderstanding has </w:t>
      </w:r>
      <w:r w:rsidR="009B18AF">
        <w:t>jeopardized</w:t>
      </w:r>
      <w:r>
        <w:t xml:space="preserve"> the positive atmosphere which cultivated during the negotiations.</w:t>
      </w:r>
    </w:p>
    <w:p w14:paraId="57F3B3CC" w14:textId="77777777" w:rsidR="00BF4A59" w:rsidRDefault="00BF4A59">
      <w:pPr>
        <w:jc w:val="both"/>
      </w:pPr>
    </w:p>
    <w:p w14:paraId="3B457127" w14:textId="77777777" w:rsidR="00BF4A59" w:rsidRDefault="00DD6BD5">
      <w:pPr>
        <w:pStyle w:val="1"/>
      </w:pPr>
      <w:bookmarkStart w:id="8" w:name="_Toc155375445"/>
      <w:r>
        <w:t>Reasons of Communication Failures</w:t>
      </w:r>
      <w:bookmarkEnd w:id="8"/>
    </w:p>
    <w:p w14:paraId="7212A90D" w14:textId="77777777" w:rsidR="00BF4A59" w:rsidRDefault="00DD6BD5">
      <w:pPr>
        <w:pStyle w:val="2"/>
      </w:pPr>
      <w:bookmarkStart w:id="9" w:name="_Toc155375446"/>
      <w:r>
        <w:t>Scenario 1</w:t>
      </w:r>
      <w:bookmarkEnd w:id="9"/>
    </w:p>
    <w:p w14:paraId="50EC474A" w14:textId="4E43655D" w:rsidR="00BF4A59" w:rsidRDefault="00DD6BD5">
      <w:pPr>
        <w:jc w:val="both"/>
      </w:pPr>
      <w:r>
        <w:t xml:space="preserve">In this case, the communication failure is cause by the cultural differences between British and Finnish. The British culture tends to adhere to masculinity, while the Finland culture is more likely to emphasize on femininity. The study by Lani and </w:t>
      </w:r>
      <w:proofErr w:type="spellStart"/>
      <w:r>
        <w:t>Demina</w:t>
      </w:r>
      <w:proofErr w:type="spellEnd"/>
      <w:r>
        <w:t xml:space="preserve"> (2022) outlined the distinction between cultures characterized by high femininity and those of high masculinity, particularly from the perspective of values and priorities, leadership styles, communication and conflict solution. First of all, the cultural differences is outlined when British project manager assigns the task to team members without discussion. According to the authors, the masculinity culture </w:t>
      </w:r>
      <w:r w:rsidR="009B18AF">
        <w:t>leans</w:t>
      </w:r>
      <w:r>
        <w:t xml:space="preserve"> towards a more autocratic style which emphasizing on individual accountability; while the femininity culture pay more attention on overall participative and collaborative, and the decisions often been made collectively. Hence, the Finnish members would prefer a brief meeting before the break down of workload, and probably expects that they could choose the tasks based on their personal strength, to maximize the overall achievement of the team. Secondly, the British member who highlights their opinion reflects the distinctive approach of conflict resolution in cross-culture. The masculinity culture tends to solve problems in a direct manner, while the femininity culture values conflict avoidance and always seeking compromise for team benefits (Jian, et al., 2007).</w:t>
      </w:r>
    </w:p>
    <w:p w14:paraId="1377CD8F" w14:textId="77777777" w:rsidR="00BF4A59" w:rsidRDefault="00BF4A59"/>
    <w:p w14:paraId="76159B19" w14:textId="77777777" w:rsidR="00BF4A59" w:rsidRDefault="00DD6BD5">
      <w:pPr>
        <w:pStyle w:val="2"/>
      </w:pPr>
      <w:bookmarkStart w:id="10" w:name="_Toc155375447"/>
      <w:r>
        <w:lastRenderedPageBreak/>
        <w:t>Scenario 2</w:t>
      </w:r>
      <w:bookmarkEnd w:id="10"/>
    </w:p>
    <w:p w14:paraId="35EBF81B" w14:textId="3BBF1194" w:rsidR="00BF4A59" w:rsidRDefault="00DD6BD5">
      <w:pPr>
        <w:jc w:val="both"/>
      </w:pPr>
      <w:r>
        <w:t xml:space="preserve">This scenario highlights the conflict in communication between cultural specificity and diffuseness. The UK team who adopting diffuse communication style has offered general instruction, perceiving than a flexible communication approach is better due to the high adaptability of uncertainties. By stating the delivery time frame as “by end of the year”, it offers a great flexibility and leaving room for adjustment. The British team assume that the Finnish team are able to fill in the details as needed. However, from the Finnish perspective which emphasise clear and explicit guidelines, the UK team is giving ambiguous instruction without necessary detail. Based on Trompenaars theory, the specificity culture </w:t>
      </w:r>
      <w:r w:rsidR="009B18AF">
        <w:t>prefers</w:t>
      </w:r>
      <w:r>
        <w:t xml:space="preserve"> precise information and focus on the details of a message; conversely, in diffuse cultures, individuals may use a broader and more context-dependent communication style (Hampden-Turner, et al., 2020. The specificity culture expects on clear information, while the diffuseness culture is having high level of tolerance for indirect communication. The diffuseness culture styles of communication may highly </w:t>
      </w:r>
      <w:r w:rsidR="009B18AF">
        <w:t>depend</w:t>
      </w:r>
      <w:r>
        <w:t xml:space="preserve"> on the context and shared knowledge, and potentially lead to misunderstanding (</w:t>
      </w:r>
      <w:proofErr w:type="spellStart"/>
      <w:r>
        <w:t>Tse</w:t>
      </w:r>
      <w:proofErr w:type="spellEnd"/>
      <w:r>
        <w:t>, et al., 2004).</w:t>
      </w:r>
    </w:p>
    <w:p w14:paraId="3899FE8C" w14:textId="77777777" w:rsidR="00BF4A59" w:rsidRDefault="00BF4A59"/>
    <w:p w14:paraId="06C7196E" w14:textId="77777777" w:rsidR="00BF4A59" w:rsidRDefault="00DD6BD5">
      <w:pPr>
        <w:pStyle w:val="2"/>
      </w:pPr>
      <w:bookmarkStart w:id="11" w:name="_Toc155375448"/>
      <w:r>
        <w:t>Scenario 3</w:t>
      </w:r>
      <w:bookmarkEnd w:id="11"/>
    </w:p>
    <w:p w14:paraId="1F2738E6" w14:textId="0C1F7213" w:rsidR="00BF4A59" w:rsidRDefault="00DD6BD5">
      <w:pPr>
        <w:jc w:val="both"/>
      </w:pPr>
      <w:r>
        <w:t xml:space="preserve">The communication failure in this scenario is primarily attributed to differences in non-verbal communication cues. To be more specific, the misunderstanding is related to the interpretation of pauses and the absence of a handshake. First, for the interpretation of pause, the UK team interprets the half-minute pause after proposing a solution as an awkward silence as they expect a shorter pause or immediate response based on their culture. </w:t>
      </w:r>
      <w:r w:rsidR="009B18AF">
        <w:t>However,</w:t>
      </w:r>
      <w:r>
        <w:t xml:space="preserve"> from Finnish perspective, the pause was considered as a moment for thoughtful reflection, which indicates that they have fully listened to the proposal and required time for thorough interpretation. Hence, they may not realize that the UK team perceived the silence negatively. </w:t>
      </w:r>
    </w:p>
    <w:p w14:paraId="3EBEA247" w14:textId="77777777" w:rsidR="00BF4A59" w:rsidRDefault="00DD6BD5">
      <w:pPr>
        <w:jc w:val="both"/>
      </w:pPr>
      <w:r>
        <w:tab/>
        <w:t xml:space="preserve">The second communication failure in this scenario lies in the handshake at the end of negotiations. The absence of a handshake has been interpreted by the Finnish team as a disrespectful to the collaboration, while in UK culture, handshake is not a compulsory, especially if there is an expectation of meeting again. According to </w:t>
      </w:r>
      <w:proofErr w:type="spellStart"/>
      <w:r>
        <w:t>Gesteland</w:t>
      </w:r>
      <w:proofErr w:type="spellEnd"/>
      <w:r>
        <w:t xml:space="preserve"> (2012), different cultures have distinct forms of non-verbal cues, and what considered an acceptable gesture might be interpreted oppositely in another. Communication failure may arise when there is lack of understanding on the meanings of these non-verbal signs, or when the negotiator is lack of sensitivity to these cues. The misinterpretation of the non-verbal signs would lead to misreading of the overall message (</w:t>
      </w:r>
      <w:proofErr w:type="spellStart"/>
      <w:r>
        <w:t>Phutela</w:t>
      </w:r>
      <w:proofErr w:type="spellEnd"/>
      <w:r>
        <w:t>, 2015).</w:t>
      </w:r>
    </w:p>
    <w:p w14:paraId="326445A6" w14:textId="77777777" w:rsidR="00BF4A59" w:rsidRDefault="00BF4A59"/>
    <w:p w14:paraId="4BD0D290" w14:textId="77777777" w:rsidR="00BF4A59" w:rsidRDefault="00DD6BD5">
      <w:pPr>
        <w:pStyle w:val="1"/>
      </w:pPr>
      <w:bookmarkStart w:id="12" w:name="_Toc155375449"/>
      <w:r>
        <w:t>Strategies to Overcome Communication Failures</w:t>
      </w:r>
      <w:bookmarkEnd w:id="12"/>
    </w:p>
    <w:p w14:paraId="252AAF50" w14:textId="77777777" w:rsidR="00BF4A59" w:rsidRDefault="00DD6BD5">
      <w:pPr>
        <w:pStyle w:val="2"/>
      </w:pPr>
      <w:bookmarkStart w:id="13" w:name="_Toc155375450"/>
      <w:r>
        <w:t>Scenario 1</w:t>
      </w:r>
      <w:bookmarkEnd w:id="13"/>
    </w:p>
    <w:p w14:paraId="71945119" w14:textId="709DF743" w:rsidR="00BF4A59" w:rsidRDefault="00DD6BD5">
      <w:pPr>
        <w:jc w:val="both"/>
      </w:pPr>
      <w:r>
        <w:t>To address the communication failure caused by different level of cultural femininity/masculinity, it is highly recommended to facilitate open discussion about preferred decision-making style (</w:t>
      </w:r>
      <w:proofErr w:type="spellStart"/>
      <w:r>
        <w:t>Korkut</w:t>
      </w:r>
      <w:proofErr w:type="spellEnd"/>
      <w:r>
        <w:t xml:space="preserve">, et al., 2018). This helps to create a shared understanding among team members, hence, avoid misunderstanding and conflicts. Based on the scenario, the project manager shall organize team meetings which encourage the Finnish members to voice out their hesitancy in accomplishing the tasks. Since both cultures of femininity and masculinity are having different working styles, wherein masculinity prefer to accomplish task individually while femininity prefer to work in team, the project manager can </w:t>
      </w:r>
      <w:r w:rsidR="009B18AF">
        <w:t>implement</w:t>
      </w:r>
      <w:r>
        <w:t xml:space="preserve"> with a blended approach, which helps to balance between individual accountability and collaborative decision-making. This </w:t>
      </w:r>
      <w:r w:rsidR="009B18AF">
        <w:t>helps to foster</w:t>
      </w:r>
      <w:r>
        <w:t xml:space="preserve"> the masculinity cultures </w:t>
      </w:r>
      <w:r w:rsidR="009B18AF">
        <w:t xml:space="preserve">in </w:t>
      </w:r>
      <w:r>
        <w:t>understand</w:t>
      </w:r>
      <w:r w:rsidR="009B18AF">
        <w:t>ing</w:t>
      </w:r>
      <w:r>
        <w:t xml:space="preserve"> their counterparts, meanwhile encouraging the femininity cultures to directly express their opinion.</w:t>
      </w:r>
    </w:p>
    <w:p w14:paraId="61F81F65" w14:textId="77777777" w:rsidR="00BF4A59" w:rsidRDefault="00BF4A59"/>
    <w:p w14:paraId="06D95484" w14:textId="77777777" w:rsidR="00BF4A59" w:rsidRDefault="00DD6BD5">
      <w:pPr>
        <w:pStyle w:val="2"/>
      </w:pPr>
      <w:bookmarkStart w:id="14" w:name="_Toc155375451"/>
      <w:r>
        <w:t>Scenario 2</w:t>
      </w:r>
      <w:bookmarkEnd w:id="14"/>
    </w:p>
    <w:p w14:paraId="5A8BF1DE" w14:textId="7BAD3D58" w:rsidR="00BF4A59" w:rsidRDefault="00DD6BD5">
      <w:pPr>
        <w:jc w:val="both"/>
      </w:pPr>
      <w:r>
        <w:t xml:space="preserve">For the communication failures between cultures with different level of specificity and diffuseness, the team shall </w:t>
      </w:r>
      <w:r w:rsidR="009B18AF">
        <w:t>develop</w:t>
      </w:r>
      <w:r>
        <w:t xml:space="preserve"> with communication protocols which highlights on the clarity of information. This </w:t>
      </w:r>
      <w:r w:rsidR="009B18AF">
        <w:t>fulfils</w:t>
      </w:r>
      <w:r>
        <w:t xml:space="preserve"> the needs of individuals with specificity cultural background and avoid ambiguity. At the same times, the individuals who demands of specific information shall voice out their expectations and request for clarification if needed. In the scenario, the team of British and Finnish company is suggested to establish a feedback mechanism where team members can express if they find communication ambiguous. Feedback is important for the improvement in business communication practices (</w:t>
      </w:r>
      <w:proofErr w:type="spellStart"/>
      <w:r>
        <w:t>Lázár</w:t>
      </w:r>
      <w:proofErr w:type="spellEnd"/>
      <w:r>
        <w:t>, 2017).</w:t>
      </w:r>
      <w:r w:rsidR="009B18AF">
        <w:t xml:space="preserve"> </w:t>
      </w:r>
      <w:r w:rsidR="009B18AF" w:rsidRPr="009B18AF">
        <w:t>In cases where the communication gap</w:t>
      </w:r>
      <w:r w:rsidR="009B18AF">
        <w:t xml:space="preserve"> remain</w:t>
      </w:r>
      <w:r w:rsidR="009B18AF" w:rsidRPr="009B18AF">
        <w:t xml:space="preserve"> persists</w:t>
      </w:r>
      <w:r w:rsidR="009B18AF">
        <w:t xml:space="preserve">, the team can consider to employ intermediaries who are well-versed in both cultures to facilitate the communication process. </w:t>
      </w:r>
      <w:r w:rsidR="00D45FCA">
        <w:t xml:space="preserve">For example, the employment of Hong Kong Chinese as intermediary can helps to reduce the risks of communication failure between Western countries and China, perceiving that Hong Kong intermediary can speak fluently in English meanwhile posing deep understanding in Chinese cultures. </w:t>
      </w:r>
      <w:r w:rsidR="009B18AF">
        <w:t>These persons are able to</w:t>
      </w:r>
      <w:r w:rsidR="00D45FCA">
        <w:t xml:space="preserve"> navigate through</w:t>
      </w:r>
      <w:r w:rsidR="009B18AF" w:rsidRPr="009B18AF">
        <w:t xml:space="preserve"> the intricacies of both cultures, effectively conveying messages, and ensuring accurate interpretation</w:t>
      </w:r>
      <w:r w:rsidR="00D45FCA">
        <w:t xml:space="preserve"> of both parties</w:t>
      </w:r>
      <w:r w:rsidR="009B18AF" w:rsidRPr="009B18AF">
        <w:t xml:space="preserve"> without distortion.</w:t>
      </w:r>
      <w:r w:rsidR="00D45FCA">
        <w:t xml:space="preserve"> </w:t>
      </w:r>
      <w:r w:rsidR="00D45FCA" w:rsidRPr="00D45FCA">
        <w:t>Intermediaries</w:t>
      </w:r>
      <w:r w:rsidR="00D45FCA">
        <w:t xml:space="preserve"> are often neutral and they are responsible to ensure that the information was objectively exchanged (</w:t>
      </w:r>
      <w:proofErr w:type="spellStart"/>
      <w:r w:rsidR="00D45FCA">
        <w:t>Trimarchi</w:t>
      </w:r>
      <w:proofErr w:type="spellEnd"/>
      <w:r w:rsidR="00D45FCA">
        <w:t xml:space="preserve"> and </w:t>
      </w:r>
      <w:proofErr w:type="spellStart"/>
      <w:r w:rsidR="00D45FCA">
        <w:t>Liesch</w:t>
      </w:r>
      <w:proofErr w:type="spellEnd"/>
      <w:r w:rsidR="00D45FCA">
        <w:t xml:space="preserve">, 2006). </w:t>
      </w:r>
    </w:p>
    <w:p w14:paraId="45CAA80A" w14:textId="77777777" w:rsidR="00BF4A59" w:rsidRDefault="00BF4A59"/>
    <w:p w14:paraId="0A9D7209" w14:textId="77777777" w:rsidR="00BF4A59" w:rsidRDefault="00DD6BD5">
      <w:pPr>
        <w:pStyle w:val="2"/>
      </w:pPr>
      <w:bookmarkStart w:id="15" w:name="_Toc155375452"/>
      <w:r>
        <w:lastRenderedPageBreak/>
        <w:t>Scenario 3</w:t>
      </w:r>
      <w:bookmarkEnd w:id="15"/>
    </w:p>
    <w:p w14:paraId="552C740C" w14:textId="7B012B31" w:rsidR="00BF4A59" w:rsidRDefault="00DD6BD5">
      <w:pPr>
        <w:jc w:val="both"/>
      </w:pPr>
      <w:r>
        <w:t xml:space="preserve">To solve the issues of communication failure which arise from the misunderstanding on non-verbal cues, the negotiators shall </w:t>
      </w:r>
      <w:r w:rsidR="009B18AF">
        <w:t>equip</w:t>
      </w:r>
      <w:r>
        <w:t xml:space="preserve"> themselves with the knowledge of the culture of their counterparts. </w:t>
      </w:r>
      <w:r w:rsidR="009B18AF">
        <w:t xml:space="preserve">This study has highlighted only two different understanding between UK and Finland culture on non-verbal cues, and there are more to be discovered. </w:t>
      </w:r>
      <w:r>
        <w:t xml:space="preserve">Negotiators should invest time in learning about the cultural norms, traditions, and communication styles including the non-verbal gestures, body language, and other culturally specific cues. They may consult on cultural advisors to obtain in-depth knowledge and guidance. </w:t>
      </w:r>
      <w:proofErr w:type="spellStart"/>
      <w:r>
        <w:t>Planken</w:t>
      </w:r>
      <w:proofErr w:type="spellEnd"/>
      <w:r>
        <w:t xml:space="preserve"> (2005) provides that a positive rapport with counterparts can facilitate better communication and understanding of non-verbal cues. Hence, the relationship-building can be an essential strategy to facilitate common understanding in negotiation.</w:t>
      </w:r>
    </w:p>
    <w:p w14:paraId="256CD3B7" w14:textId="77777777" w:rsidR="00BF4A59" w:rsidRDefault="00BF4A59"/>
    <w:p w14:paraId="5B02E7C6" w14:textId="77777777" w:rsidR="00BF4A59" w:rsidRDefault="00DD6BD5">
      <w:pPr>
        <w:pStyle w:val="1"/>
      </w:pPr>
      <w:bookmarkStart w:id="16" w:name="_Toc155375453"/>
      <w:r>
        <w:t>Conclusion</w:t>
      </w:r>
      <w:bookmarkEnd w:id="16"/>
    </w:p>
    <w:p w14:paraId="19827E09" w14:textId="061655CF" w:rsidR="00BF4A59" w:rsidRDefault="009B18AF" w:rsidP="009B18AF">
      <w:pPr>
        <w:jc w:val="both"/>
      </w:pPr>
      <w:r w:rsidRPr="009B18AF">
        <w:t xml:space="preserve">In conclusion, </w:t>
      </w:r>
      <w:r w:rsidR="00B51FF2">
        <w:t xml:space="preserve">this report has identified the cultural differences between UK and Finland as femininity/masculinity, specific/diffuse and other non-verbal cues. The three scenarios have vividly illustrated the situation which communication could occurs due to these three aspects of cultural differences. </w:t>
      </w:r>
      <w:r w:rsidR="00C83F8F" w:rsidRPr="00C83F8F">
        <w:t xml:space="preserve">The scenarios highlight </w:t>
      </w:r>
      <w:r w:rsidR="00C83F8F">
        <w:t>the examples which</w:t>
      </w:r>
      <w:r w:rsidR="00C83F8F" w:rsidRPr="00C83F8F">
        <w:t xml:space="preserve"> misalignment in cultural values leads to communication breakdowns, affecting teamwork, project efficiency, and collaborative ventures.</w:t>
      </w:r>
      <w:r w:rsidR="00C83F8F">
        <w:t xml:space="preserve"> </w:t>
      </w:r>
      <w:r w:rsidR="00B51FF2">
        <w:t>Furthermore, the solution proposed for closing the communication gaps are open communication, development of communication protocols for team with multiple cultures, employment of intermediaries, and strengthens of individuals’ knowledge on opposite cultures. The understanding on</w:t>
      </w:r>
      <w:r w:rsidRPr="009B18AF">
        <w:t xml:space="preserve"> cultural differences </w:t>
      </w:r>
      <w:r w:rsidR="00B51FF2">
        <w:t>is</w:t>
      </w:r>
      <w:r w:rsidRPr="009B18AF">
        <w:t xml:space="preserve"> </w:t>
      </w:r>
      <w:r>
        <w:t>important</w:t>
      </w:r>
      <w:r w:rsidRPr="009B18AF">
        <w:t xml:space="preserve"> for </w:t>
      </w:r>
      <w:r>
        <w:t xml:space="preserve">the </w:t>
      </w:r>
      <w:r w:rsidRPr="009B18AF">
        <w:t>success</w:t>
      </w:r>
      <w:r>
        <w:t xml:space="preserve"> of</w:t>
      </w:r>
      <w:r w:rsidRPr="009B18AF">
        <w:t xml:space="preserve"> cross-cultural communication. </w:t>
      </w:r>
      <w:r w:rsidR="00B51FF2">
        <w:t>By implementing with these strategies</w:t>
      </w:r>
      <w:r>
        <w:t xml:space="preserve">, </w:t>
      </w:r>
      <w:r w:rsidRPr="009B18AF">
        <w:t>communication failures</w:t>
      </w:r>
      <w:r>
        <w:t xml:space="preserve"> can be mitigated</w:t>
      </w:r>
      <w:r w:rsidR="009773A5">
        <w:t xml:space="preserve"> and achieving desired goals.</w:t>
      </w:r>
    </w:p>
    <w:p w14:paraId="3E29D059" w14:textId="77777777" w:rsidR="00BF4A59" w:rsidRDefault="00BF4A59"/>
    <w:p w14:paraId="652ABF32" w14:textId="77777777" w:rsidR="00BF4A59" w:rsidRDefault="00BF4A59"/>
    <w:p w14:paraId="33F5CB57" w14:textId="77777777" w:rsidR="00BF4A59" w:rsidRDefault="00DD6BD5">
      <w:pPr>
        <w:spacing w:after="160" w:line="259" w:lineRule="auto"/>
        <w:rPr>
          <w:rFonts w:eastAsiaTheme="majorEastAsia" w:cstheme="majorBidi"/>
          <w:b/>
          <w:szCs w:val="32"/>
        </w:rPr>
      </w:pPr>
      <w:r>
        <w:br w:type="page"/>
      </w:r>
    </w:p>
    <w:p w14:paraId="77868AD7" w14:textId="77777777" w:rsidR="00BF4A59" w:rsidRDefault="00DD6BD5">
      <w:pPr>
        <w:pStyle w:val="1"/>
        <w:numPr>
          <w:ilvl w:val="0"/>
          <w:numId w:val="0"/>
        </w:numPr>
        <w:ind w:left="432" w:hanging="432"/>
      </w:pPr>
      <w:bookmarkStart w:id="17" w:name="_Toc155375454"/>
      <w:r>
        <w:lastRenderedPageBreak/>
        <w:t>References</w:t>
      </w:r>
      <w:bookmarkEnd w:id="17"/>
    </w:p>
    <w:p w14:paraId="7F8949D2" w14:textId="77777777" w:rsidR="00BF4A59" w:rsidRDefault="00DD6BD5">
      <w:pPr>
        <w:spacing w:after="240"/>
      </w:pPr>
      <w:r>
        <w:t>Branch, J.D., Dalmia, M. and Mo, E., 2022. The impact of culture on brand extension: The specific versus diffuse dimension and product category similarity. </w:t>
      </w:r>
      <w:r>
        <w:rPr>
          <w:i/>
          <w:iCs/>
        </w:rPr>
        <w:t>Journal of Marketing Development &amp; Competitiveness</w:t>
      </w:r>
      <w:r>
        <w:t>, </w:t>
      </w:r>
      <w:r>
        <w:rPr>
          <w:i/>
          <w:iCs/>
        </w:rPr>
        <w:t>16</w:t>
      </w:r>
      <w:r>
        <w:t>(4), pp.28.</w:t>
      </w:r>
    </w:p>
    <w:p w14:paraId="50E1F6E6" w14:textId="77777777" w:rsidR="00BF4A59" w:rsidRDefault="00DD6BD5">
      <w:pPr>
        <w:spacing w:after="240"/>
      </w:pPr>
      <w:r>
        <w:t xml:space="preserve">Business Culture, n.d. Business communication in the UK. </w:t>
      </w:r>
      <w:r>
        <w:rPr>
          <w:i/>
        </w:rPr>
        <w:t>Business Communication</w:t>
      </w:r>
      <w:r>
        <w:t xml:space="preserve">. [Online] Available at: &lt;https://businessculture.org/northern-europe/united-kingdom-business-culture/business-communication/&gt; </w:t>
      </w:r>
      <w:r>
        <w:rPr>
          <w:bCs/>
        </w:rPr>
        <w:t>[Accessed 3 January 2024].</w:t>
      </w:r>
    </w:p>
    <w:p w14:paraId="07C9A7E8" w14:textId="77777777" w:rsidR="00BF4A59" w:rsidRDefault="00DD6BD5">
      <w:pPr>
        <w:spacing w:after="240"/>
      </w:pPr>
      <w:proofErr w:type="spellStart"/>
      <w:r>
        <w:t>Gesteland</w:t>
      </w:r>
      <w:proofErr w:type="spellEnd"/>
      <w:r>
        <w:t>, R.R., 2012. </w:t>
      </w:r>
      <w:r>
        <w:rPr>
          <w:i/>
          <w:iCs/>
        </w:rPr>
        <w:t xml:space="preserve">Cross-cultural business </w:t>
      </w:r>
      <w:proofErr w:type="spellStart"/>
      <w:r>
        <w:rPr>
          <w:i/>
          <w:iCs/>
        </w:rPr>
        <w:t>behavior</w:t>
      </w:r>
      <w:proofErr w:type="spellEnd"/>
      <w:r>
        <w:rPr>
          <w:i/>
          <w:iCs/>
        </w:rPr>
        <w:t>: A guide for global management</w:t>
      </w:r>
      <w:r>
        <w:t>. Copenhagen Business School Press DK.</w:t>
      </w:r>
    </w:p>
    <w:p w14:paraId="5E3B144B" w14:textId="77777777" w:rsidR="00BF4A59" w:rsidRDefault="00DD6BD5">
      <w:pPr>
        <w:spacing w:after="240"/>
      </w:pPr>
      <w:r>
        <w:t>Hampden-Turner, C., Trompenaars, F., &amp; Hampden-Turner, C. (2020). </w:t>
      </w:r>
      <w:r>
        <w:rPr>
          <w:i/>
          <w:iCs/>
        </w:rPr>
        <w:t>Riding the waves of culture: Understanding diversity in global business</w:t>
      </w:r>
      <w:r>
        <w:t>. Hachette UK.</w:t>
      </w:r>
    </w:p>
    <w:p w14:paraId="1B86771C" w14:textId="77777777" w:rsidR="00BF4A59" w:rsidRDefault="00DD6BD5">
      <w:pPr>
        <w:spacing w:after="240"/>
      </w:pPr>
      <w:r>
        <w:t xml:space="preserve">Jian, G., </w:t>
      </w:r>
      <w:proofErr w:type="spellStart"/>
      <w:r>
        <w:t>Pettey</w:t>
      </w:r>
      <w:proofErr w:type="spellEnd"/>
      <w:r>
        <w:t>, G., Rudd, J. and Lawson, D., 2007. Masculinity/Femininity and compliance-gaining in business negotiations: A cross-cultural comparison. </w:t>
      </w:r>
      <w:r>
        <w:rPr>
          <w:i/>
          <w:iCs/>
        </w:rPr>
        <w:t>Journal of the Northwest Communication Association</w:t>
      </w:r>
      <w:r>
        <w:t>, </w:t>
      </w:r>
      <w:r>
        <w:rPr>
          <w:i/>
          <w:iCs/>
        </w:rPr>
        <w:t>36</w:t>
      </w:r>
      <w:r>
        <w:t>.</w:t>
      </w:r>
    </w:p>
    <w:p w14:paraId="10943C4D" w14:textId="77777777" w:rsidR="00BF4A59" w:rsidRDefault="00DD6BD5">
      <w:pPr>
        <w:spacing w:after="240"/>
      </w:pPr>
      <w:proofErr w:type="spellStart"/>
      <w:r>
        <w:t>Korkut</w:t>
      </w:r>
      <w:proofErr w:type="spellEnd"/>
      <w:r>
        <w:t xml:space="preserve">, P., </w:t>
      </w:r>
      <w:proofErr w:type="spellStart"/>
      <w:r>
        <w:t>Dolmaci</w:t>
      </w:r>
      <w:proofErr w:type="spellEnd"/>
      <w:r>
        <w:t xml:space="preserve">, M. and </w:t>
      </w:r>
      <w:proofErr w:type="spellStart"/>
      <w:r>
        <w:t>Karaca</w:t>
      </w:r>
      <w:proofErr w:type="spellEnd"/>
      <w:r>
        <w:t>, B., 2018. A study on communication breakdowns: Sources of misunderstanding in a cross-cultural setting. </w:t>
      </w:r>
      <w:r>
        <w:rPr>
          <w:i/>
          <w:iCs/>
        </w:rPr>
        <w:t>Eurasian Journal of Educational Research</w:t>
      </w:r>
      <w:r>
        <w:t>, </w:t>
      </w:r>
      <w:r>
        <w:rPr>
          <w:i/>
          <w:iCs/>
        </w:rPr>
        <w:t>18</w:t>
      </w:r>
      <w:r>
        <w:t>(78), pp.139-158.</w:t>
      </w:r>
    </w:p>
    <w:p w14:paraId="21DA0242" w14:textId="77777777" w:rsidR="00BF4A59" w:rsidRDefault="00DD6BD5">
      <w:pPr>
        <w:spacing w:after="240"/>
      </w:pPr>
      <w:r>
        <w:t xml:space="preserve">Lani, O.P. and </w:t>
      </w:r>
      <w:proofErr w:type="spellStart"/>
      <w:r>
        <w:t>Demina</w:t>
      </w:r>
      <w:proofErr w:type="spellEnd"/>
      <w:r>
        <w:t>, D., 2022. Communication style in the perspective of masculine and feminine culture. </w:t>
      </w:r>
      <w:r>
        <w:rPr>
          <w:i/>
          <w:iCs/>
        </w:rPr>
        <w:t xml:space="preserve">AGENDA: </w:t>
      </w:r>
      <w:proofErr w:type="spellStart"/>
      <w:r>
        <w:rPr>
          <w:i/>
          <w:iCs/>
        </w:rPr>
        <w:t>Jurnal</w:t>
      </w:r>
      <w:proofErr w:type="spellEnd"/>
      <w:r>
        <w:rPr>
          <w:i/>
          <w:iCs/>
        </w:rPr>
        <w:t xml:space="preserve"> </w:t>
      </w:r>
      <w:proofErr w:type="spellStart"/>
      <w:r>
        <w:rPr>
          <w:i/>
          <w:iCs/>
        </w:rPr>
        <w:t>Analisis</w:t>
      </w:r>
      <w:proofErr w:type="spellEnd"/>
      <w:r>
        <w:rPr>
          <w:i/>
          <w:iCs/>
        </w:rPr>
        <w:t xml:space="preserve"> Gender dan Agama</w:t>
      </w:r>
      <w:r>
        <w:t>, </w:t>
      </w:r>
      <w:r>
        <w:rPr>
          <w:i/>
          <w:iCs/>
        </w:rPr>
        <w:t>4</w:t>
      </w:r>
      <w:r>
        <w:t>(1), pp.32-41.</w:t>
      </w:r>
    </w:p>
    <w:p w14:paraId="43955EDD" w14:textId="77777777" w:rsidR="00BF4A59" w:rsidRDefault="00DD6BD5">
      <w:pPr>
        <w:spacing w:after="240"/>
      </w:pPr>
      <w:proofErr w:type="spellStart"/>
      <w:r>
        <w:t>Lázár</w:t>
      </w:r>
      <w:proofErr w:type="spellEnd"/>
      <w:r>
        <w:t>, T., 2017. Some sources of misunderstandings in intercultural business communication. </w:t>
      </w:r>
      <w:r>
        <w:rPr>
          <w:i/>
          <w:iCs/>
        </w:rPr>
        <w:t>International Journal of Engineering and Management Sciences</w:t>
      </w:r>
      <w:r>
        <w:t>, </w:t>
      </w:r>
      <w:r>
        <w:rPr>
          <w:i/>
          <w:iCs/>
        </w:rPr>
        <w:t>2</w:t>
      </w:r>
      <w:r>
        <w:t>(3), pp.91-101.</w:t>
      </w:r>
    </w:p>
    <w:p w14:paraId="546529AA" w14:textId="77777777" w:rsidR="00BF4A59" w:rsidRDefault="00DD6BD5">
      <w:pPr>
        <w:spacing w:after="240"/>
      </w:pPr>
      <w:r>
        <w:t>London School, n.d. The golden rules of British politeness in the workplace. [Online]. Available at: &lt;https://www.londonschool.com/lsic/resources/blog/golden-rules-british-politeness-workplace/&gt; [Accessed 4 January 2024].</w:t>
      </w:r>
    </w:p>
    <w:p w14:paraId="47FC2F61" w14:textId="77777777" w:rsidR="00BF4A59" w:rsidRDefault="00DD6BD5">
      <w:pPr>
        <w:spacing w:after="240"/>
      </w:pPr>
      <w:r>
        <w:t xml:space="preserve">Papas, M, 2018. Hofstede's six cultural dimensions. </w:t>
      </w:r>
      <w:r>
        <w:rPr>
          <w:i/>
        </w:rPr>
        <w:t>LinkedIn</w:t>
      </w:r>
      <w:r>
        <w:t>. [Online] April 24. Available at: &lt;https://www.linkedin.com/pulse/hofstedes-six-cultural-dimensions-matt-papas#:~:text=Countries%20with%20a%20higher%20masculinity,success%20(Hofstede%2</w:t>
      </w:r>
      <w:r>
        <w:lastRenderedPageBreak/>
        <w:t xml:space="preserve">C%20n.d.).&amp;text=Countries%20with%20a%20lower%20masculinity,life%20(Hofstede%2C%20n.d.).&gt; </w:t>
      </w:r>
      <w:r>
        <w:rPr>
          <w:bCs/>
        </w:rPr>
        <w:t>[Accessed 3 January 2024].</w:t>
      </w:r>
    </w:p>
    <w:p w14:paraId="30B2872A" w14:textId="77777777" w:rsidR="00BF4A59" w:rsidRDefault="00DD6BD5">
      <w:pPr>
        <w:spacing w:after="240"/>
      </w:pPr>
      <w:proofErr w:type="spellStart"/>
      <w:r>
        <w:t>Planken</w:t>
      </w:r>
      <w:proofErr w:type="spellEnd"/>
      <w:r>
        <w:t>, B., 2005. Managing rapport in lingua franca sales negotiations: A comparison of professional and aspiring negotiators. </w:t>
      </w:r>
      <w:r>
        <w:rPr>
          <w:i/>
          <w:iCs/>
        </w:rPr>
        <w:t>English for Specific Purposes</w:t>
      </w:r>
      <w:r>
        <w:t>, </w:t>
      </w:r>
      <w:r>
        <w:rPr>
          <w:i/>
          <w:iCs/>
        </w:rPr>
        <w:t>24</w:t>
      </w:r>
      <w:r>
        <w:t>(4), pp.381-400.</w:t>
      </w:r>
    </w:p>
    <w:p w14:paraId="4BF81173" w14:textId="77777777" w:rsidR="00BF4A59" w:rsidRDefault="00DD6BD5">
      <w:pPr>
        <w:spacing w:after="240"/>
      </w:pPr>
      <w:proofErr w:type="spellStart"/>
      <w:r>
        <w:t>Phutela</w:t>
      </w:r>
      <w:proofErr w:type="spellEnd"/>
      <w:r>
        <w:t>, D., 2015. The importance of non-verbal communication. </w:t>
      </w:r>
      <w:r>
        <w:rPr>
          <w:i/>
          <w:iCs/>
        </w:rPr>
        <w:t>IUP Journal of Soft Skills</w:t>
      </w:r>
      <w:r>
        <w:t>, </w:t>
      </w:r>
      <w:r>
        <w:rPr>
          <w:i/>
          <w:iCs/>
        </w:rPr>
        <w:t>9</w:t>
      </w:r>
      <w:r>
        <w:t>(4), pp.43.</w:t>
      </w:r>
    </w:p>
    <w:p w14:paraId="06C255A7" w14:textId="77777777" w:rsidR="00BF4A59" w:rsidRDefault="00DD6BD5">
      <w:pPr>
        <w:spacing w:after="240"/>
        <w:rPr>
          <w:bCs/>
        </w:rPr>
      </w:pPr>
      <w:r>
        <w:t xml:space="preserve">The Culture Factor Group, n.d. Country comparison tool. </w:t>
      </w:r>
      <w:r>
        <w:rPr>
          <w:i/>
        </w:rPr>
        <w:t>Hofstede Insight.</w:t>
      </w:r>
      <w:r>
        <w:t xml:space="preserve"> [Online] Available at: &lt;</w:t>
      </w:r>
      <w:r>
        <w:rPr>
          <w:bCs/>
        </w:rPr>
        <w:t>https://www.hofstede-insights.com/country-comparison-tool?countries=finland%2Cunited+kingdom&gt; [Accessed 3 January 2024].</w:t>
      </w:r>
    </w:p>
    <w:p w14:paraId="28A440BA" w14:textId="128BEB1F" w:rsidR="00D45FCA" w:rsidRDefault="00D45FCA">
      <w:pPr>
        <w:spacing w:after="240"/>
      </w:pPr>
      <w:proofErr w:type="spellStart"/>
      <w:r w:rsidRPr="00D45FCA">
        <w:t>Trimarchi</w:t>
      </w:r>
      <w:proofErr w:type="spellEnd"/>
      <w:r w:rsidRPr="00D45FCA">
        <w:t xml:space="preserve">, M. and </w:t>
      </w:r>
      <w:proofErr w:type="spellStart"/>
      <w:r w:rsidRPr="00D45FCA">
        <w:t>Liesch</w:t>
      </w:r>
      <w:proofErr w:type="spellEnd"/>
      <w:r w:rsidRPr="00D45FCA">
        <w:t>, P.W., 2006. Business communication in interactions between Mainland Chinese and Western firms through Hong Kong Chinese intermediaries. </w:t>
      </w:r>
      <w:r w:rsidRPr="00D45FCA">
        <w:rPr>
          <w:i/>
          <w:iCs/>
        </w:rPr>
        <w:t>European Journal of Marketing</w:t>
      </w:r>
      <w:r w:rsidRPr="00D45FCA">
        <w:t>, </w:t>
      </w:r>
      <w:r w:rsidRPr="00D45FCA">
        <w:rPr>
          <w:i/>
          <w:iCs/>
        </w:rPr>
        <w:t>40</w:t>
      </w:r>
      <w:r w:rsidRPr="00D45FCA">
        <w:t>(11/12), pp.1210-1235.</w:t>
      </w:r>
    </w:p>
    <w:p w14:paraId="685C9838" w14:textId="28B4516B" w:rsidR="00BF4A59" w:rsidRDefault="00DD6BD5">
      <w:pPr>
        <w:spacing w:after="240"/>
        <w:rPr>
          <w:bCs/>
        </w:rPr>
      </w:pPr>
      <w:r>
        <w:t xml:space="preserve">Trompenaars Hampden-Turner Consulting, n.d. Explore what binds and divides for reconciliation. </w:t>
      </w:r>
      <w:r>
        <w:rPr>
          <w:i/>
        </w:rPr>
        <w:t>Culture for Business</w:t>
      </w:r>
      <w:r>
        <w:t xml:space="preserve">. [Online] Available at: &lt;https://www.thtconsulting.com/culture-factory/culture-explore/compare-countries/&gt; </w:t>
      </w:r>
      <w:r>
        <w:rPr>
          <w:bCs/>
        </w:rPr>
        <w:t>[Accessed 3 January 2024].</w:t>
      </w:r>
    </w:p>
    <w:p w14:paraId="43489128" w14:textId="77777777" w:rsidR="00BF4A59" w:rsidRDefault="00DD6BD5">
      <w:proofErr w:type="spellStart"/>
      <w:r>
        <w:t>Tse</w:t>
      </w:r>
      <w:proofErr w:type="spellEnd"/>
      <w:r>
        <w:t xml:space="preserve">, T., Tiong, J. and </w:t>
      </w:r>
      <w:proofErr w:type="spellStart"/>
      <w:r>
        <w:t>Kangaslahti</w:t>
      </w:r>
      <w:proofErr w:type="spellEnd"/>
      <w:r>
        <w:t>, V., 2004. The effect of cultural norms on the uptake of information and communication technologies in Europe: A conceptual analysis. </w:t>
      </w:r>
      <w:r>
        <w:rPr>
          <w:i/>
          <w:iCs/>
        </w:rPr>
        <w:t>International Journal of Management</w:t>
      </w:r>
      <w:r>
        <w:t>, </w:t>
      </w:r>
      <w:r>
        <w:rPr>
          <w:i/>
          <w:iCs/>
        </w:rPr>
        <w:t>21</w:t>
      </w:r>
      <w:r>
        <w:t>(3), pp.382.</w:t>
      </w:r>
    </w:p>
    <w:sectPr w:rsidR="00BF4A5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F81F8" w14:textId="77777777" w:rsidR="005E4828" w:rsidRDefault="005E4828">
      <w:pPr>
        <w:spacing w:line="240" w:lineRule="auto"/>
      </w:pPr>
      <w:r>
        <w:separator/>
      </w:r>
    </w:p>
  </w:endnote>
  <w:endnote w:type="continuationSeparator" w:id="0">
    <w:p w14:paraId="36B93013" w14:textId="77777777" w:rsidR="005E4828" w:rsidRDefault="005E48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Microsoft YaHei UI">
    <w:panose1 w:val="020B0503020204020204"/>
    <w:charset w:val="86"/>
    <w:family w:val="swiss"/>
    <w:pitch w:val="variable"/>
    <w:sig w:usb0="80000287" w:usb1="2ACF3C52"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8713098"/>
    </w:sdtPr>
    <w:sdtContent>
      <w:p w14:paraId="1399D4DD" w14:textId="77777777" w:rsidR="00BF4A59" w:rsidRDefault="00DD6BD5">
        <w:pPr>
          <w:pStyle w:val="a9"/>
          <w:jc w:val="center"/>
        </w:pPr>
        <w:r>
          <w:fldChar w:fldCharType="begin"/>
        </w:r>
        <w:r>
          <w:instrText xml:space="preserve"> PAGE   \* MERGEFORMAT </w:instrText>
        </w:r>
        <w:r>
          <w:fldChar w:fldCharType="separate"/>
        </w:r>
        <w:r>
          <w:t>8</w:t>
        </w:r>
        <w:r>
          <w:fldChar w:fldCharType="end"/>
        </w:r>
      </w:p>
    </w:sdtContent>
  </w:sdt>
  <w:p w14:paraId="0F87CE59" w14:textId="77777777" w:rsidR="00BF4A59" w:rsidRDefault="00BF4A59">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529E4" w14:textId="77777777" w:rsidR="005E4828" w:rsidRDefault="005E4828">
      <w:pPr>
        <w:spacing w:line="240" w:lineRule="auto"/>
      </w:pPr>
      <w:r>
        <w:separator/>
      </w:r>
    </w:p>
  </w:footnote>
  <w:footnote w:type="continuationSeparator" w:id="0">
    <w:p w14:paraId="32619970" w14:textId="77777777" w:rsidR="005E4828" w:rsidRDefault="005E48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3092B"/>
    <w:multiLevelType w:val="multilevel"/>
    <w:tmpl w:val="11D3092B"/>
    <w:lvl w:ilvl="0">
      <w:start w:val="1"/>
      <w:numFmt w:val="decimal"/>
      <w:pStyle w:val="1"/>
      <w:lvlText w:val="%1.0"/>
      <w:lvlJc w:val="left"/>
      <w:pPr>
        <w:ind w:left="432" w:hanging="432"/>
      </w:pPr>
      <w:rPr>
        <w:rFonts w:hint="default"/>
      </w:rPr>
    </w:lvl>
    <w:lvl w:ilvl="1">
      <w:start w:val="1"/>
      <w:numFmt w:val="decimal"/>
      <w:pStyle w:val="2"/>
      <w:lvlText w:val="%1.%2"/>
      <w:lvlJc w:val="left"/>
      <w:pPr>
        <w:ind w:left="576" w:hanging="576"/>
      </w:pPr>
      <w:rPr>
        <w:rFonts w:hint="default"/>
      </w:rPr>
    </w:lvl>
    <w:lvl w:ilvl="2">
      <w:start w:val="1"/>
      <w:numFmt w:val="decimal"/>
      <w:pStyle w:val="3"/>
      <w:lvlText w:val="%1.%2.%3"/>
      <w:lvlJc w:val="left"/>
      <w:pPr>
        <w:ind w:left="720" w:hanging="720"/>
      </w:pPr>
      <w:rPr>
        <w:rFonts w:hint="default"/>
      </w:rPr>
    </w:lvl>
    <w:lvl w:ilvl="3">
      <w:start w:val="1"/>
      <w:numFmt w:val="decimal"/>
      <w:pStyle w:val="4"/>
      <w:lvlText w:val="%1.%2.%3.%4"/>
      <w:lvlJc w:val="left"/>
      <w:pPr>
        <w:ind w:left="864" w:hanging="864"/>
      </w:pPr>
      <w:rPr>
        <w:rFonts w:hint="default"/>
      </w:rPr>
    </w:lvl>
    <w:lvl w:ilvl="4">
      <w:start w:val="1"/>
      <w:numFmt w:val="decimal"/>
      <w:pStyle w:val="5"/>
      <w:lvlText w:val="%1.%2.%3.%4.%5"/>
      <w:lvlJc w:val="left"/>
      <w:pPr>
        <w:ind w:left="1008" w:hanging="1008"/>
      </w:pPr>
      <w:rPr>
        <w:rFonts w:hint="default"/>
      </w:rPr>
    </w:lvl>
    <w:lvl w:ilvl="5">
      <w:start w:val="1"/>
      <w:numFmt w:val="decimal"/>
      <w:pStyle w:val="6"/>
      <w:lvlText w:val="%1.%2.%3.%4.%5.%6"/>
      <w:lvlJc w:val="left"/>
      <w:pPr>
        <w:ind w:left="1152" w:hanging="1152"/>
      </w:pPr>
      <w:rPr>
        <w:rFonts w:hint="default"/>
      </w:rPr>
    </w:lvl>
    <w:lvl w:ilvl="6">
      <w:start w:val="1"/>
      <w:numFmt w:val="decimal"/>
      <w:pStyle w:val="7"/>
      <w:lvlText w:val="%1.%2.%3.%4.%5.%6.%7"/>
      <w:lvlJc w:val="left"/>
      <w:pPr>
        <w:ind w:left="1296" w:hanging="1296"/>
      </w:pPr>
      <w:rPr>
        <w:rFonts w:hint="default"/>
      </w:rPr>
    </w:lvl>
    <w:lvl w:ilvl="7">
      <w:start w:val="1"/>
      <w:numFmt w:val="decimal"/>
      <w:pStyle w:val="8"/>
      <w:lvlText w:val="%1.%2.%3.%4.%5.%6.%7.%8"/>
      <w:lvlJc w:val="left"/>
      <w:pPr>
        <w:ind w:left="1440" w:hanging="1440"/>
      </w:pPr>
      <w:rPr>
        <w:rFonts w:hint="default"/>
      </w:rPr>
    </w:lvl>
    <w:lvl w:ilvl="8">
      <w:start w:val="1"/>
      <w:numFmt w:val="decimal"/>
      <w:pStyle w:val="9"/>
      <w:lvlText w:val="%1.%2.%3.%4.%5.%6.%7.%8.%9"/>
      <w:lvlJc w:val="left"/>
      <w:pPr>
        <w:ind w:left="1584" w:hanging="1584"/>
      </w:pPr>
      <w:rPr>
        <w:rFonts w:hint="default"/>
      </w:rPr>
    </w:lvl>
  </w:abstractNum>
  <w:num w:numId="1" w16cid:durableId="4803898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4A59"/>
    <w:rsid w:val="001C6667"/>
    <w:rsid w:val="00321F73"/>
    <w:rsid w:val="00564911"/>
    <w:rsid w:val="005E4828"/>
    <w:rsid w:val="007D4AE2"/>
    <w:rsid w:val="009773A5"/>
    <w:rsid w:val="009B18AF"/>
    <w:rsid w:val="00B51FF2"/>
    <w:rsid w:val="00B627F9"/>
    <w:rsid w:val="00BF4A59"/>
    <w:rsid w:val="00C83F8F"/>
    <w:rsid w:val="00D45FCA"/>
    <w:rsid w:val="00D8759D"/>
    <w:rsid w:val="00D96D69"/>
    <w:rsid w:val="00DD6BD5"/>
    <w:rsid w:val="00EF2F12"/>
    <w:rsid w:val="00F05C50"/>
    <w:rsid w:val="00FB58CD"/>
    <w:rsid w:val="00FD1865"/>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46E7FE71"/>
  <w15:docId w15:val="{BEE2C372-C8CD-4558-98D0-6EF0C4517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MY"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0" w:line="360" w:lineRule="auto"/>
    </w:pPr>
    <w:rPr>
      <w:rFonts w:eastAsiaTheme="minorEastAsia" w:cstheme="minorBidi"/>
      <w:sz w:val="24"/>
      <w:szCs w:val="22"/>
    </w:rPr>
  </w:style>
  <w:style w:type="paragraph" w:styleId="1">
    <w:name w:val="heading 1"/>
    <w:basedOn w:val="a"/>
    <w:next w:val="a"/>
    <w:link w:val="10"/>
    <w:uiPriority w:val="9"/>
    <w:qFormat/>
    <w:pPr>
      <w:keepNext/>
      <w:keepLines/>
      <w:numPr>
        <w:numId w:val="1"/>
      </w:numPr>
      <w:ind w:left="578" w:hanging="578"/>
      <w:outlineLvl w:val="0"/>
    </w:pPr>
    <w:rPr>
      <w:rFonts w:eastAsiaTheme="majorEastAsia" w:cstheme="majorBidi"/>
      <w:b/>
      <w:szCs w:val="32"/>
    </w:rPr>
  </w:style>
  <w:style w:type="paragraph" w:styleId="2">
    <w:name w:val="heading 2"/>
    <w:basedOn w:val="a"/>
    <w:next w:val="a"/>
    <w:link w:val="20"/>
    <w:uiPriority w:val="9"/>
    <w:unhideWhenUsed/>
    <w:qFormat/>
    <w:pPr>
      <w:keepNext/>
      <w:keepLines/>
      <w:numPr>
        <w:ilvl w:val="1"/>
        <w:numId w:val="1"/>
      </w:numPr>
      <w:outlineLvl w:val="1"/>
    </w:pPr>
    <w:rPr>
      <w:rFonts w:eastAsiaTheme="majorEastAsia" w:cstheme="majorBidi"/>
      <w:b/>
      <w:szCs w:val="26"/>
    </w:rPr>
  </w:style>
  <w:style w:type="paragraph" w:styleId="3">
    <w:name w:val="heading 3"/>
    <w:basedOn w:val="a"/>
    <w:next w:val="a"/>
    <w:link w:val="30"/>
    <w:uiPriority w:val="9"/>
    <w:unhideWhenUsed/>
    <w:qFormat/>
    <w:pPr>
      <w:keepNext/>
      <w:keepLines/>
      <w:numPr>
        <w:ilvl w:val="2"/>
        <w:numId w:val="1"/>
      </w:numPr>
      <w:spacing w:before="40"/>
      <w:outlineLvl w:val="2"/>
    </w:pPr>
    <w:rPr>
      <w:rFonts w:asciiTheme="majorHAnsi" w:eastAsiaTheme="majorEastAsia" w:hAnsiTheme="majorHAnsi" w:cstheme="majorBidi"/>
      <w:color w:val="1F4E79" w:themeColor="accent1" w:themeShade="80"/>
      <w:szCs w:val="24"/>
    </w:rPr>
  </w:style>
  <w:style w:type="paragraph" w:styleId="4">
    <w:name w:val="heading 4"/>
    <w:basedOn w:val="a"/>
    <w:next w:val="a"/>
    <w:link w:val="40"/>
    <w:uiPriority w:val="9"/>
    <w:unhideWhenUsed/>
    <w:qFormat/>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5">
    <w:name w:val="heading 5"/>
    <w:basedOn w:val="a"/>
    <w:next w:val="a"/>
    <w:link w:val="50"/>
    <w:uiPriority w:val="9"/>
    <w:unhideWhenUsed/>
    <w:qFormat/>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6">
    <w:name w:val="heading 6"/>
    <w:basedOn w:val="a"/>
    <w:next w:val="a"/>
    <w:link w:val="60"/>
    <w:uiPriority w:val="9"/>
    <w:unhideWhenUsed/>
    <w:qFormat/>
    <w:pPr>
      <w:keepNext/>
      <w:keepLines/>
      <w:numPr>
        <w:ilvl w:val="5"/>
        <w:numId w:val="1"/>
      </w:numPr>
      <w:spacing w:before="40"/>
      <w:outlineLvl w:val="5"/>
    </w:pPr>
    <w:rPr>
      <w:rFonts w:asciiTheme="majorHAnsi" w:eastAsiaTheme="majorEastAsia" w:hAnsiTheme="majorHAnsi" w:cstheme="majorBidi"/>
      <w:color w:val="1F4E79" w:themeColor="accent1" w:themeShade="80"/>
    </w:rPr>
  </w:style>
  <w:style w:type="paragraph" w:styleId="7">
    <w:name w:val="heading 7"/>
    <w:basedOn w:val="a"/>
    <w:next w:val="a"/>
    <w:link w:val="70"/>
    <w:uiPriority w:val="9"/>
    <w:unhideWhenUsed/>
    <w:qFormat/>
    <w:pPr>
      <w:keepNext/>
      <w:keepLines/>
      <w:numPr>
        <w:ilvl w:val="6"/>
        <w:numId w:val="1"/>
      </w:numPr>
      <w:spacing w:before="40"/>
      <w:outlineLvl w:val="6"/>
    </w:pPr>
    <w:rPr>
      <w:rFonts w:asciiTheme="majorHAnsi" w:eastAsiaTheme="majorEastAsia" w:hAnsiTheme="majorHAnsi" w:cstheme="majorBidi"/>
      <w:i/>
      <w:iCs/>
      <w:color w:val="1F4E79" w:themeColor="accent1" w:themeShade="80"/>
    </w:rPr>
  </w:style>
  <w:style w:type="paragraph" w:styleId="8">
    <w:name w:val="heading 8"/>
    <w:basedOn w:val="a"/>
    <w:next w:val="a"/>
    <w:link w:val="80"/>
    <w:uiPriority w:val="9"/>
    <w:unhideWhenUsed/>
    <w:qFormat/>
    <w:pPr>
      <w:keepNext/>
      <w:keepLines/>
      <w:numPr>
        <w:ilvl w:val="7"/>
        <w:numId w:val="1"/>
      </w:numPr>
      <w:spacing w:before="40"/>
      <w:outlineLvl w:val="7"/>
    </w:pPr>
    <w:rPr>
      <w:rFonts w:asciiTheme="majorHAnsi" w:eastAsiaTheme="majorEastAsia" w:hAnsiTheme="majorHAnsi" w:cstheme="majorBidi"/>
      <w:color w:val="262626" w:themeColor="text1" w:themeTint="D9"/>
      <w:sz w:val="21"/>
      <w:szCs w:val="21"/>
    </w:rPr>
  </w:style>
  <w:style w:type="paragraph" w:styleId="9">
    <w:name w:val="heading 9"/>
    <w:basedOn w:val="a"/>
    <w:next w:val="a"/>
    <w:link w:val="90"/>
    <w:uiPriority w:val="9"/>
    <w:unhideWhenUsed/>
    <w:qFormat/>
    <w:pPr>
      <w:keepNext/>
      <w:keepLines/>
      <w:numPr>
        <w:ilvl w:val="8"/>
        <w:numId w:val="1"/>
      </w:numPr>
      <w:spacing w:before="40"/>
      <w:outlineLvl w:val="8"/>
    </w:pPr>
    <w:rPr>
      <w:rFonts w:asciiTheme="majorHAnsi" w:eastAsiaTheme="majorEastAsia" w:hAnsiTheme="majorHAnsi" w:cstheme="majorBidi"/>
      <w:i/>
      <w:iCs/>
      <w:color w:val="262626" w:themeColor="text1" w:themeTint="D9"/>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unhideWhenUsed/>
    <w:pPr>
      <w:spacing w:line="240" w:lineRule="auto"/>
    </w:pPr>
    <w:rPr>
      <w:rFonts w:ascii="Segoe UI" w:hAnsi="Segoe UI" w:cs="Segoe UI"/>
      <w:sz w:val="18"/>
      <w:szCs w:val="18"/>
    </w:rPr>
  </w:style>
  <w:style w:type="paragraph" w:styleId="a5">
    <w:name w:val="annotation text"/>
    <w:basedOn w:val="a"/>
    <w:link w:val="a6"/>
    <w:uiPriority w:val="99"/>
    <w:unhideWhenUsed/>
    <w:pPr>
      <w:spacing w:line="240" w:lineRule="auto"/>
    </w:pPr>
    <w:rPr>
      <w:sz w:val="20"/>
      <w:szCs w:val="20"/>
    </w:rPr>
  </w:style>
  <w:style w:type="paragraph" w:styleId="a7">
    <w:name w:val="annotation subject"/>
    <w:basedOn w:val="a5"/>
    <w:next w:val="a5"/>
    <w:link w:val="a8"/>
    <w:uiPriority w:val="99"/>
    <w:unhideWhenUsed/>
    <w:rPr>
      <w:b/>
      <w:bCs/>
    </w:rPr>
  </w:style>
  <w:style w:type="paragraph" w:styleId="a9">
    <w:name w:val="footer"/>
    <w:basedOn w:val="a"/>
    <w:link w:val="aa"/>
    <w:uiPriority w:val="99"/>
    <w:unhideWhenUsed/>
    <w:pPr>
      <w:tabs>
        <w:tab w:val="center" w:pos="4513"/>
        <w:tab w:val="right" w:pos="9026"/>
      </w:tabs>
      <w:spacing w:line="240" w:lineRule="auto"/>
    </w:pPr>
  </w:style>
  <w:style w:type="paragraph" w:styleId="ab">
    <w:name w:val="header"/>
    <w:basedOn w:val="a"/>
    <w:link w:val="ac"/>
    <w:uiPriority w:val="99"/>
    <w:unhideWhenUsed/>
    <w:pPr>
      <w:tabs>
        <w:tab w:val="center" w:pos="4513"/>
        <w:tab w:val="right" w:pos="9026"/>
      </w:tabs>
      <w:spacing w:line="240" w:lineRule="auto"/>
    </w:pPr>
  </w:style>
  <w:style w:type="paragraph" w:styleId="TOC1">
    <w:name w:val="toc 1"/>
    <w:basedOn w:val="a"/>
    <w:next w:val="a"/>
    <w:uiPriority w:val="39"/>
    <w:unhideWhenUsed/>
    <w:pPr>
      <w:spacing w:after="100"/>
    </w:pPr>
  </w:style>
  <w:style w:type="paragraph" w:styleId="TOC2">
    <w:name w:val="toc 2"/>
    <w:basedOn w:val="a"/>
    <w:next w:val="a"/>
    <w:uiPriority w:val="39"/>
    <w:unhideWhenUsed/>
    <w:pPr>
      <w:spacing w:after="100"/>
      <w:ind w:left="240"/>
    </w:pPr>
  </w:style>
  <w:style w:type="character" w:styleId="ad">
    <w:name w:val="annotation reference"/>
    <w:basedOn w:val="a0"/>
    <w:uiPriority w:val="99"/>
    <w:unhideWhenUsed/>
    <w:rPr>
      <w:sz w:val="16"/>
      <w:szCs w:val="16"/>
    </w:rPr>
  </w:style>
  <w:style w:type="character" w:styleId="ae">
    <w:name w:val="Hyperlink"/>
    <w:basedOn w:val="a0"/>
    <w:uiPriority w:val="99"/>
    <w:unhideWhenUsed/>
    <w:rPr>
      <w:color w:val="0563C1" w:themeColor="hyperlink"/>
      <w:u w:val="single"/>
    </w:rPr>
  </w:style>
  <w:style w:type="character" w:customStyle="1" w:styleId="10">
    <w:name w:val="标题 1 字符"/>
    <w:basedOn w:val="a0"/>
    <w:link w:val="1"/>
    <w:uiPriority w:val="9"/>
    <w:rPr>
      <w:rFonts w:ascii="Times New Roman" w:eastAsiaTheme="majorEastAsia" w:hAnsi="Times New Roman" w:cstheme="majorBidi"/>
      <w:b/>
      <w:sz w:val="24"/>
      <w:szCs w:val="32"/>
    </w:rPr>
  </w:style>
  <w:style w:type="character" w:customStyle="1" w:styleId="20">
    <w:name w:val="标题 2 字符"/>
    <w:basedOn w:val="a0"/>
    <w:link w:val="2"/>
    <w:uiPriority w:val="9"/>
    <w:rPr>
      <w:rFonts w:ascii="Times New Roman" w:eastAsiaTheme="majorEastAsia" w:hAnsi="Times New Roman" w:cstheme="majorBidi"/>
      <w:b/>
      <w:sz w:val="24"/>
      <w:szCs w:val="26"/>
    </w:rPr>
  </w:style>
  <w:style w:type="character" w:customStyle="1" w:styleId="30">
    <w:name w:val="标题 3 字符"/>
    <w:basedOn w:val="a0"/>
    <w:link w:val="3"/>
    <w:uiPriority w:val="9"/>
    <w:semiHidden/>
    <w:rPr>
      <w:rFonts w:asciiTheme="majorHAnsi" w:eastAsiaTheme="majorEastAsia" w:hAnsiTheme="majorHAnsi" w:cstheme="majorBidi"/>
      <w:color w:val="1F4E79" w:themeColor="accent1" w:themeShade="80"/>
      <w:sz w:val="24"/>
      <w:szCs w:val="24"/>
    </w:rPr>
  </w:style>
  <w:style w:type="character" w:customStyle="1" w:styleId="40">
    <w:name w:val="标题 4 字符"/>
    <w:basedOn w:val="a0"/>
    <w:link w:val="4"/>
    <w:uiPriority w:val="9"/>
    <w:semiHidden/>
    <w:rPr>
      <w:rFonts w:asciiTheme="majorHAnsi" w:eastAsiaTheme="majorEastAsia" w:hAnsiTheme="majorHAnsi" w:cstheme="majorBidi"/>
      <w:i/>
      <w:iCs/>
      <w:color w:val="2E74B5" w:themeColor="accent1" w:themeShade="BF"/>
      <w:sz w:val="24"/>
    </w:rPr>
  </w:style>
  <w:style w:type="character" w:customStyle="1" w:styleId="50">
    <w:name w:val="标题 5 字符"/>
    <w:basedOn w:val="a0"/>
    <w:link w:val="5"/>
    <w:uiPriority w:val="9"/>
    <w:semiHidden/>
    <w:rPr>
      <w:rFonts w:asciiTheme="majorHAnsi" w:eastAsiaTheme="majorEastAsia" w:hAnsiTheme="majorHAnsi" w:cstheme="majorBidi"/>
      <w:color w:val="2E74B5" w:themeColor="accent1" w:themeShade="BF"/>
      <w:sz w:val="24"/>
    </w:rPr>
  </w:style>
  <w:style w:type="character" w:customStyle="1" w:styleId="60">
    <w:name w:val="标题 6 字符"/>
    <w:basedOn w:val="a0"/>
    <w:link w:val="6"/>
    <w:uiPriority w:val="9"/>
    <w:semiHidden/>
    <w:rPr>
      <w:rFonts w:asciiTheme="majorHAnsi" w:eastAsiaTheme="majorEastAsia" w:hAnsiTheme="majorHAnsi" w:cstheme="majorBidi"/>
      <w:color w:val="1F4E79" w:themeColor="accent1" w:themeShade="80"/>
      <w:sz w:val="24"/>
    </w:rPr>
  </w:style>
  <w:style w:type="character" w:customStyle="1" w:styleId="70">
    <w:name w:val="标题 7 字符"/>
    <w:basedOn w:val="a0"/>
    <w:link w:val="7"/>
    <w:uiPriority w:val="9"/>
    <w:semiHidden/>
    <w:rPr>
      <w:rFonts w:asciiTheme="majorHAnsi" w:eastAsiaTheme="majorEastAsia" w:hAnsiTheme="majorHAnsi" w:cstheme="majorBidi"/>
      <w:i/>
      <w:iCs/>
      <w:color w:val="1F4E79" w:themeColor="accent1" w:themeShade="80"/>
      <w:sz w:val="24"/>
    </w:rPr>
  </w:style>
  <w:style w:type="character" w:customStyle="1" w:styleId="80">
    <w:name w:val="标题 8 字符"/>
    <w:basedOn w:val="a0"/>
    <w:link w:val="8"/>
    <w:uiPriority w:val="9"/>
    <w:semiHidden/>
    <w:rPr>
      <w:rFonts w:asciiTheme="majorHAnsi" w:eastAsiaTheme="majorEastAsia" w:hAnsiTheme="majorHAnsi" w:cstheme="majorBidi"/>
      <w:color w:val="262626" w:themeColor="text1" w:themeTint="D9"/>
      <w:sz w:val="21"/>
      <w:szCs w:val="21"/>
    </w:rPr>
  </w:style>
  <w:style w:type="character" w:customStyle="1" w:styleId="90">
    <w:name w:val="标题 9 字符"/>
    <w:basedOn w:val="a0"/>
    <w:link w:val="9"/>
    <w:uiPriority w:val="9"/>
    <w:semiHidden/>
    <w:rPr>
      <w:rFonts w:asciiTheme="majorHAnsi" w:eastAsiaTheme="majorEastAsia" w:hAnsiTheme="majorHAnsi" w:cstheme="majorBidi"/>
      <w:i/>
      <w:iCs/>
      <w:color w:val="262626" w:themeColor="text1" w:themeTint="D9"/>
      <w:sz w:val="21"/>
      <w:szCs w:val="21"/>
    </w:rPr>
  </w:style>
  <w:style w:type="character" w:customStyle="1" w:styleId="ac">
    <w:name w:val="页眉 字符"/>
    <w:basedOn w:val="a0"/>
    <w:link w:val="ab"/>
    <w:uiPriority w:val="99"/>
    <w:rPr>
      <w:rFonts w:ascii="Times New Roman" w:hAnsi="Times New Roman"/>
      <w:sz w:val="24"/>
    </w:rPr>
  </w:style>
  <w:style w:type="character" w:customStyle="1" w:styleId="aa">
    <w:name w:val="页脚 字符"/>
    <w:basedOn w:val="a0"/>
    <w:link w:val="a9"/>
    <w:uiPriority w:val="99"/>
    <w:rPr>
      <w:rFonts w:ascii="Times New Roman" w:hAnsi="Times New Roman"/>
      <w:sz w:val="24"/>
    </w:rPr>
  </w:style>
  <w:style w:type="character" w:customStyle="1" w:styleId="a6">
    <w:name w:val="批注文字 字符"/>
    <w:basedOn w:val="a0"/>
    <w:link w:val="a5"/>
    <w:uiPriority w:val="99"/>
    <w:semiHidden/>
    <w:rPr>
      <w:rFonts w:ascii="Times New Roman" w:hAnsi="Times New Roman"/>
      <w:sz w:val="20"/>
      <w:szCs w:val="20"/>
    </w:rPr>
  </w:style>
  <w:style w:type="character" w:customStyle="1" w:styleId="a8">
    <w:name w:val="批注主题 字符"/>
    <w:basedOn w:val="a6"/>
    <w:link w:val="a7"/>
    <w:uiPriority w:val="99"/>
    <w:semiHidden/>
    <w:rPr>
      <w:rFonts w:ascii="Times New Roman" w:hAnsi="Times New Roman"/>
      <w:b/>
      <w:bCs/>
      <w:sz w:val="20"/>
      <w:szCs w:val="20"/>
    </w:rPr>
  </w:style>
  <w:style w:type="character" w:customStyle="1" w:styleId="a4">
    <w:name w:val="批注框文本 字符"/>
    <w:basedOn w:val="a0"/>
    <w:link w:val="a3"/>
    <w:uiPriority w:val="99"/>
    <w:semiHidden/>
    <w:rPr>
      <w:rFonts w:ascii="Segoe UI" w:hAnsi="Segoe UI" w:cs="Segoe UI"/>
      <w:sz w:val="18"/>
      <w:szCs w:val="18"/>
    </w:rPr>
  </w:style>
  <w:style w:type="paragraph" w:styleId="af">
    <w:name w:val="No Spacing"/>
    <w:link w:val="af0"/>
    <w:uiPriority w:val="1"/>
    <w:qFormat/>
    <w:rsid w:val="00D8759D"/>
    <w:pPr>
      <w:spacing w:after="0" w:line="240" w:lineRule="auto"/>
    </w:pPr>
    <w:rPr>
      <w:rFonts w:asciiTheme="minorHAnsi" w:eastAsia="Microsoft YaHei UI" w:hAnsiTheme="minorHAnsi" w:cstheme="minorBidi"/>
      <w:sz w:val="22"/>
      <w:szCs w:val="22"/>
      <w:lang w:val="en-US"/>
    </w:rPr>
  </w:style>
  <w:style w:type="character" w:customStyle="1" w:styleId="af0">
    <w:name w:val="无间隔 字符"/>
    <w:basedOn w:val="a0"/>
    <w:link w:val="af"/>
    <w:uiPriority w:val="1"/>
    <w:rsid w:val="00D8759D"/>
    <w:rPr>
      <w:rFonts w:asciiTheme="minorHAnsi" w:eastAsia="Microsoft YaHei UI"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09CB94D-C272-7147-B1CF-DCD0EA4AA7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3248</Words>
  <Characters>18518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 (BMBM6021)</dc:title>
  <dc:creator>Karmen Pang Kar Man</dc:creator>
  <cp:lastModifiedBy>Huijie Han (2304054)</cp:lastModifiedBy>
  <cp:revision>3</cp:revision>
  <dcterms:created xsi:type="dcterms:W3CDTF">2024-01-09T19:00:00Z</dcterms:created>
  <dcterms:modified xsi:type="dcterms:W3CDTF">2024-01-09T19:04:00Z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56D7C10602F301E680EA97654A55D934_32</vt:lpwstr>
  </property>
  <property fmtid="{D5CDD505-2E9C-101B-9397-08002B2CF9AE}" pid="3" name="KSOProductBuildVer">
    <vt:lpwstr>3081-11.33.70</vt:lpwstr>
  </property>
</Properties>
</file>