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A2E6A" w14:textId="77777777" w:rsidR="001D6D79" w:rsidRDefault="00000000">
      <w:pPr>
        <w:pStyle w:val="Title"/>
      </w:pPr>
      <w:r>
        <w:t>FinSure Bank (FSB)</w:t>
      </w:r>
    </w:p>
    <w:p w14:paraId="5F436203" w14:textId="77777777" w:rsidR="001D6D79" w:rsidRDefault="00000000">
      <w:pPr>
        <w:pStyle w:val="Heading1"/>
      </w:pPr>
      <w:r>
        <w:t>Compliance &amp; Framework Integration Mapping Matrix</w:t>
      </w:r>
    </w:p>
    <w:p w14:paraId="3713EE33" w14:textId="77777777" w:rsidR="001D6D79" w:rsidRDefault="00000000">
      <w:r>
        <w:t>Version 1.0 | Classification: INTERNAL | April 2026</w:t>
      </w:r>
    </w:p>
    <w:p w14:paraId="12A5DD97" w14:textId="77777777" w:rsidR="001D6D79" w:rsidRDefault="001D6D79"/>
    <w:p w14:paraId="0032B324" w14:textId="77777777" w:rsidR="001D6D79" w:rsidRDefault="00000000">
      <w:pPr>
        <w:pStyle w:val="Heading2"/>
      </w:pPr>
      <w:r>
        <w:t>1. Purpose</w:t>
      </w:r>
    </w:p>
    <w:p w14:paraId="340F11EB" w14:textId="77777777" w:rsidR="001D6D79" w:rsidRDefault="00000000">
      <w:r>
        <w:t>This document provides a detailed mapping between FSB’s regulatory obligations (GDPR, PSD2, DORA, FCA SYSC 8), the adopted security frameworks (ISO 27001, NIST CSF 2.0, COBIT 2019, ITIL 4, SABSA, CSA STAR), and the specific technical controls deployed in the FSB architecture. This mapping demonstrates traceability from business/regulatory requirements through to operational implementation, supporting both internal audit and external regulatory review.</w:t>
      </w:r>
    </w:p>
    <w:p w14:paraId="412F33CC" w14:textId="77777777" w:rsidR="001D6D79" w:rsidRDefault="00000000">
      <w:pPr>
        <w:pStyle w:val="Heading2"/>
      </w:pPr>
      <w:r>
        <w:t>2. Regulatory-to-Framework Mapping</w:t>
      </w:r>
    </w:p>
    <w:tbl>
      <w:tblPr>
        <w:tblStyle w:val="TableGrid"/>
        <w:tblW w:w="0" w:type="auto"/>
        <w:jc w:val="center"/>
        <w:tblLook w:val="04A0" w:firstRow="1" w:lastRow="0" w:firstColumn="1" w:lastColumn="0" w:noHBand="0" w:noVBand="1"/>
      </w:tblPr>
      <w:tblGrid>
        <w:gridCol w:w="2158"/>
        <w:gridCol w:w="2157"/>
        <w:gridCol w:w="2157"/>
        <w:gridCol w:w="2158"/>
      </w:tblGrid>
      <w:tr w:rsidR="001D6D79" w14:paraId="0F9A47B9" w14:textId="77777777">
        <w:trPr>
          <w:jc w:val="center"/>
        </w:trPr>
        <w:tc>
          <w:tcPr>
            <w:tcW w:w="2160" w:type="dxa"/>
            <w:shd w:val="clear" w:color="auto" w:fill="2E4057"/>
          </w:tcPr>
          <w:p w14:paraId="4AE2EFA7" w14:textId="77777777" w:rsidR="001D6D79" w:rsidRDefault="00000000">
            <w:pPr>
              <w:jc w:val="center"/>
            </w:pPr>
            <w:r>
              <w:rPr>
                <w:b/>
                <w:color w:val="FFFFFF"/>
                <w:sz w:val="18"/>
              </w:rPr>
              <w:t>Regulatory Requirement</w:t>
            </w:r>
          </w:p>
        </w:tc>
        <w:tc>
          <w:tcPr>
            <w:tcW w:w="2160" w:type="dxa"/>
            <w:shd w:val="clear" w:color="auto" w:fill="2E4057"/>
          </w:tcPr>
          <w:p w14:paraId="7F10ABA3" w14:textId="77777777" w:rsidR="001D6D79" w:rsidRDefault="00000000">
            <w:pPr>
              <w:jc w:val="center"/>
            </w:pPr>
            <w:r>
              <w:rPr>
                <w:b/>
                <w:color w:val="FFFFFF"/>
                <w:sz w:val="18"/>
              </w:rPr>
              <w:t>ISO 27001 Control</w:t>
            </w:r>
          </w:p>
        </w:tc>
        <w:tc>
          <w:tcPr>
            <w:tcW w:w="2160" w:type="dxa"/>
            <w:shd w:val="clear" w:color="auto" w:fill="2E4057"/>
          </w:tcPr>
          <w:p w14:paraId="3D95817A" w14:textId="77777777" w:rsidR="001D6D79" w:rsidRDefault="00000000">
            <w:pPr>
              <w:jc w:val="center"/>
            </w:pPr>
            <w:r>
              <w:rPr>
                <w:b/>
                <w:color w:val="FFFFFF"/>
                <w:sz w:val="18"/>
              </w:rPr>
              <w:t>NIST CSF Function</w:t>
            </w:r>
          </w:p>
        </w:tc>
        <w:tc>
          <w:tcPr>
            <w:tcW w:w="2160" w:type="dxa"/>
            <w:shd w:val="clear" w:color="auto" w:fill="2E4057"/>
          </w:tcPr>
          <w:p w14:paraId="2B950980" w14:textId="77777777" w:rsidR="001D6D79" w:rsidRDefault="00000000">
            <w:pPr>
              <w:jc w:val="center"/>
            </w:pPr>
            <w:r>
              <w:rPr>
                <w:b/>
                <w:color w:val="FFFFFF"/>
                <w:sz w:val="18"/>
              </w:rPr>
              <w:t>FSB Implementation</w:t>
            </w:r>
          </w:p>
        </w:tc>
      </w:tr>
      <w:tr w:rsidR="001D6D79" w14:paraId="122DD891" w14:textId="77777777">
        <w:trPr>
          <w:jc w:val="center"/>
        </w:trPr>
        <w:tc>
          <w:tcPr>
            <w:tcW w:w="2160" w:type="dxa"/>
            <w:shd w:val="clear" w:color="auto" w:fill="F0F4F8"/>
          </w:tcPr>
          <w:p w14:paraId="2CBE3DFA" w14:textId="77777777" w:rsidR="001D6D79" w:rsidRDefault="00000000">
            <w:r>
              <w:rPr>
                <w:sz w:val="18"/>
              </w:rPr>
              <w:t>GDPR Art. 25 (Privacy by Design)</w:t>
            </w:r>
          </w:p>
        </w:tc>
        <w:tc>
          <w:tcPr>
            <w:tcW w:w="2160" w:type="dxa"/>
            <w:shd w:val="clear" w:color="auto" w:fill="F0F4F8"/>
          </w:tcPr>
          <w:p w14:paraId="195C7B63" w14:textId="77777777" w:rsidR="001D6D79" w:rsidRDefault="00000000">
            <w:r>
              <w:rPr>
                <w:sz w:val="18"/>
              </w:rPr>
              <w:t>ISO 27001 A.8.11</w:t>
            </w:r>
          </w:p>
        </w:tc>
        <w:tc>
          <w:tcPr>
            <w:tcW w:w="2160" w:type="dxa"/>
            <w:shd w:val="clear" w:color="auto" w:fill="F0F4F8"/>
          </w:tcPr>
          <w:p w14:paraId="0BF63718" w14:textId="77777777" w:rsidR="001D6D79" w:rsidRDefault="00000000">
            <w:r>
              <w:rPr>
                <w:sz w:val="18"/>
              </w:rPr>
              <w:t>NIST PR.DS</w:t>
            </w:r>
          </w:p>
        </w:tc>
        <w:tc>
          <w:tcPr>
            <w:tcW w:w="2160" w:type="dxa"/>
            <w:shd w:val="clear" w:color="auto" w:fill="F0F4F8"/>
          </w:tcPr>
          <w:p w14:paraId="7FAC5B0C" w14:textId="77777777" w:rsidR="001D6D79" w:rsidRDefault="00000000">
            <w:r>
              <w:rPr>
                <w:sz w:val="18"/>
              </w:rPr>
              <w:t>AES-256 encryption; DLP classification; data minimisation</w:t>
            </w:r>
          </w:p>
        </w:tc>
      </w:tr>
      <w:tr w:rsidR="001D6D79" w14:paraId="61945C6D" w14:textId="77777777">
        <w:trPr>
          <w:jc w:val="center"/>
        </w:trPr>
        <w:tc>
          <w:tcPr>
            <w:tcW w:w="2160" w:type="dxa"/>
          </w:tcPr>
          <w:p w14:paraId="03D9FA3C" w14:textId="77777777" w:rsidR="001D6D79" w:rsidRDefault="00000000">
            <w:r>
              <w:rPr>
                <w:sz w:val="18"/>
              </w:rPr>
              <w:t>GDPR Art. 32 (Security of Processing)</w:t>
            </w:r>
          </w:p>
        </w:tc>
        <w:tc>
          <w:tcPr>
            <w:tcW w:w="2160" w:type="dxa"/>
          </w:tcPr>
          <w:p w14:paraId="5C61952E" w14:textId="77777777" w:rsidR="001D6D79" w:rsidRDefault="00000000">
            <w:r>
              <w:rPr>
                <w:sz w:val="18"/>
              </w:rPr>
              <w:t>ISO 27001 A.8.24</w:t>
            </w:r>
          </w:p>
        </w:tc>
        <w:tc>
          <w:tcPr>
            <w:tcW w:w="2160" w:type="dxa"/>
          </w:tcPr>
          <w:p w14:paraId="26A4E732" w14:textId="77777777" w:rsidR="001D6D79" w:rsidRDefault="00000000">
            <w:r>
              <w:rPr>
                <w:sz w:val="18"/>
              </w:rPr>
              <w:t>NIST PR.IP</w:t>
            </w:r>
          </w:p>
        </w:tc>
        <w:tc>
          <w:tcPr>
            <w:tcW w:w="2160" w:type="dxa"/>
          </w:tcPr>
          <w:p w14:paraId="1F4628B5" w14:textId="77777777" w:rsidR="001D6D79" w:rsidRDefault="00000000">
            <w:r>
              <w:rPr>
                <w:sz w:val="18"/>
              </w:rPr>
              <w:t>Encryption at rest/transit; access controls; regular testing</w:t>
            </w:r>
          </w:p>
        </w:tc>
      </w:tr>
      <w:tr w:rsidR="001D6D79" w14:paraId="2A31ED21" w14:textId="77777777">
        <w:trPr>
          <w:jc w:val="center"/>
        </w:trPr>
        <w:tc>
          <w:tcPr>
            <w:tcW w:w="2160" w:type="dxa"/>
            <w:shd w:val="clear" w:color="auto" w:fill="F0F4F8"/>
          </w:tcPr>
          <w:p w14:paraId="13AAB60A" w14:textId="77777777" w:rsidR="001D6D79" w:rsidRDefault="00000000">
            <w:r>
              <w:rPr>
                <w:sz w:val="18"/>
              </w:rPr>
              <w:t>GDPR Art. 33 (Breach Notification)</w:t>
            </w:r>
          </w:p>
        </w:tc>
        <w:tc>
          <w:tcPr>
            <w:tcW w:w="2160" w:type="dxa"/>
            <w:shd w:val="clear" w:color="auto" w:fill="F0F4F8"/>
          </w:tcPr>
          <w:p w14:paraId="17165B74" w14:textId="77777777" w:rsidR="001D6D79" w:rsidRDefault="00000000">
            <w:r>
              <w:rPr>
                <w:sz w:val="18"/>
              </w:rPr>
              <w:t>ISO 27001 A.5.24–5.28</w:t>
            </w:r>
          </w:p>
        </w:tc>
        <w:tc>
          <w:tcPr>
            <w:tcW w:w="2160" w:type="dxa"/>
            <w:shd w:val="clear" w:color="auto" w:fill="F0F4F8"/>
          </w:tcPr>
          <w:p w14:paraId="4FBF1EFF" w14:textId="77777777" w:rsidR="001D6D79" w:rsidRDefault="00000000">
            <w:r>
              <w:rPr>
                <w:sz w:val="18"/>
              </w:rPr>
              <w:t>NIST RS.CO</w:t>
            </w:r>
          </w:p>
        </w:tc>
        <w:tc>
          <w:tcPr>
            <w:tcW w:w="2160" w:type="dxa"/>
            <w:shd w:val="clear" w:color="auto" w:fill="F0F4F8"/>
          </w:tcPr>
          <w:p w14:paraId="7214FCC4" w14:textId="77777777" w:rsidR="001D6D79" w:rsidRDefault="00000000">
            <w:r>
              <w:rPr>
                <w:sz w:val="18"/>
              </w:rPr>
              <w:t>Automated 72-hour notification workflow; SOC escalation</w:t>
            </w:r>
          </w:p>
        </w:tc>
      </w:tr>
      <w:tr w:rsidR="001D6D79" w14:paraId="00534723" w14:textId="77777777">
        <w:trPr>
          <w:jc w:val="center"/>
        </w:trPr>
        <w:tc>
          <w:tcPr>
            <w:tcW w:w="2160" w:type="dxa"/>
          </w:tcPr>
          <w:p w14:paraId="5862E37A" w14:textId="77777777" w:rsidR="001D6D79" w:rsidRDefault="00000000">
            <w:r>
              <w:rPr>
                <w:sz w:val="18"/>
              </w:rPr>
              <w:t>PSD2 SCA Requirements</w:t>
            </w:r>
          </w:p>
        </w:tc>
        <w:tc>
          <w:tcPr>
            <w:tcW w:w="2160" w:type="dxa"/>
          </w:tcPr>
          <w:p w14:paraId="64BDAD03" w14:textId="77777777" w:rsidR="001D6D79" w:rsidRDefault="00000000">
            <w:r>
              <w:rPr>
                <w:sz w:val="18"/>
              </w:rPr>
              <w:t>ISO 27001 A.8.5</w:t>
            </w:r>
          </w:p>
        </w:tc>
        <w:tc>
          <w:tcPr>
            <w:tcW w:w="2160" w:type="dxa"/>
          </w:tcPr>
          <w:p w14:paraId="5BA3494B" w14:textId="77777777" w:rsidR="001D6D79" w:rsidRDefault="00000000">
            <w:r>
              <w:rPr>
                <w:sz w:val="18"/>
              </w:rPr>
              <w:t>NIST PR.AC</w:t>
            </w:r>
          </w:p>
        </w:tc>
        <w:tc>
          <w:tcPr>
            <w:tcW w:w="2160" w:type="dxa"/>
          </w:tcPr>
          <w:p w14:paraId="223FB018" w14:textId="77777777" w:rsidR="001D6D79" w:rsidRDefault="00000000">
            <w:r>
              <w:rPr>
                <w:sz w:val="18"/>
              </w:rPr>
              <w:t>Risk-based MFA; FIDO2 keys; adaptive authentication</w:t>
            </w:r>
          </w:p>
        </w:tc>
      </w:tr>
      <w:tr w:rsidR="001D6D79" w14:paraId="4A2C1823" w14:textId="77777777">
        <w:trPr>
          <w:jc w:val="center"/>
        </w:trPr>
        <w:tc>
          <w:tcPr>
            <w:tcW w:w="2160" w:type="dxa"/>
            <w:shd w:val="clear" w:color="auto" w:fill="F0F4F8"/>
          </w:tcPr>
          <w:p w14:paraId="15DCC8F5" w14:textId="77777777" w:rsidR="001D6D79" w:rsidRDefault="00000000">
            <w:r>
              <w:rPr>
                <w:sz w:val="18"/>
              </w:rPr>
              <w:t>PSD2 Open Banking APIs</w:t>
            </w:r>
          </w:p>
        </w:tc>
        <w:tc>
          <w:tcPr>
            <w:tcW w:w="2160" w:type="dxa"/>
            <w:shd w:val="clear" w:color="auto" w:fill="F0F4F8"/>
          </w:tcPr>
          <w:p w14:paraId="52161E2B" w14:textId="77777777" w:rsidR="001D6D79" w:rsidRDefault="00000000">
            <w:r>
              <w:rPr>
                <w:sz w:val="18"/>
              </w:rPr>
              <w:t>ISO 27001 A.8.26</w:t>
            </w:r>
          </w:p>
        </w:tc>
        <w:tc>
          <w:tcPr>
            <w:tcW w:w="2160" w:type="dxa"/>
            <w:shd w:val="clear" w:color="auto" w:fill="F0F4F8"/>
          </w:tcPr>
          <w:p w14:paraId="3590448D" w14:textId="77777777" w:rsidR="001D6D79" w:rsidRDefault="00000000">
            <w:r>
              <w:rPr>
                <w:sz w:val="18"/>
              </w:rPr>
              <w:t>NIST PR.DS</w:t>
            </w:r>
          </w:p>
        </w:tc>
        <w:tc>
          <w:tcPr>
            <w:tcW w:w="2160" w:type="dxa"/>
            <w:shd w:val="clear" w:color="auto" w:fill="F0F4F8"/>
          </w:tcPr>
          <w:p w14:paraId="7AA2949C" w14:textId="77777777" w:rsidR="001D6D79" w:rsidRDefault="00000000">
            <w:r>
              <w:rPr>
                <w:sz w:val="18"/>
              </w:rPr>
              <w:t>API gateways; rate limiting; mutual TLS; OAuth 2.0</w:t>
            </w:r>
          </w:p>
        </w:tc>
      </w:tr>
      <w:tr w:rsidR="001D6D79" w14:paraId="564701A7" w14:textId="77777777">
        <w:trPr>
          <w:jc w:val="center"/>
        </w:trPr>
        <w:tc>
          <w:tcPr>
            <w:tcW w:w="2160" w:type="dxa"/>
          </w:tcPr>
          <w:p w14:paraId="18A6CD1C" w14:textId="77777777" w:rsidR="001D6D79" w:rsidRDefault="00000000">
            <w:r>
              <w:rPr>
                <w:sz w:val="18"/>
              </w:rPr>
              <w:t>DORA Art. 5–7 (ICT Risk Mgmt)</w:t>
            </w:r>
          </w:p>
        </w:tc>
        <w:tc>
          <w:tcPr>
            <w:tcW w:w="2160" w:type="dxa"/>
          </w:tcPr>
          <w:p w14:paraId="52176F35" w14:textId="77777777" w:rsidR="001D6D79" w:rsidRDefault="00000000">
            <w:r>
              <w:rPr>
                <w:sz w:val="18"/>
              </w:rPr>
              <w:t>ISO 27001 A.5.1–5.4</w:t>
            </w:r>
          </w:p>
        </w:tc>
        <w:tc>
          <w:tcPr>
            <w:tcW w:w="2160" w:type="dxa"/>
          </w:tcPr>
          <w:p w14:paraId="68121B65" w14:textId="77777777" w:rsidR="001D6D79" w:rsidRDefault="00000000">
            <w:r>
              <w:rPr>
                <w:sz w:val="18"/>
              </w:rPr>
              <w:t>NIST ID.RA, GV</w:t>
            </w:r>
          </w:p>
        </w:tc>
        <w:tc>
          <w:tcPr>
            <w:tcW w:w="2160" w:type="dxa"/>
          </w:tcPr>
          <w:p w14:paraId="19B1D50D" w14:textId="77777777" w:rsidR="001D6D79" w:rsidRDefault="00000000">
            <w:r>
              <w:rPr>
                <w:sz w:val="18"/>
              </w:rPr>
              <w:t>IGSF governance; Three Lines Model; risk register</w:t>
            </w:r>
          </w:p>
        </w:tc>
      </w:tr>
      <w:tr w:rsidR="001D6D79" w14:paraId="3EC8317F" w14:textId="77777777">
        <w:trPr>
          <w:jc w:val="center"/>
        </w:trPr>
        <w:tc>
          <w:tcPr>
            <w:tcW w:w="2160" w:type="dxa"/>
            <w:shd w:val="clear" w:color="auto" w:fill="F0F4F8"/>
          </w:tcPr>
          <w:p w14:paraId="7D174AC4" w14:textId="77777777" w:rsidR="001D6D79" w:rsidRDefault="00000000">
            <w:r>
              <w:rPr>
                <w:sz w:val="18"/>
              </w:rPr>
              <w:lastRenderedPageBreak/>
              <w:t>DORA Art. 11–14 (BCP/DRP)</w:t>
            </w:r>
          </w:p>
        </w:tc>
        <w:tc>
          <w:tcPr>
            <w:tcW w:w="2160" w:type="dxa"/>
            <w:shd w:val="clear" w:color="auto" w:fill="F0F4F8"/>
          </w:tcPr>
          <w:p w14:paraId="019C3F03" w14:textId="77777777" w:rsidR="001D6D79" w:rsidRDefault="00000000">
            <w:r>
              <w:rPr>
                <w:sz w:val="18"/>
              </w:rPr>
              <w:t>ISO 27001 A.5.29–5.30</w:t>
            </w:r>
          </w:p>
        </w:tc>
        <w:tc>
          <w:tcPr>
            <w:tcW w:w="2160" w:type="dxa"/>
            <w:shd w:val="clear" w:color="auto" w:fill="F0F4F8"/>
          </w:tcPr>
          <w:p w14:paraId="622A08AA" w14:textId="77777777" w:rsidR="001D6D79" w:rsidRDefault="00000000">
            <w:r>
              <w:rPr>
                <w:sz w:val="18"/>
              </w:rPr>
              <w:t>NIST RC.RP</w:t>
            </w:r>
          </w:p>
        </w:tc>
        <w:tc>
          <w:tcPr>
            <w:tcW w:w="2160" w:type="dxa"/>
            <w:shd w:val="clear" w:color="auto" w:fill="F0F4F8"/>
          </w:tcPr>
          <w:p w14:paraId="019B52E8" w14:textId="77777777" w:rsidR="001D6D79" w:rsidRDefault="00000000">
            <w:r>
              <w:rPr>
                <w:sz w:val="18"/>
              </w:rPr>
              <w:t>RTO/RPO targets; geo-dispersed replication; annual testing</w:t>
            </w:r>
          </w:p>
        </w:tc>
      </w:tr>
      <w:tr w:rsidR="001D6D79" w14:paraId="1AD485EF" w14:textId="77777777">
        <w:trPr>
          <w:jc w:val="center"/>
        </w:trPr>
        <w:tc>
          <w:tcPr>
            <w:tcW w:w="2160" w:type="dxa"/>
          </w:tcPr>
          <w:p w14:paraId="211FBD37" w14:textId="77777777" w:rsidR="001D6D79" w:rsidRDefault="00000000">
            <w:r>
              <w:rPr>
                <w:sz w:val="18"/>
              </w:rPr>
              <w:t>DORA Art. 19–23 (Incident Reporting)</w:t>
            </w:r>
          </w:p>
        </w:tc>
        <w:tc>
          <w:tcPr>
            <w:tcW w:w="2160" w:type="dxa"/>
          </w:tcPr>
          <w:p w14:paraId="59AAB162" w14:textId="77777777" w:rsidR="001D6D79" w:rsidRDefault="00000000">
            <w:r>
              <w:rPr>
                <w:sz w:val="18"/>
              </w:rPr>
              <w:t>ISO 27001 A.5.24–5.28</w:t>
            </w:r>
          </w:p>
        </w:tc>
        <w:tc>
          <w:tcPr>
            <w:tcW w:w="2160" w:type="dxa"/>
          </w:tcPr>
          <w:p w14:paraId="0463E49B" w14:textId="77777777" w:rsidR="001D6D79" w:rsidRDefault="00000000">
            <w:r>
              <w:rPr>
                <w:sz w:val="18"/>
              </w:rPr>
              <w:t>NIST RS.CO, RS.AN</w:t>
            </w:r>
          </w:p>
        </w:tc>
        <w:tc>
          <w:tcPr>
            <w:tcW w:w="2160" w:type="dxa"/>
          </w:tcPr>
          <w:p w14:paraId="0745C649" w14:textId="77777777" w:rsidR="001D6D79" w:rsidRDefault="00000000">
            <w:r>
              <w:rPr>
                <w:sz w:val="18"/>
              </w:rPr>
              <w:t>SIEM integration; automated regulatory report generation</w:t>
            </w:r>
          </w:p>
        </w:tc>
      </w:tr>
      <w:tr w:rsidR="001D6D79" w14:paraId="41604E24" w14:textId="77777777">
        <w:trPr>
          <w:jc w:val="center"/>
        </w:trPr>
        <w:tc>
          <w:tcPr>
            <w:tcW w:w="2160" w:type="dxa"/>
            <w:shd w:val="clear" w:color="auto" w:fill="F0F4F8"/>
          </w:tcPr>
          <w:p w14:paraId="6622EA21" w14:textId="77777777" w:rsidR="001D6D79" w:rsidRDefault="00000000">
            <w:r>
              <w:rPr>
                <w:sz w:val="18"/>
              </w:rPr>
              <w:t>DORA Art. 26–27 (TLPT)</w:t>
            </w:r>
          </w:p>
        </w:tc>
        <w:tc>
          <w:tcPr>
            <w:tcW w:w="2160" w:type="dxa"/>
            <w:shd w:val="clear" w:color="auto" w:fill="F0F4F8"/>
          </w:tcPr>
          <w:p w14:paraId="647CD8B1" w14:textId="77777777" w:rsidR="001D6D79" w:rsidRDefault="00000000">
            <w:r>
              <w:rPr>
                <w:sz w:val="18"/>
              </w:rPr>
              <w:t>ISO 27001 A.8.8</w:t>
            </w:r>
          </w:p>
        </w:tc>
        <w:tc>
          <w:tcPr>
            <w:tcW w:w="2160" w:type="dxa"/>
            <w:shd w:val="clear" w:color="auto" w:fill="F0F4F8"/>
          </w:tcPr>
          <w:p w14:paraId="2491DCF0" w14:textId="77777777" w:rsidR="001D6D79" w:rsidRDefault="00000000">
            <w:r>
              <w:rPr>
                <w:sz w:val="18"/>
              </w:rPr>
              <w:t>NIST DE.DP</w:t>
            </w:r>
          </w:p>
        </w:tc>
        <w:tc>
          <w:tcPr>
            <w:tcW w:w="2160" w:type="dxa"/>
            <w:shd w:val="clear" w:color="auto" w:fill="F0F4F8"/>
          </w:tcPr>
          <w:p w14:paraId="0AD5A67A" w14:textId="77777777" w:rsidR="001D6D79" w:rsidRDefault="00000000">
            <w:r>
              <w:rPr>
                <w:sz w:val="18"/>
              </w:rPr>
              <w:t>Annual threat-led penetration testing; red team exercises</w:t>
            </w:r>
          </w:p>
        </w:tc>
      </w:tr>
      <w:tr w:rsidR="001D6D79" w14:paraId="75853F82" w14:textId="77777777">
        <w:trPr>
          <w:jc w:val="center"/>
        </w:trPr>
        <w:tc>
          <w:tcPr>
            <w:tcW w:w="2160" w:type="dxa"/>
          </w:tcPr>
          <w:p w14:paraId="26A2A148" w14:textId="77777777" w:rsidR="001D6D79" w:rsidRDefault="00000000">
            <w:r>
              <w:rPr>
                <w:sz w:val="18"/>
              </w:rPr>
              <w:t>DORA Art. 28–30 (Third-Party Risk)</w:t>
            </w:r>
          </w:p>
        </w:tc>
        <w:tc>
          <w:tcPr>
            <w:tcW w:w="2160" w:type="dxa"/>
          </w:tcPr>
          <w:p w14:paraId="481217B4" w14:textId="77777777" w:rsidR="001D6D79" w:rsidRDefault="00000000">
            <w:r>
              <w:rPr>
                <w:sz w:val="18"/>
              </w:rPr>
              <w:t>ISO 27001 A.5.19–5.23</w:t>
            </w:r>
          </w:p>
        </w:tc>
        <w:tc>
          <w:tcPr>
            <w:tcW w:w="2160" w:type="dxa"/>
          </w:tcPr>
          <w:p w14:paraId="79243858" w14:textId="77777777" w:rsidR="001D6D79" w:rsidRDefault="00000000">
            <w:r>
              <w:rPr>
                <w:sz w:val="18"/>
              </w:rPr>
              <w:t>NIST ID.SC</w:t>
            </w:r>
          </w:p>
        </w:tc>
        <w:tc>
          <w:tcPr>
            <w:tcW w:w="2160" w:type="dxa"/>
          </w:tcPr>
          <w:p w14:paraId="7D926DA5" w14:textId="77777777" w:rsidR="001D6D79" w:rsidRDefault="00000000">
            <w:r>
              <w:rPr>
                <w:sz w:val="18"/>
              </w:rPr>
              <w:t>Vendor due diligence; SLA enforcement; exit strategies</w:t>
            </w:r>
          </w:p>
        </w:tc>
      </w:tr>
      <w:tr w:rsidR="001D6D79" w14:paraId="6C43C857" w14:textId="77777777">
        <w:trPr>
          <w:jc w:val="center"/>
        </w:trPr>
        <w:tc>
          <w:tcPr>
            <w:tcW w:w="2160" w:type="dxa"/>
            <w:shd w:val="clear" w:color="auto" w:fill="F0F4F8"/>
          </w:tcPr>
          <w:p w14:paraId="13E26613" w14:textId="77777777" w:rsidR="001D6D79" w:rsidRDefault="00000000">
            <w:r>
              <w:rPr>
                <w:sz w:val="18"/>
              </w:rPr>
              <w:t>FCA SYSC 8 (Cloud Outsourcing)</w:t>
            </w:r>
          </w:p>
        </w:tc>
        <w:tc>
          <w:tcPr>
            <w:tcW w:w="2160" w:type="dxa"/>
            <w:shd w:val="clear" w:color="auto" w:fill="F0F4F8"/>
          </w:tcPr>
          <w:p w14:paraId="6F72A684" w14:textId="77777777" w:rsidR="001D6D79" w:rsidRDefault="00000000">
            <w:r>
              <w:rPr>
                <w:sz w:val="18"/>
              </w:rPr>
              <w:t>ISO 27001 A.5.19–5.22</w:t>
            </w:r>
          </w:p>
        </w:tc>
        <w:tc>
          <w:tcPr>
            <w:tcW w:w="2160" w:type="dxa"/>
            <w:shd w:val="clear" w:color="auto" w:fill="F0F4F8"/>
          </w:tcPr>
          <w:p w14:paraId="1C6AF7F6" w14:textId="77777777" w:rsidR="001D6D79" w:rsidRDefault="00000000">
            <w:r>
              <w:rPr>
                <w:sz w:val="18"/>
              </w:rPr>
              <w:t>NIST ID.SC</w:t>
            </w:r>
          </w:p>
        </w:tc>
        <w:tc>
          <w:tcPr>
            <w:tcW w:w="2160" w:type="dxa"/>
            <w:shd w:val="clear" w:color="auto" w:fill="F0F4F8"/>
          </w:tcPr>
          <w:p w14:paraId="4EB76252" w14:textId="77777777" w:rsidR="001D6D79" w:rsidRDefault="00000000">
            <w:r>
              <w:rPr>
                <w:sz w:val="18"/>
              </w:rPr>
              <w:t>Audit rights; data localisation; CSP exit planning</w:t>
            </w:r>
          </w:p>
        </w:tc>
      </w:tr>
    </w:tbl>
    <w:p w14:paraId="7F69A8AA" w14:textId="77777777" w:rsidR="001D6D79" w:rsidRDefault="001D6D79"/>
    <w:p w14:paraId="137873BA" w14:textId="77777777" w:rsidR="001D6D79" w:rsidRDefault="00000000">
      <w:pPr>
        <w:pStyle w:val="Heading2"/>
      </w:pPr>
      <w:r>
        <w:t>3. Framework Integration Points</w:t>
      </w:r>
    </w:p>
    <w:p w14:paraId="0EFC64B0" w14:textId="77777777" w:rsidR="001D6D79" w:rsidRDefault="00000000">
      <w:r>
        <w:t>The following matrix shows how the six adopted frameworks integrate at specific architectural decision points within the FSB security design:</w:t>
      </w:r>
    </w:p>
    <w:tbl>
      <w:tblPr>
        <w:tblStyle w:val="TableGrid"/>
        <w:tblW w:w="0" w:type="auto"/>
        <w:jc w:val="center"/>
        <w:tblLook w:val="04A0" w:firstRow="1" w:lastRow="0" w:firstColumn="1" w:lastColumn="0" w:noHBand="0" w:noVBand="1"/>
      </w:tblPr>
      <w:tblGrid>
        <w:gridCol w:w="1299"/>
        <w:gridCol w:w="1220"/>
        <w:gridCol w:w="1219"/>
        <w:gridCol w:w="1216"/>
        <w:gridCol w:w="1224"/>
        <w:gridCol w:w="1237"/>
        <w:gridCol w:w="1215"/>
      </w:tblGrid>
      <w:tr w:rsidR="001D6D79" w14:paraId="0C6FDD23" w14:textId="77777777">
        <w:trPr>
          <w:jc w:val="center"/>
        </w:trPr>
        <w:tc>
          <w:tcPr>
            <w:tcW w:w="1234" w:type="dxa"/>
            <w:shd w:val="clear" w:color="auto" w:fill="2E4057"/>
          </w:tcPr>
          <w:p w14:paraId="03AF7DAC" w14:textId="77777777" w:rsidR="001D6D79" w:rsidRDefault="00000000">
            <w:pPr>
              <w:jc w:val="center"/>
            </w:pPr>
            <w:r>
              <w:rPr>
                <w:b/>
                <w:color w:val="FFFFFF"/>
                <w:sz w:val="18"/>
              </w:rPr>
              <w:t>Decision Point</w:t>
            </w:r>
          </w:p>
        </w:tc>
        <w:tc>
          <w:tcPr>
            <w:tcW w:w="1234" w:type="dxa"/>
            <w:shd w:val="clear" w:color="auto" w:fill="2E4057"/>
          </w:tcPr>
          <w:p w14:paraId="7E74D8C4" w14:textId="77777777" w:rsidR="001D6D79" w:rsidRDefault="00000000">
            <w:pPr>
              <w:jc w:val="center"/>
            </w:pPr>
            <w:r>
              <w:rPr>
                <w:b/>
                <w:color w:val="FFFFFF"/>
                <w:sz w:val="18"/>
              </w:rPr>
              <w:t>ISO 27001</w:t>
            </w:r>
          </w:p>
        </w:tc>
        <w:tc>
          <w:tcPr>
            <w:tcW w:w="1234" w:type="dxa"/>
            <w:shd w:val="clear" w:color="auto" w:fill="2E4057"/>
          </w:tcPr>
          <w:p w14:paraId="63ACDAA0" w14:textId="77777777" w:rsidR="001D6D79" w:rsidRDefault="00000000">
            <w:pPr>
              <w:jc w:val="center"/>
            </w:pPr>
            <w:r>
              <w:rPr>
                <w:b/>
                <w:color w:val="FFFFFF"/>
                <w:sz w:val="18"/>
              </w:rPr>
              <w:t>NIST CSF 2.0</w:t>
            </w:r>
          </w:p>
        </w:tc>
        <w:tc>
          <w:tcPr>
            <w:tcW w:w="1234" w:type="dxa"/>
            <w:shd w:val="clear" w:color="auto" w:fill="2E4057"/>
          </w:tcPr>
          <w:p w14:paraId="794C1CE4" w14:textId="77777777" w:rsidR="001D6D79" w:rsidRDefault="00000000">
            <w:pPr>
              <w:jc w:val="center"/>
            </w:pPr>
            <w:r>
              <w:rPr>
                <w:b/>
                <w:color w:val="FFFFFF"/>
                <w:sz w:val="18"/>
              </w:rPr>
              <w:t>COBIT 2019</w:t>
            </w:r>
          </w:p>
        </w:tc>
        <w:tc>
          <w:tcPr>
            <w:tcW w:w="1234" w:type="dxa"/>
            <w:shd w:val="clear" w:color="auto" w:fill="2E4057"/>
          </w:tcPr>
          <w:p w14:paraId="77FD3ED3" w14:textId="77777777" w:rsidR="001D6D79" w:rsidRDefault="00000000">
            <w:pPr>
              <w:jc w:val="center"/>
            </w:pPr>
            <w:r>
              <w:rPr>
                <w:b/>
                <w:color w:val="FFFFFF"/>
                <w:sz w:val="18"/>
              </w:rPr>
              <w:t>ITIL 4</w:t>
            </w:r>
          </w:p>
        </w:tc>
        <w:tc>
          <w:tcPr>
            <w:tcW w:w="1234" w:type="dxa"/>
            <w:shd w:val="clear" w:color="auto" w:fill="2E4057"/>
          </w:tcPr>
          <w:p w14:paraId="4960295A" w14:textId="77777777" w:rsidR="001D6D79" w:rsidRDefault="00000000">
            <w:pPr>
              <w:jc w:val="center"/>
            </w:pPr>
            <w:r>
              <w:rPr>
                <w:b/>
                <w:color w:val="FFFFFF"/>
                <w:sz w:val="18"/>
              </w:rPr>
              <w:t>SABSA</w:t>
            </w:r>
          </w:p>
        </w:tc>
        <w:tc>
          <w:tcPr>
            <w:tcW w:w="1234" w:type="dxa"/>
            <w:shd w:val="clear" w:color="auto" w:fill="2E4057"/>
          </w:tcPr>
          <w:p w14:paraId="091F2F8D" w14:textId="77777777" w:rsidR="001D6D79" w:rsidRDefault="00000000">
            <w:pPr>
              <w:jc w:val="center"/>
            </w:pPr>
            <w:r>
              <w:rPr>
                <w:b/>
                <w:color w:val="FFFFFF"/>
                <w:sz w:val="18"/>
              </w:rPr>
              <w:t>CSA STAR</w:t>
            </w:r>
          </w:p>
        </w:tc>
      </w:tr>
      <w:tr w:rsidR="001D6D79" w14:paraId="7AFAF280" w14:textId="77777777">
        <w:trPr>
          <w:jc w:val="center"/>
        </w:trPr>
        <w:tc>
          <w:tcPr>
            <w:tcW w:w="1234" w:type="dxa"/>
            <w:shd w:val="clear" w:color="auto" w:fill="F0F4F8"/>
          </w:tcPr>
          <w:p w14:paraId="3A8341EF" w14:textId="77777777" w:rsidR="001D6D79" w:rsidRDefault="00000000">
            <w:r>
              <w:rPr>
                <w:sz w:val="18"/>
              </w:rPr>
              <w:t>Board Risk Appetite Setting</w:t>
            </w:r>
          </w:p>
        </w:tc>
        <w:tc>
          <w:tcPr>
            <w:tcW w:w="1234" w:type="dxa"/>
            <w:shd w:val="clear" w:color="auto" w:fill="F0F4F8"/>
          </w:tcPr>
          <w:p w14:paraId="58854CD5" w14:textId="77777777" w:rsidR="001D6D79" w:rsidRDefault="00000000">
            <w:r>
              <w:rPr>
                <w:rFonts w:ascii="Segoe UI Symbol" w:hAnsi="Segoe UI Symbol" w:cs="Segoe UI Symbol"/>
                <w:sz w:val="18"/>
              </w:rPr>
              <w:t>✓</w:t>
            </w:r>
          </w:p>
        </w:tc>
        <w:tc>
          <w:tcPr>
            <w:tcW w:w="1234" w:type="dxa"/>
            <w:shd w:val="clear" w:color="auto" w:fill="F0F4F8"/>
          </w:tcPr>
          <w:p w14:paraId="0CE16D82" w14:textId="77777777" w:rsidR="001D6D79" w:rsidRDefault="001D6D79"/>
        </w:tc>
        <w:tc>
          <w:tcPr>
            <w:tcW w:w="1234" w:type="dxa"/>
            <w:shd w:val="clear" w:color="auto" w:fill="F0F4F8"/>
          </w:tcPr>
          <w:p w14:paraId="3F32DDCE" w14:textId="77777777" w:rsidR="001D6D79" w:rsidRDefault="00000000">
            <w:r>
              <w:rPr>
                <w:rFonts w:ascii="Segoe UI Symbol" w:hAnsi="Segoe UI Symbol" w:cs="Segoe UI Symbol"/>
                <w:sz w:val="18"/>
              </w:rPr>
              <w:t>✓</w:t>
            </w:r>
          </w:p>
        </w:tc>
        <w:tc>
          <w:tcPr>
            <w:tcW w:w="1234" w:type="dxa"/>
            <w:shd w:val="clear" w:color="auto" w:fill="F0F4F8"/>
          </w:tcPr>
          <w:p w14:paraId="1D740FEA" w14:textId="77777777" w:rsidR="001D6D79" w:rsidRDefault="001D6D79"/>
        </w:tc>
        <w:tc>
          <w:tcPr>
            <w:tcW w:w="1234" w:type="dxa"/>
            <w:shd w:val="clear" w:color="auto" w:fill="F0F4F8"/>
          </w:tcPr>
          <w:p w14:paraId="089342F4" w14:textId="77777777" w:rsidR="001D6D79" w:rsidRDefault="00000000">
            <w:r>
              <w:rPr>
                <w:rFonts w:ascii="Segoe UI Symbol" w:hAnsi="Segoe UI Symbol" w:cs="Segoe UI Symbol"/>
                <w:sz w:val="18"/>
              </w:rPr>
              <w:t>✓</w:t>
            </w:r>
            <w:r>
              <w:rPr>
                <w:sz w:val="18"/>
              </w:rPr>
              <w:t xml:space="preserve"> (Contextual)</w:t>
            </w:r>
          </w:p>
        </w:tc>
        <w:tc>
          <w:tcPr>
            <w:tcW w:w="1234" w:type="dxa"/>
            <w:shd w:val="clear" w:color="auto" w:fill="F0F4F8"/>
          </w:tcPr>
          <w:p w14:paraId="147C2DEF" w14:textId="77777777" w:rsidR="001D6D79" w:rsidRDefault="001D6D79"/>
        </w:tc>
      </w:tr>
      <w:tr w:rsidR="001D6D79" w14:paraId="1D1792BD" w14:textId="77777777">
        <w:trPr>
          <w:jc w:val="center"/>
        </w:trPr>
        <w:tc>
          <w:tcPr>
            <w:tcW w:w="1234" w:type="dxa"/>
          </w:tcPr>
          <w:p w14:paraId="0836200D" w14:textId="77777777" w:rsidR="001D6D79" w:rsidRDefault="00000000">
            <w:r>
              <w:rPr>
                <w:sz w:val="18"/>
              </w:rPr>
              <w:t>Security Policy Development</w:t>
            </w:r>
          </w:p>
        </w:tc>
        <w:tc>
          <w:tcPr>
            <w:tcW w:w="1234" w:type="dxa"/>
          </w:tcPr>
          <w:p w14:paraId="1F783677" w14:textId="77777777" w:rsidR="001D6D79" w:rsidRDefault="00000000">
            <w:r>
              <w:rPr>
                <w:rFonts w:ascii="Segoe UI Symbol" w:hAnsi="Segoe UI Symbol" w:cs="Segoe UI Symbol"/>
                <w:sz w:val="18"/>
              </w:rPr>
              <w:t>✓</w:t>
            </w:r>
          </w:p>
        </w:tc>
        <w:tc>
          <w:tcPr>
            <w:tcW w:w="1234" w:type="dxa"/>
          </w:tcPr>
          <w:p w14:paraId="61CE3F5B" w14:textId="77777777" w:rsidR="001D6D79" w:rsidRDefault="001D6D79"/>
        </w:tc>
        <w:tc>
          <w:tcPr>
            <w:tcW w:w="1234" w:type="dxa"/>
          </w:tcPr>
          <w:p w14:paraId="406174E1" w14:textId="77777777" w:rsidR="001D6D79" w:rsidRDefault="00000000">
            <w:r>
              <w:rPr>
                <w:rFonts w:ascii="Segoe UI Symbol" w:hAnsi="Segoe UI Symbol" w:cs="Segoe UI Symbol"/>
                <w:sz w:val="18"/>
              </w:rPr>
              <w:t>✓</w:t>
            </w:r>
          </w:p>
        </w:tc>
        <w:tc>
          <w:tcPr>
            <w:tcW w:w="1234" w:type="dxa"/>
          </w:tcPr>
          <w:p w14:paraId="75CDA803" w14:textId="77777777" w:rsidR="001D6D79" w:rsidRDefault="001D6D79"/>
        </w:tc>
        <w:tc>
          <w:tcPr>
            <w:tcW w:w="1234" w:type="dxa"/>
          </w:tcPr>
          <w:p w14:paraId="6DB377D8" w14:textId="77777777" w:rsidR="001D6D79" w:rsidRDefault="00000000">
            <w:r>
              <w:rPr>
                <w:rFonts w:ascii="Segoe UI Symbol" w:hAnsi="Segoe UI Symbol" w:cs="Segoe UI Symbol"/>
                <w:sz w:val="18"/>
              </w:rPr>
              <w:t>✓</w:t>
            </w:r>
            <w:r>
              <w:rPr>
                <w:sz w:val="18"/>
              </w:rPr>
              <w:t xml:space="preserve"> (Conceptual)</w:t>
            </w:r>
          </w:p>
        </w:tc>
        <w:tc>
          <w:tcPr>
            <w:tcW w:w="1234" w:type="dxa"/>
          </w:tcPr>
          <w:p w14:paraId="190983F2" w14:textId="77777777" w:rsidR="001D6D79" w:rsidRDefault="001D6D79"/>
        </w:tc>
      </w:tr>
      <w:tr w:rsidR="001D6D79" w14:paraId="3BCFC197" w14:textId="77777777">
        <w:trPr>
          <w:jc w:val="center"/>
        </w:trPr>
        <w:tc>
          <w:tcPr>
            <w:tcW w:w="1234" w:type="dxa"/>
            <w:shd w:val="clear" w:color="auto" w:fill="F0F4F8"/>
          </w:tcPr>
          <w:p w14:paraId="2C651C80" w14:textId="77777777" w:rsidR="001D6D79" w:rsidRDefault="00000000">
            <w:r>
              <w:rPr>
                <w:sz w:val="18"/>
              </w:rPr>
              <w:t>ISMS Lifecycle Management</w:t>
            </w:r>
          </w:p>
        </w:tc>
        <w:tc>
          <w:tcPr>
            <w:tcW w:w="1234" w:type="dxa"/>
            <w:shd w:val="clear" w:color="auto" w:fill="F0F4F8"/>
          </w:tcPr>
          <w:p w14:paraId="3E032B0C" w14:textId="77777777" w:rsidR="001D6D79" w:rsidRDefault="00000000">
            <w:r>
              <w:rPr>
                <w:rFonts w:ascii="Segoe UI Symbol" w:hAnsi="Segoe UI Symbol" w:cs="Segoe UI Symbol"/>
                <w:sz w:val="18"/>
              </w:rPr>
              <w:t>✓</w:t>
            </w:r>
          </w:p>
        </w:tc>
        <w:tc>
          <w:tcPr>
            <w:tcW w:w="1234" w:type="dxa"/>
            <w:shd w:val="clear" w:color="auto" w:fill="F0F4F8"/>
          </w:tcPr>
          <w:p w14:paraId="1A974F51" w14:textId="77777777" w:rsidR="001D6D79" w:rsidRDefault="00000000">
            <w:r>
              <w:rPr>
                <w:rFonts w:ascii="Segoe UI Symbol" w:hAnsi="Segoe UI Symbol" w:cs="Segoe UI Symbol"/>
                <w:sz w:val="18"/>
              </w:rPr>
              <w:t>✓</w:t>
            </w:r>
          </w:p>
        </w:tc>
        <w:tc>
          <w:tcPr>
            <w:tcW w:w="1234" w:type="dxa"/>
            <w:shd w:val="clear" w:color="auto" w:fill="F0F4F8"/>
          </w:tcPr>
          <w:p w14:paraId="39CA95BE" w14:textId="77777777" w:rsidR="001D6D79" w:rsidRDefault="001D6D79"/>
        </w:tc>
        <w:tc>
          <w:tcPr>
            <w:tcW w:w="1234" w:type="dxa"/>
            <w:shd w:val="clear" w:color="auto" w:fill="F0F4F8"/>
          </w:tcPr>
          <w:p w14:paraId="2BDF6028" w14:textId="77777777" w:rsidR="001D6D79" w:rsidRDefault="001D6D79"/>
        </w:tc>
        <w:tc>
          <w:tcPr>
            <w:tcW w:w="1234" w:type="dxa"/>
            <w:shd w:val="clear" w:color="auto" w:fill="F0F4F8"/>
          </w:tcPr>
          <w:p w14:paraId="3378B8F9" w14:textId="77777777" w:rsidR="001D6D79" w:rsidRDefault="001D6D79"/>
        </w:tc>
        <w:tc>
          <w:tcPr>
            <w:tcW w:w="1234" w:type="dxa"/>
            <w:shd w:val="clear" w:color="auto" w:fill="F0F4F8"/>
          </w:tcPr>
          <w:p w14:paraId="395CE526" w14:textId="77777777" w:rsidR="001D6D79" w:rsidRDefault="001D6D79"/>
        </w:tc>
      </w:tr>
      <w:tr w:rsidR="001D6D79" w14:paraId="2B2BDEDA" w14:textId="77777777">
        <w:trPr>
          <w:jc w:val="center"/>
        </w:trPr>
        <w:tc>
          <w:tcPr>
            <w:tcW w:w="1234" w:type="dxa"/>
          </w:tcPr>
          <w:p w14:paraId="2C428F14" w14:textId="77777777" w:rsidR="001D6D79" w:rsidRDefault="00000000">
            <w:r>
              <w:rPr>
                <w:sz w:val="18"/>
              </w:rPr>
              <w:t>Incident Response Orchestration</w:t>
            </w:r>
          </w:p>
        </w:tc>
        <w:tc>
          <w:tcPr>
            <w:tcW w:w="1234" w:type="dxa"/>
          </w:tcPr>
          <w:p w14:paraId="1077C836" w14:textId="77777777" w:rsidR="001D6D79" w:rsidRDefault="001D6D79"/>
        </w:tc>
        <w:tc>
          <w:tcPr>
            <w:tcW w:w="1234" w:type="dxa"/>
          </w:tcPr>
          <w:p w14:paraId="5E488034" w14:textId="77777777" w:rsidR="001D6D79" w:rsidRDefault="00000000">
            <w:r>
              <w:rPr>
                <w:rFonts w:ascii="Segoe UI Symbol" w:hAnsi="Segoe UI Symbol" w:cs="Segoe UI Symbol"/>
                <w:sz w:val="18"/>
              </w:rPr>
              <w:t>✓</w:t>
            </w:r>
          </w:p>
        </w:tc>
        <w:tc>
          <w:tcPr>
            <w:tcW w:w="1234" w:type="dxa"/>
          </w:tcPr>
          <w:p w14:paraId="1E6B3AC3" w14:textId="77777777" w:rsidR="001D6D79" w:rsidRDefault="001D6D79"/>
        </w:tc>
        <w:tc>
          <w:tcPr>
            <w:tcW w:w="1234" w:type="dxa"/>
          </w:tcPr>
          <w:p w14:paraId="12BA0596" w14:textId="77777777" w:rsidR="001D6D79" w:rsidRDefault="00000000">
            <w:r>
              <w:rPr>
                <w:rFonts w:ascii="Segoe UI Symbol" w:hAnsi="Segoe UI Symbol" w:cs="Segoe UI Symbol"/>
                <w:sz w:val="18"/>
              </w:rPr>
              <w:t>✓</w:t>
            </w:r>
            <w:r>
              <w:rPr>
                <w:sz w:val="18"/>
              </w:rPr>
              <w:t xml:space="preserve"> (RS/RC)</w:t>
            </w:r>
          </w:p>
        </w:tc>
        <w:tc>
          <w:tcPr>
            <w:tcW w:w="1234" w:type="dxa"/>
          </w:tcPr>
          <w:p w14:paraId="05750E8F" w14:textId="77777777" w:rsidR="001D6D79" w:rsidRDefault="001D6D79"/>
        </w:tc>
        <w:tc>
          <w:tcPr>
            <w:tcW w:w="1234" w:type="dxa"/>
          </w:tcPr>
          <w:p w14:paraId="76BC26DD" w14:textId="77777777" w:rsidR="001D6D79" w:rsidRDefault="001D6D79"/>
        </w:tc>
      </w:tr>
      <w:tr w:rsidR="001D6D79" w14:paraId="77AD44C1" w14:textId="77777777">
        <w:trPr>
          <w:jc w:val="center"/>
        </w:trPr>
        <w:tc>
          <w:tcPr>
            <w:tcW w:w="1234" w:type="dxa"/>
            <w:shd w:val="clear" w:color="auto" w:fill="F0F4F8"/>
          </w:tcPr>
          <w:p w14:paraId="4D1120B2" w14:textId="77777777" w:rsidR="001D6D79" w:rsidRDefault="00000000">
            <w:r>
              <w:rPr>
                <w:sz w:val="18"/>
              </w:rPr>
              <w:t>Cloud Configuration Compliance</w:t>
            </w:r>
          </w:p>
        </w:tc>
        <w:tc>
          <w:tcPr>
            <w:tcW w:w="1234" w:type="dxa"/>
            <w:shd w:val="clear" w:color="auto" w:fill="F0F4F8"/>
          </w:tcPr>
          <w:p w14:paraId="25201BCA" w14:textId="77777777" w:rsidR="001D6D79" w:rsidRDefault="00000000">
            <w:r>
              <w:rPr>
                <w:rFonts w:ascii="Segoe UI Symbol" w:hAnsi="Segoe UI Symbol" w:cs="Segoe UI Symbol"/>
                <w:sz w:val="18"/>
              </w:rPr>
              <w:t>✓</w:t>
            </w:r>
            <w:r>
              <w:rPr>
                <w:sz w:val="18"/>
              </w:rPr>
              <w:t xml:space="preserve"> (A.8)</w:t>
            </w:r>
          </w:p>
        </w:tc>
        <w:tc>
          <w:tcPr>
            <w:tcW w:w="1234" w:type="dxa"/>
            <w:shd w:val="clear" w:color="auto" w:fill="F0F4F8"/>
          </w:tcPr>
          <w:p w14:paraId="5BD6E707" w14:textId="77777777" w:rsidR="001D6D79" w:rsidRDefault="00000000">
            <w:r>
              <w:rPr>
                <w:rFonts w:ascii="Segoe UI Symbol" w:hAnsi="Segoe UI Symbol" w:cs="Segoe UI Symbol"/>
                <w:sz w:val="18"/>
              </w:rPr>
              <w:t>✓</w:t>
            </w:r>
            <w:r>
              <w:rPr>
                <w:sz w:val="18"/>
              </w:rPr>
              <w:t xml:space="preserve"> (PR/DE)</w:t>
            </w:r>
          </w:p>
        </w:tc>
        <w:tc>
          <w:tcPr>
            <w:tcW w:w="1234" w:type="dxa"/>
            <w:shd w:val="clear" w:color="auto" w:fill="F0F4F8"/>
          </w:tcPr>
          <w:p w14:paraId="5E69DECB" w14:textId="77777777" w:rsidR="001D6D79" w:rsidRDefault="001D6D79"/>
        </w:tc>
        <w:tc>
          <w:tcPr>
            <w:tcW w:w="1234" w:type="dxa"/>
            <w:shd w:val="clear" w:color="auto" w:fill="F0F4F8"/>
          </w:tcPr>
          <w:p w14:paraId="1E94F720" w14:textId="77777777" w:rsidR="001D6D79" w:rsidRDefault="001D6D79"/>
        </w:tc>
        <w:tc>
          <w:tcPr>
            <w:tcW w:w="1234" w:type="dxa"/>
            <w:shd w:val="clear" w:color="auto" w:fill="F0F4F8"/>
          </w:tcPr>
          <w:p w14:paraId="53D9573F" w14:textId="77777777" w:rsidR="001D6D79" w:rsidRDefault="001D6D79"/>
        </w:tc>
        <w:tc>
          <w:tcPr>
            <w:tcW w:w="1234" w:type="dxa"/>
            <w:shd w:val="clear" w:color="auto" w:fill="F0F4F8"/>
          </w:tcPr>
          <w:p w14:paraId="53F4F6CF" w14:textId="77777777" w:rsidR="001D6D79" w:rsidRDefault="00000000">
            <w:r>
              <w:rPr>
                <w:rFonts w:ascii="Segoe UI Symbol" w:hAnsi="Segoe UI Symbol" w:cs="Segoe UI Symbol"/>
                <w:sz w:val="18"/>
              </w:rPr>
              <w:t>✓</w:t>
            </w:r>
            <w:r>
              <w:rPr>
                <w:sz w:val="18"/>
              </w:rPr>
              <w:t xml:space="preserve"> (CCM)</w:t>
            </w:r>
          </w:p>
        </w:tc>
      </w:tr>
      <w:tr w:rsidR="001D6D79" w14:paraId="146DCD0C" w14:textId="77777777">
        <w:trPr>
          <w:jc w:val="center"/>
        </w:trPr>
        <w:tc>
          <w:tcPr>
            <w:tcW w:w="1234" w:type="dxa"/>
          </w:tcPr>
          <w:p w14:paraId="4D338CFC" w14:textId="77777777" w:rsidR="001D6D79" w:rsidRDefault="00000000">
            <w:r>
              <w:rPr>
                <w:sz w:val="18"/>
              </w:rPr>
              <w:t>Service Delivery &amp; SLAs</w:t>
            </w:r>
          </w:p>
        </w:tc>
        <w:tc>
          <w:tcPr>
            <w:tcW w:w="1234" w:type="dxa"/>
          </w:tcPr>
          <w:p w14:paraId="4DB4768A" w14:textId="77777777" w:rsidR="001D6D79" w:rsidRDefault="001D6D79"/>
        </w:tc>
        <w:tc>
          <w:tcPr>
            <w:tcW w:w="1234" w:type="dxa"/>
          </w:tcPr>
          <w:p w14:paraId="1F34618E" w14:textId="77777777" w:rsidR="001D6D79" w:rsidRDefault="001D6D79"/>
        </w:tc>
        <w:tc>
          <w:tcPr>
            <w:tcW w:w="1234" w:type="dxa"/>
          </w:tcPr>
          <w:p w14:paraId="378F3AC3" w14:textId="77777777" w:rsidR="001D6D79" w:rsidRDefault="001D6D79"/>
        </w:tc>
        <w:tc>
          <w:tcPr>
            <w:tcW w:w="1234" w:type="dxa"/>
          </w:tcPr>
          <w:p w14:paraId="0CCE0AD5" w14:textId="77777777" w:rsidR="001D6D79" w:rsidRDefault="00000000">
            <w:r>
              <w:rPr>
                <w:rFonts w:ascii="Segoe UI Symbol" w:hAnsi="Segoe UI Symbol" w:cs="Segoe UI Symbol"/>
                <w:sz w:val="18"/>
              </w:rPr>
              <w:t>✓</w:t>
            </w:r>
            <w:r>
              <w:rPr>
                <w:sz w:val="18"/>
              </w:rPr>
              <w:t xml:space="preserve"> (SVS)</w:t>
            </w:r>
          </w:p>
        </w:tc>
        <w:tc>
          <w:tcPr>
            <w:tcW w:w="1234" w:type="dxa"/>
          </w:tcPr>
          <w:p w14:paraId="57824580" w14:textId="77777777" w:rsidR="001D6D79" w:rsidRDefault="001D6D79"/>
        </w:tc>
        <w:tc>
          <w:tcPr>
            <w:tcW w:w="1234" w:type="dxa"/>
          </w:tcPr>
          <w:p w14:paraId="3BB11B36" w14:textId="77777777" w:rsidR="001D6D79" w:rsidRDefault="001D6D79"/>
        </w:tc>
      </w:tr>
      <w:tr w:rsidR="001D6D79" w14:paraId="7217540A" w14:textId="77777777">
        <w:trPr>
          <w:jc w:val="center"/>
        </w:trPr>
        <w:tc>
          <w:tcPr>
            <w:tcW w:w="1234" w:type="dxa"/>
            <w:shd w:val="clear" w:color="auto" w:fill="F0F4F8"/>
          </w:tcPr>
          <w:p w14:paraId="53600473" w14:textId="77777777" w:rsidR="001D6D79" w:rsidRDefault="00000000">
            <w:r>
              <w:rPr>
                <w:sz w:val="18"/>
              </w:rPr>
              <w:lastRenderedPageBreak/>
              <w:t>Access Control &amp; IAM</w:t>
            </w:r>
          </w:p>
        </w:tc>
        <w:tc>
          <w:tcPr>
            <w:tcW w:w="1234" w:type="dxa"/>
            <w:shd w:val="clear" w:color="auto" w:fill="F0F4F8"/>
          </w:tcPr>
          <w:p w14:paraId="2597875F" w14:textId="77777777" w:rsidR="001D6D79" w:rsidRDefault="00000000">
            <w:r>
              <w:rPr>
                <w:rFonts w:ascii="Segoe UI Symbol" w:hAnsi="Segoe UI Symbol" w:cs="Segoe UI Symbol"/>
                <w:sz w:val="18"/>
              </w:rPr>
              <w:t>✓</w:t>
            </w:r>
            <w:r>
              <w:rPr>
                <w:sz w:val="18"/>
              </w:rPr>
              <w:t xml:space="preserve"> (A.8.3–8.5)</w:t>
            </w:r>
          </w:p>
        </w:tc>
        <w:tc>
          <w:tcPr>
            <w:tcW w:w="1234" w:type="dxa"/>
            <w:shd w:val="clear" w:color="auto" w:fill="F0F4F8"/>
          </w:tcPr>
          <w:p w14:paraId="413107F3" w14:textId="77777777" w:rsidR="001D6D79" w:rsidRDefault="00000000">
            <w:r>
              <w:rPr>
                <w:rFonts w:ascii="Segoe UI Symbol" w:hAnsi="Segoe UI Symbol" w:cs="Segoe UI Symbol"/>
                <w:sz w:val="18"/>
              </w:rPr>
              <w:t>✓</w:t>
            </w:r>
            <w:r>
              <w:rPr>
                <w:sz w:val="18"/>
              </w:rPr>
              <w:t xml:space="preserve"> (PR.AC)</w:t>
            </w:r>
          </w:p>
        </w:tc>
        <w:tc>
          <w:tcPr>
            <w:tcW w:w="1234" w:type="dxa"/>
            <w:shd w:val="clear" w:color="auto" w:fill="F0F4F8"/>
          </w:tcPr>
          <w:p w14:paraId="110AD736" w14:textId="77777777" w:rsidR="001D6D79" w:rsidRDefault="001D6D79"/>
        </w:tc>
        <w:tc>
          <w:tcPr>
            <w:tcW w:w="1234" w:type="dxa"/>
            <w:shd w:val="clear" w:color="auto" w:fill="F0F4F8"/>
          </w:tcPr>
          <w:p w14:paraId="67EEF59A" w14:textId="77777777" w:rsidR="001D6D79" w:rsidRDefault="001D6D79"/>
        </w:tc>
        <w:tc>
          <w:tcPr>
            <w:tcW w:w="1234" w:type="dxa"/>
            <w:shd w:val="clear" w:color="auto" w:fill="F0F4F8"/>
          </w:tcPr>
          <w:p w14:paraId="5550FD9F" w14:textId="77777777" w:rsidR="001D6D79" w:rsidRDefault="001D6D79"/>
        </w:tc>
        <w:tc>
          <w:tcPr>
            <w:tcW w:w="1234" w:type="dxa"/>
            <w:shd w:val="clear" w:color="auto" w:fill="F0F4F8"/>
          </w:tcPr>
          <w:p w14:paraId="1F1E8D16" w14:textId="77777777" w:rsidR="001D6D79" w:rsidRDefault="001D6D79"/>
        </w:tc>
      </w:tr>
      <w:tr w:rsidR="001D6D79" w14:paraId="758FBD5D" w14:textId="77777777">
        <w:trPr>
          <w:jc w:val="center"/>
        </w:trPr>
        <w:tc>
          <w:tcPr>
            <w:tcW w:w="1234" w:type="dxa"/>
          </w:tcPr>
          <w:p w14:paraId="03FFF5AD" w14:textId="77777777" w:rsidR="001D6D79" w:rsidRDefault="00000000">
            <w:r>
              <w:rPr>
                <w:sz w:val="18"/>
              </w:rPr>
              <w:t>Third-Party Risk Management</w:t>
            </w:r>
          </w:p>
        </w:tc>
        <w:tc>
          <w:tcPr>
            <w:tcW w:w="1234" w:type="dxa"/>
          </w:tcPr>
          <w:p w14:paraId="0D80B2DC" w14:textId="77777777" w:rsidR="001D6D79" w:rsidRDefault="00000000">
            <w:r>
              <w:rPr>
                <w:rFonts w:ascii="Segoe UI Symbol" w:hAnsi="Segoe UI Symbol" w:cs="Segoe UI Symbol"/>
                <w:sz w:val="18"/>
              </w:rPr>
              <w:t>✓</w:t>
            </w:r>
            <w:r>
              <w:rPr>
                <w:sz w:val="18"/>
              </w:rPr>
              <w:t xml:space="preserve"> (A.5.19–22)</w:t>
            </w:r>
          </w:p>
        </w:tc>
        <w:tc>
          <w:tcPr>
            <w:tcW w:w="1234" w:type="dxa"/>
          </w:tcPr>
          <w:p w14:paraId="1D5A6090" w14:textId="77777777" w:rsidR="001D6D79" w:rsidRDefault="00000000">
            <w:r>
              <w:rPr>
                <w:rFonts w:ascii="Segoe UI Symbol" w:hAnsi="Segoe UI Symbol" w:cs="Segoe UI Symbol"/>
                <w:sz w:val="18"/>
              </w:rPr>
              <w:t>✓</w:t>
            </w:r>
            <w:r>
              <w:rPr>
                <w:sz w:val="18"/>
              </w:rPr>
              <w:t xml:space="preserve"> (ID.SC)</w:t>
            </w:r>
          </w:p>
        </w:tc>
        <w:tc>
          <w:tcPr>
            <w:tcW w:w="1234" w:type="dxa"/>
          </w:tcPr>
          <w:p w14:paraId="2F374875" w14:textId="77777777" w:rsidR="001D6D79" w:rsidRDefault="00000000">
            <w:r>
              <w:rPr>
                <w:rFonts w:ascii="Segoe UI Symbol" w:hAnsi="Segoe UI Symbol" w:cs="Segoe UI Symbol"/>
                <w:sz w:val="18"/>
              </w:rPr>
              <w:t>✓</w:t>
            </w:r>
            <w:r>
              <w:rPr>
                <w:sz w:val="18"/>
              </w:rPr>
              <w:t xml:space="preserve"> (EDM)</w:t>
            </w:r>
          </w:p>
        </w:tc>
        <w:tc>
          <w:tcPr>
            <w:tcW w:w="1234" w:type="dxa"/>
          </w:tcPr>
          <w:p w14:paraId="76E389AA" w14:textId="77777777" w:rsidR="001D6D79" w:rsidRDefault="00000000">
            <w:r>
              <w:rPr>
                <w:rFonts w:ascii="Segoe UI Symbol" w:hAnsi="Segoe UI Symbol" w:cs="Segoe UI Symbol"/>
                <w:sz w:val="18"/>
              </w:rPr>
              <w:t>✓</w:t>
            </w:r>
            <w:r>
              <w:rPr>
                <w:sz w:val="18"/>
              </w:rPr>
              <w:t xml:space="preserve"> (Engage)</w:t>
            </w:r>
          </w:p>
        </w:tc>
        <w:tc>
          <w:tcPr>
            <w:tcW w:w="1234" w:type="dxa"/>
          </w:tcPr>
          <w:p w14:paraId="122544CF" w14:textId="77777777" w:rsidR="001D6D79" w:rsidRDefault="001D6D79"/>
        </w:tc>
        <w:tc>
          <w:tcPr>
            <w:tcW w:w="1234" w:type="dxa"/>
          </w:tcPr>
          <w:p w14:paraId="3ACD6B07" w14:textId="77777777" w:rsidR="001D6D79" w:rsidRDefault="00000000">
            <w:r>
              <w:rPr>
                <w:rFonts w:ascii="Segoe UI Symbol" w:hAnsi="Segoe UI Symbol" w:cs="Segoe UI Symbol"/>
                <w:sz w:val="18"/>
              </w:rPr>
              <w:t>✓</w:t>
            </w:r>
            <w:r>
              <w:rPr>
                <w:sz w:val="18"/>
              </w:rPr>
              <w:t xml:space="preserve"> (STA)</w:t>
            </w:r>
          </w:p>
        </w:tc>
      </w:tr>
      <w:tr w:rsidR="001D6D79" w14:paraId="75534AD7" w14:textId="77777777">
        <w:trPr>
          <w:jc w:val="center"/>
        </w:trPr>
        <w:tc>
          <w:tcPr>
            <w:tcW w:w="1234" w:type="dxa"/>
            <w:shd w:val="clear" w:color="auto" w:fill="F0F4F8"/>
          </w:tcPr>
          <w:p w14:paraId="2660801D" w14:textId="77777777" w:rsidR="001D6D79" w:rsidRDefault="00000000">
            <w:r>
              <w:rPr>
                <w:sz w:val="18"/>
              </w:rPr>
              <w:t>Audit &amp; Certification</w:t>
            </w:r>
          </w:p>
        </w:tc>
        <w:tc>
          <w:tcPr>
            <w:tcW w:w="1234" w:type="dxa"/>
            <w:shd w:val="clear" w:color="auto" w:fill="F0F4F8"/>
          </w:tcPr>
          <w:p w14:paraId="5F1F9E97" w14:textId="77777777" w:rsidR="001D6D79" w:rsidRDefault="00000000">
            <w:r>
              <w:rPr>
                <w:rFonts w:ascii="Segoe UI Symbol" w:hAnsi="Segoe UI Symbol" w:cs="Segoe UI Symbol"/>
                <w:sz w:val="18"/>
              </w:rPr>
              <w:t>✓</w:t>
            </w:r>
            <w:r>
              <w:rPr>
                <w:sz w:val="18"/>
              </w:rPr>
              <w:t xml:space="preserve"> (Cert.)</w:t>
            </w:r>
          </w:p>
        </w:tc>
        <w:tc>
          <w:tcPr>
            <w:tcW w:w="1234" w:type="dxa"/>
            <w:shd w:val="clear" w:color="auto" w:fill="F0F4F8"/>
          </w:tcPr>
          <w:p w14:paraId="5B1400B0" w14:textId="77777777" w:rsidR="001D6D79" w:rsidRDefault="001D6D79"/>
        </w:tc>
        <w:tc>
          <w:tcPr>
            <w:tcW w:w="1234" w:type="dxa"/>
            <w:shd w:val="clear" w:color="auto" w:fill="F0F4F8"/>
          </w:tcPr>
          <w:p w14:paraId="296B471E" w14:textId="77777777" w:rsidR="001D6D79" w:rsidRDefault="00000000">
            <w:r>
              <w:rPr>
                <w:rFonts w:ascii="Segoe UI Symbol" w:hAnsi="Segoe UI Symbol" w:cs="Segoe UI Symbol"/>
                <w:sz w:val="18"/>
              </w:rPr>
              <w:t>✓</w:t>
            </w:r>
            <w:r>
              <w:rPr>
                <w:sz w:val="18"/>
              </w:rPr>
              <w:t xml:space="preserve"> (MEA)</w:t>
            </w:r>
          </w:p>
        </w:tc>
        <w:tc>
          <w:tcPr>
            <w:tcW w:w="1234" w:type="dxa"/>
            <w:shd w:val="clear" w:color="auto" w:fill="F0F4F8"/>
          </w:tcPr>
          <w:p w14:paraId="139401F3" w14:textId="77777777" w:rsidR="001D6D79" w:rsidRDefault="001D6D79"/>
        </w:tc>
        <w:tc>
          <w:tcPr>
            <w:tcW w:w="1234" w:type="dxa"/>
            <w:shd w:val="clear" w:color="auto" w:fill="F0F4F8"/>
          </w:tcPr>
          <w:p w14:paraId="301B75A9" w14:textId="77777777" w:rsidR="001D6D79" w:rsidRDefault="001D6D79"/>
        </w:tc>
        <w:tc>
          <w:tcPr>
            <w:tcW w:w="1234" w:type="dxa"/>
            <w:shd w:val="clear" w:color="auto" w:fill="F0F4F8"/>
          </w:tcPr>
          <w:p w14:paraId="287D9895" w14:textId="77777777" w:rsidR="001D6D79" w:rsidRDefault="00000000">
            <w:r>
              <w:rPr>
                <w:rFonts w:ascii="Segoe UI Symbol" w:hAnsi="Segoe UI Symbol" w:cs="Segoe UI Symbol"/>
                <w:sz w:val="18"/>
              </w:rPr>
              <w:t>✓</w:t>
            </w:r>
            <w:r>
              <w:rPr>
                <w:sz w:val="18"/>
              </w:rPr>
              <w:t xml:space="preserve"> (STAR Cert.)</w:t>
            </w:r>
          </w:p>
        </w:tc>
      </w:tr>
      <w:tr w:rsidR="001D6D79" w14:paraId="11E660E8" w14:textId="77777777">
        <w:trPr>
          <w:jc w:val="center"/>
        </w:trPr>
        <w:tc>
          <w:tcPr>
            <w:tcW w:w="1234" w:type="dxa"/>
          </w:tcPr>
          <w:p w14:paraId="176B1B96" w14:textId="77777777" w:rsidR="001D6D79" w:rsidRDefault="00000000">
            <w:r>
              <w:rPr>
                <w:sz w:val="18"/>
              </w:rPr>
              <w:t>Continuous Improvement</w:t>
            </w:r>
          </w:p>
        </w:tc>
        <w:tc>
          <w:tcPr>
            <w:tcW w:w="1234" w:type="dxa"/>
          </w:tcPr>
          <w:p w14:paraId="030DF82D" w14:textId="77777777" w:rsidR="001D6D79" w:rsidRDefault="00000000">
            <w:r>
              <w:rPr>
                <w:rFonts w:ascii="Segoe UI Symbol" w:hAnsi="Segoe UI Symbol" w:cs="Segoe UI Symbol"/>
                <w:sz w:val="18"/>
              </w:rPr>
              <w:t>✓</w:t>
            </w:r>
            <w:r>
              <w:rPr>
                <w:sz w:val="18"/>
              </w:rPr>
              <w:t xml:space="preserve"> (PDCA)</w:t>
            </w:r>
          </w:p>
        </w:tc>
        <w:tc>
          <w:tcPr>
            <w:tcW w:w="1234" w:type="dxa"/>
          </w:tcPr>
          <w:p w14:paraId="49F6900B" w14:textId="77777777" w:rsidR="001D6D79" w:rsidRDefault="00000000">
            <w:r>
              <w:rPr>
                <w:rFonts w:ascii="Segoe UI Symbol" w:hAnsi="Segoe UI Symbol" w:cs="Segoe UI Symbol"/>
                <w:sz w:val="18"/>
              </w:rPr>
              <w:t>✓</w:t>
            </w:r>
            <w:r>
              <w:rPr>
                <w:sz w:val="18"/>
              </w:rPr>
              <w:t xml:space="preserve"> (GV)</w:t>
            </w:r>
          </w:p>
        </w:tc>
        <w:tc>
          <w:tcPr>
            <w:tcW w:w="1234" w:type="dxa"/>
          </w:tcPr>
          <w:p w14:paraId="1300CA98" w14:textId="77777777" w:rsidR="001D6D79" w:rsidRDefault="00000000">
            <w:r>
              <w:rPr>
                <w:rFonts w:ascii="Segoe UI Symbol" w:hAnsi="Segoe UI Symbol" w:cs="Segoe UI Symbol"/>
                <w:sz w:val="18"/>
              </w:rPr>
              <w:t>✓</w:t>
            </w:r>
            <w:r>
              <w:rPr>
                <w:sz w:val="18"/>
              </w:rPr>
              <w:t xml:space="preserve"> (MEA)</w:t>
            </w:r>
          </w:p>
        </w:tc>
        <w:tc>
          <w:tcPr>
            <w:tcW w:w="1234" w:type="dxa"/>
          </w:tcPr>
          <w:p w14:paraId="2068F679" w14:textId="77777777" w:rsidR="001D6D79" w:rsidRDefault="00000000">
            <w:r>
              <w:rPr>
                <w:rFonts w:ascii="Segoe UI Symbol" w:hAnsi="Segoe UI Symbol" w:cs="Segoe UI Symbol"/>
                <w:sz w:val="18"/>
              </w:rPr>
              <w:t>✓</w:t>
            </w:r>
            <w:r>
              <w:rPr>
                <w:sz w:val="18"/>
              </w:rPr>
              <w:t xml:space="preserve"> (Improve)</w:t>
            </w:r>
          </w:p>
        </w:tc>
        <w:tc>
          <w:tcPr>
            <w:tcW w:w="1234" w:type="dxa"/>
          </w:tcPr>
          <w:p w14:paraId="75C43DD8" w14:textId="77777777" w:rsidR="001D6D79" w:rsidRDefault="001D6D79"/>
        </w:tc>
        <w:tc>
          <w:tcPr>
            <w:tcW w:w="1234" w:type="dxa"/>
          </w:tcPr>
          <w:p w14:paraId="04858906" w14:textId="77777777" w:rsidR="001D6D79" w:rsidRDefault="001D6D79"/>
        </w:tc>
      </w:tr>
    </w:tbl>
    <w:p w14:paraId="4E2060D3" w14:textId="77777777" w:rsidR="001D6D79" w:rsidRDefault="001D6D79"/>
    <w:p w14:paraId="4B2F4F80" w14:textId="77777777" w:rsidR="001D6D79" w:rsidRDefault="00000000">
      <w:pPr>
        <w:pStyle w:val="Heading2"/>
      </w:pPr>
      <w:r>
        <w:t>4. Control-to-Phase Deployment Mapping</w:t>
      </w:r>
    </w:p>
    <w:p w14:paraId="7109BAF6" w14:textId="77777777" w:rsidR="001D6D79" w:rsidRDefault="00000000">
      <w:r>
        <w:t>Each technical control is mapped to its implementation phase in the 24-month roadmap:</w:t>
      </w:r>
    </w:p>
    <w:tbl>
      <w:tblPr>
        <w:tblStyle w:val="TableGrid"/>
        <w:tblW w:w="0" w:type="auto"/>
        <w:jc w:val="center"/>
        <w:tblLook w:val="04A0" w:firstRow="1" w:lastRow="0" w:firstColumn="1" w:lastColumn="0" w:noHBand="0" w:noVBand="1"/>
      </w:tblPr>
      <w:tblGrid>
        <w:gridCol w:w="2157"/>
        <w:gridCol w:w="2158"/>
        <w:gridCol w:w="2157"/>
        <w:gridCol w:w="2158"/>
      </w:tblGrid>
      <w:tr w:rsidR="001D6D79" w14:paraId="2E614A38" w14:textId="77777777">
        <w:trPr>
          <w:jc w:val="center"/>
        </w:trPr>
        <w:tc>
          <w:tcPr>
            <w:tcW w:w="2160" w:type="dxa"/>
            <w:shd w:val="clear" w:color="auto" w:fill="2E4057"/>
          </w:tcPr>
          <w:p w14:paraId="1D566AED" w14:textId="77777777" w:rsidR="001D6D79" w:rsidRDefault="00000000">
            <w:pPr>
              <w:jc w:val="center"/>
            </w:pPr>
            <w:r>
              <w:rPr>
                <w:b/>
                <w:color w:val="FFFFFF"/>
                <w:sz w:val="18"/>
              </w:rPr>
              <w:t>Control</w:t>
            </w:r>
          </w:p>
        </w:tc>
        <w:tc>
          <w:tcPr>
            <w:tcW w:w="2160" w:type="dxa"/>
            <w:shd w:val="clear" w:color="auto" w:fill="2E4057"/>
          </w:tcPr>
          <w:p w14:paraId="1750CDCF" w14:textId="77777777" w:rsidR="001D6D79" w:rsidRDefault="00000000">
            <w:pPr>
              <w:jc w:val="center"/>
            </w:pPr>
            <w:r>
              <w:rPr>
                <w:b/>
                <w:color w:val="FFFFFF"/>
                <w:sz w:val="18"/>
              </w:rPr>
              <w:t>Domain</w:t>
            </w:r>
          </w:p>
        </w:tc>
        <w:tc>
          <w:tcPr>
            <w:tcW w:w="2160" w:type="dxa"/>
            <w:shd w:val="clear" w:color="auto" w:fill="2E4057"/>
          </w:tcPr>
          <w:p w14:paraId="11F42B29" w14:textId="77777777" w:rsidR="001D6D79" w:rsidRDefault="00000000">
            <w:pPr>
              <w:jc w:val="center"/>
            </w:pPr>
            <w:r>
              <w:rPr>
                <w:b/>
                <w:color w:val="FFFFFF"/>
                <w:sz w:val="18"/>
              </w:rPr>
              <w:t>Phase</w:t>
            </w:r>
          </w:p>
        </w:tc>
        <w:tc>
          <w:tcPr>
            <w:tcW w:w="2160" w:type="dxa"/>
            <w:shd w:val="clear" w:color="auto" w:fill="2E4057"/>
          </w:tcPr>
          <w:p w14:paraId="5F2876C5" w14:textId="77777777" w:rsidR="001D6D79" w:rsidRDefault="00000000">
            <w:pPr>
              <w:jc w:val="center"/>
            </w:pPr>
            <w:r>
              <w:rPr>
                <w:b/>
                <w:color w:val="FFFFFF"/>
                <w:sz w:val="18"/>
              </w:rPr>
              <w:t>Framework Reference</w:t>
            </w:r>
          </w:p>
        </w:tc>
      </w:tr>
      <w:tr w:rsidR="001D6D79" w14:paraId="3778DF4A" w14:textId="77777777">
        <w:trPr>
          <w:jc w:val="center"/>
        </w:trPr>
        <w:tc>
          <w:tcPr>
            <w:tcW w:w="2160" w:type="dxa"/>
            <w:shd w:val="clear" w:color="auto" w:fill="F0F4F8"/>
          </w:tcPr>
          <w:p w14:paraId="65691A56" w14:textId="77777777" w:rsidR="001D6D79" w:rsidRDefault="00000000">
            <w:r>
              <w:rPr>
                <w:sz w:val="18"/>
              </w:rPr>
              <w:t>IGSF Governance Structure</w:t>
            </w:r>
          </w:p>
        </w:tc>
        <w:tc>
          <w:tcPr>
            <w:tcW w:w="2160" w:type="dxa"/>
            <w:shd w:val="clear" w:color="auto" w:fill="F0F4F8"/>
          </w:tcPr>
          <w:p w14:paraId="0C2446D6" w14:textId="77777777" w:rsidR="001D6D79" w:rsidRDefault="00000000">
            <w:r>
              <w:rPr>
                <w:sz w:val="18"/>
              </w:rPr>
              <w:t>Governance</w:t>
            </w:r>
          </w:p>
        </w:tc>
        <w:tc>
          <w:tcPr>
            <w:tcW w:w="2160" w:type="dxa"/>
            <w:shd w:val="clear" w:color="auto" w:fill="F0F4F8"/>
          </w:tcPr>
          <w:p w14:paraId="66BE414D" w14:textId="77777777" w:rsidR="001D6D79" w:rsidRDefault="00000000">
            <w:r>
              <w:rPr>
                <w:sz w:val="18"/>
              </w:rPr>
              <w:t>Phase 1</w:t>
            </w:r>
          </w:p>
        </w:tc>
        <w:tc>
          <w:tcPr>
            <w:tcW w:w="2160" w:type="dxa"/>
            <w:shd w:val="clear" w:color="auto" w:fill="F0F4F8"/>
          </w:tcPr>
          <w:p w14:paraId="2BDC24B4" w14:textId="77777777" w:rsidR="001D6D79" w:rsidRDefault="00000000">
            <w:r>
              <w:rPr>
                <w:sz w:val="18"/>
              </w:rPr>
              <w:t>COBIT 2019 EDM01–05</w:t>
            </w:r>
          </w:p>
        </w:tc>
      </w:tr>
      <w:tr w:rsidR="001D6D79" w14:paraId="2CDBA68B" w14:textId="77777777">
        <w:trPr>
          <w:jc w:val="center"/>
        </w:trPr>
        <w:tc>
          <w:tcPr>
            <w:tcW w:w="2160" w:type="dxa"/>
          </w:tcPr>
          <w:p w14:paraId="331AE1D1" w14:textId="77777777" w:rsidR="001D6D79" w:rsidRDefault="00000000">
            <w:r>
              <w:rPr>
                <w:sz w:val="18"/>
              </w:rPr>
              <w:t>CISO Appointment</w:t>
            </w:r>
          </w:p>
        </w:tc>
        <w:tc>
          <w:tcPr>
            <w:tcW w:w="2160" w:type="dxa"/>
          </w:tcPr>
          <w:p w14:paraId="2955D0CA" w14:textId="77777777" w:rsidR="001D6D79" w:rsidRDefault="00000000">
            <w:r>
              <w:rPr>
                <w:sz w:val="18"/>
              </w:rPr>
              <w:t>Governance</w:t>
            </w:r>
          </w:p>
        </w:tc>
        <w:tc>
          <w:tcPr>
            <w:tcW w:w="2160" w:type="dxa"/>
          </w:tcPr>
          <w:p w14:paraId="5C37A242" w14:textId="77777777" w:rsidR="001D6D79" w:rsidRDefault="00000000">
            <w:r>
              <w:rPr>
                <w:sz w:val="18"/>
              </w:rPr>
              <w:t>Phase 1</w:t>
            </w:r>
          </w:p>
        </w:tc>
        <w:tc>
          <w:tcPr>
            <w:tcW w:w="2160" w:type="dxa"/>
          </w:tcPr>
          <w:p w14:paraId="5D58A5C0" w14:textId="77777777" w:rsidR="001D6D79" w:rsidRDefault="00000000">
            <w:r>
              <w:rPr>
                <w:sz w:val="18"/>
              </w:rPr>
              <w:t>FCA SM&amp;CR</w:t>
            </w:r>
          </w:p>
        </w:tc>
      </w:tr>
      <w:tr w:rsidR="001D6D79" w14:paraId="1F358493" w14:textId="77777777">
        <w:trPr>
          <w:jc w:val="center"/>
        </w:trPr>
        <w:tc>
          <w:tcPr>
            <w:tcW w:w="2160" w:type="dxa"/>
            <w:shd w:val="clear" w:color="auto" w:fill="F0F4F8"/>
          </w:tcPr>
          <w:p w14:paraId="0190FCA4" w14:textId="77777777" w:rsidR="001D6D79" w:rsidRDefault="00000000">
            <w:r>
              <w:rPr>
                <w:sz w:val="18"/>
              </w:rPr>
              <w:t>CSPM Deployment</w:t>
            </w:r>
          </w:p>
        </w:tc>
        <w:tc>
          <w:tcPr>
            <w:tcW w:w="2160" w:type="dxa"/>
            <w:shd w:val="clear" w:color="auto" w:fill="F0F4F8"/>
          </w:tcPr>
          <w:p w14:paraId="3238C066" w14:textId="77777777" w:rsidR="001D6D79" w:rsidRDefault="00000000">
            <w:r>
              <w:rPr>
                <w:sz w:val="18"/>
              </w:rPr>
              <w:t>Cloud Security</w:t>
            </w:r>
          </w:p>
        </w:tc>
        <w:tc>
          <w:tcPr>
            <w:tcW w:w="2160" w:type="dxa"/>
            <w:shd w:val="clear" w:color="auto" w:fill="F0F4F8"/>
          </w:tcPr>
          <w:p w14:paraId="4639D1F6" w14:textId="77777777" w:rsidR="001D6D79" w:rsidRDefault="00000000">
            <w:r>
              <w:rPr>
                <w:sz w:val="18"/>
              </w:rPr>
              <w:t>Phase 1</w:t>
            </w:r>
          </w:p>
        </w:tc>
        <w:tc>
          <w:tcPr>
            <w:tcW w:w="2160" w:type="dxa"/>
            <w:shd w:val="clear" w:color="auto" w:fill="F0F4F8"/>
          </w:tcPr>
          <w:p w14:paraId="3338A598" w14:textId="77777777" w:rsidR="001D6D79" w:rsidRDefault="00000000">
            <w:r>
              <w:rPr>
                <w:sz w:val="18"/>
              </w:rPr>
              <w:t>CSA CCM, ISO 27017</w:t>
            </w:r>
          </w:p>
        </w:tc>
      </w:tr>
      <w:tr w:rsidR="001D6D79" w14:paraId="468225BB" w14:textId="77777777">
        <w:trPr>
          <w:jc w:val="center"/>
        </w:trPr>
        <w:tc>
          <w:tcPr>
            <w:tcW w:w="2160" w:type="dxa"/>
          </w:tcPr>
          <w:p w14:paraId="632BB266" w14:textId="77777777" w:rsidR="001D6D79" w:rsidRDefault="00000000">
            <w:r>
              <w:rPr>
                <w:sz w:val="18"/>
              </w:rPr>
              <w:t>MFA (All Users)</w:t>
            </w:r>
          </w:p>
        </w:tc>
        <w:tc>
          <w:tcPr>
            <w:tcW w:w="2160" w:type="dxa"/>
          </w:tcPr>
          <w:p w14:paraId="1E67D956" w14:textId="77777777" w:rsidR="001D6D79" w:rsidRDefault="00000000">
            <w:r>
              <w:rPr>
                <w:sz w:val="18"/>
              </w:rPr>
              <w:t>Access Control</w:t>
            </w:r>
          </w:p>
        </w:tc>
        <w:tc>
          <w:tcPr>
            <w:tcW w:w="2160" w:type="dxa"/>
          </w:tcPr>
          <w:p w14:paraId="11096966" w14:textId="77777777" w:rsidR="001D6D79" w:rsidRDefault="00000000">
            <w:r>
              <w:rPr>
                <w:sz w:val="18"/>
              </w:rPr>
              <w:t>Phase 1</w:t>
            </w:r>
          </w:p>
        </w:tc>
        <w:tc>
          <w:tcPr>
            <w:tcW w:w="2160" w:type="dxa"/>
          </w:tcPr>
          <w:p w14:paraId="311D2787" w14:textId="77777777" w:rsidR="001D6D79" w:rsidRDefault="00000000">
            <w:r>
              <w:rPr>
                <w:sz w:val="18"/>
              </w:rPr>
              <w:t>PSD2 SCA, NIST PR.AC</w:t>
            </w:r>
          </w:p>
        </w:tc>
      </w:tr>
      <w:tr w:rsidR="001D6D79" w14:paraId="650DDAE2" w14:textId="77777777">
        <w:trPr>
          <w:jc w:val="center"/>
        </w:trPr>
        <w:tc>
          <w:tcPr>
            <w:tcW w:w="2160" w:type="dxa"/>
            <w:shd w:val="clear" w:color="auto" w:fill="F0F4F8"/>
          </w:tcPr>
          <w:p w14:paraId="09EE5FE9" w14:textId="77777777" w:rsidR="001D6D79" w:rsidRDefault="00000000">
            <w:r>
              <w:rPr>
                <w:sz w:val="18"/>
              </w:rPr>
              <w:t>CASB Deployment</w:t>
            </w:r>
          </w:p>
        </w:tc>
        <w:tc>
          <w:tcPr>
            <w:tcW w:w="2160" w:type="dxa"/>
            <w:shd w:val="clear" w:color="auto" w:fill="F0F4F8"/>
          </w:tcPr>
          <w:p w14:paraId="18E2337B" w14:textId="77777777" w:rsidR="001D6D79" w:rsidRDefault="00000000">
            <w:r>
              <w:rPr>
                <w:sz w:val="18"/>
              </w:rPr>
              <w:t>Data Protection</w:t>
            </w:r>
          </w:p>
        </w:tc>
        <w:tc>
          <w:tcPr>
            <w:tcW w:w="2160" w:type="dxa"/>
            <w:shd w:val="clear" w:color="auto" w:fill="F0F4F8"/>
          </w:tcPr>
          <w:p w14:paraId="38DDB440" w14:textId="77777777" w:rsidR="001D6D79" w:rsidRDefault="00000000">
            <w:r>
              <w:rPr>
                <w:sz w:val="18"/>
              </w:rPr>
              <w:t>Phase 1</w:t>
            </w:r>
          </w:p>
        </w:tc>
        <w:tc>
          <w:tcPr>
            <w:tcW w:w="2160" w:type="dxa"/>
            <w:shd w:val="clear" w:color="auto" w:fill="F0F4F8"/>
          </w:tcPr>
          <w:p w14:paraId="2C58C86D" w14:textId="77777777" w:rsidR="001D6D79" w:rsidRDefault="00000000">
            <w:r>
              <w:rPr>
                <w:sz w:val="18"/>
              </w:rPr>
              <w:t>ISO 27001 A.8</w:t>
            </w:r>
          </w:p>
        </w:tc>
      </w:tr>
      <w:tr w:rsidR="001D6D79" w14:paraId="75E2AD63" w14:textId="77777777">
        <w:trPr>
          <w:jc w:val="center"/>
        </w:trPr>
        <w:tc>
          <w:tcPr>
            <w:tcW w:w="2160" w:type="dxa"/>
          </w:tcPr>
          <w:p w14:paraId="5F92EF69" w14:textId="77777777" w:rsidR="001D6D79" w:rsidRDefault="00000000">
            <w:r>
              <w:rPr>
                <w:sz w:val="18"/>
              </w:rPr>
              <w:t>CWPP Deployment</w:t>
            </w:r>
          </w:p>
        </w:tc>
        <w:tc>
          <w:tcPr>
            <w:tcW w:w="2160" w:type="dxa"/>
          </w:tcPr>
          <w:p w14:paraId="22F76AC9" w14:textId="77777777" w:rsidR="001D6D79" w:rsidRDefault="00000000">
            <w:r>
              <w:rPr>
                <w:sz w:val="18"/>
              </w:rPr>
              <w:t>Cloud Security</w:t>
            </w:r>
          </w:p>
        </w:tc>
        <w:tc>
          <w:tcPr>
            <w:tcW w:w="2160" w:type="dxa"/>
          </w:tcPr>
          <w:p w14:paraId="08C85A1E" w14:textId="77777777" w:rsidR="001D6D79" w:rsidRDefault="00000000">
            <w:r>
              <w:rPr>
                <w:sz w:val="18"/>
              </w:rPr>
              <w:t>Phase 2</w:t>
            </w:r>
          </w:p>
        </w:tc>
        <w:tc>
          <w:tcPr>
            <w:tcW w:w="2160" w:type="dxa"/>
          </w:tcPr>
          <w:p w14:paraId="0935F41D" w14:textId="77777777" w:rsidR="001D6D79" w:rsidRDefault="00000000">
            <w:r>
              <w:rPr>
                <w:sz w:val="18"/>
              </w:rPr>
              <w:t>NIST PR.IP, CSA CCM</w:t>
            </w:r>
          </w:p>
        </w:tc>
      </w:tr>
      <w:tr w:rsidR="001D6D79" w14:paraId="7BD64642" w14:textId="77777777">
        <w:trPr>
          <w:jc w:val="center"/>
        </w:trPr>
        <w:tc>
          <w:tcPr>
            <w:tcW w:w="2160" w:type="dxa"/>
            <w:shd w:val="clear" w:color="auto" w:fill="F0F4F8"/>
          </w:tcPr>
          <w:p w14:paraId="1422994B" w14:textId="77777777" w:rsidR="001D6D79" w:rsidRDefault="00000000">
            <w:r>
              <w:rPr>
                <w:sz w:val="18"/>
              </w:rPr>
              <w:t>CIEM Deployment</w:t>
            </w:r>
          </w:p>
        </w:tc>
        <w:tc>
          <w:tcPr>
            <w:tcW w:w="2160" w:type="dxa"/>
            <w:shd w:val="clear" w:color="auto" w:fill="F0F4F8"/>
          </w:tcPr>
          <w:p w14:paraId="0E5F7C22" w14:textId="77777777" w:rsidR="001D6D79" w:rsidRDefault="00000000">
            <w:r>
              <w:rPr>
                <w:sz w:val="18"/>
              </w:rPr>
              <w:t>Access Control</w:t>
            </w:r>
          </w:p>
        </w:tc>
        <w:tc>
          <w:tcPr>
            <w:tcW w:w="2160" w:type="dxa"/>
            <w:shd w:val="clear" w:color="auto" w:fill="F0F4F8"/>
          </w:tcPr>
          <w:p w14:paraId="0029EC70" w14:textId="77777777" w:rsidR="001D6D79" w:rsidRDefault="00000000">
            <w:r>
              <w:rPr>
                <w:sz w:val="18"/>
              </w:rPr>
              <w:t>Phase 2</w:t>
            </w:r>
          </w:p>
        </w:tc>
        <w:tc>
          <w:tcPr>
            <w:tcW w:w="2160" w:type="dxa"/>
            <w:shd w:val="clear" w:color="auto" w:fill="F0F4F8"/>
          </w:tcPr>
          <w:p w14:paraId="63602E1F" w14:textId="77777777" w:rsidR="001D6D79" w:rsidRDefault="00000000">
            <w:r>
              <w:rPr>
                <w:sz w:val="18"/>
              </w:rPr>
              <w:t>NIST PR.AC</w:t>
            </w:r>
          </w:p>
        </w:tc>
      </w:tr>
      <w:tr w:rsidR="001D6D79" w14:paraId="42BDE6B3" w14:textId="77777777">
        <w:trPr>
          <w:jc w:val="center"/>
        </w:trPr>
        <w:tc>
          <w:tcPr>
            <w:tcW w:w="2160" w:type="dxa"/>
          </w:tcPr>
          <w:p w14:paraId="665248E3" w14:textId="77777777" w:rsidR="001D6D79" w:rsidRDefault="00000000">
            <w:r>
              <w:rPr>
                <w:sz w:val="18"/>
              </w:rPr>
              <w:t>DLP (Full Deployment)</w:t>
            </w:r>
          </w:p>
        </w:tc>
        <w:tc>
          <w:tcPr>
            <w:tcW w:w="2160" w:type="dxa"/>
          </w:tcPr>
          <w:p w14:paraId="7DC3107E" w14:textId="77777777" w:rsidR="001D6D79" w:rsidRDefault="00000000">
            <w:r>
              <w:rPr>
                <w:sz w:val="18"/>
              </w:rPr>
              <w:t>Data Protection</w:t>
            </w:r>
          </w:p>
        </w:tc>
        <w:tc>
          <w:tcPr>
            <w:tcW w:w="2160" w:type="dxa"/>
          </w:tcPr>
          <w:p w14:paraId="3F5C9E6B" w14:textId="77777777" w:rsidR="001D6D79" w:rsidRDefault="00000000">
            <w:r>
              <w:rPr>
                <w:sz w:val="18"/>
              </w:rPr>
              <w:t>Phase 2</w:t>
            </w:r>
          </w:p>
        </w:tc>
        <w:tc>
          <w:tcPr>
            <w:tcW w:w="2160" w:type="dxa"/>
          </w:tcPr>
          <w:p w14:paraId="5F36573F" w14:textId="77777777" w:rsidR="001D6D79" w:rsidRDefault="00000000">
            <w:r>
              <w:rPr>
                <w:sz w:val="18"/>
              </w:rPr>
              <w:t>GDPR Art. 25/32</w:t>
            </w:r>
          </w:p>
        </w:tc>
      </w:tr>
      <w:tr w:rsidR="001D6D79" w14:paraId="277B9FFC" w14:textId="77777777">
        <w:trPr>
          <w:jc w:val="center"/>
        </w:trPr>
        <w:tc>
          <w:tcPr>
            <w:tcW w:w="2160" w:type="dxa"/>
            <w:shd w:val="clear" w:color="auto" w:fill="F0F4F8"/>
          </w:tcPr>
          <w:p w14:paraId="0A484091" w14:textId="77777777" w:rsidR="001D6D79" w:rsidRDefault="00000000">
            <w:r>
              <w:rPr>
                <w:sz w:val="18"/>
              </w:rPr>
              <w:t>ISO 27001 Certification Prep</w:t>
            </w:r>
          </w:p>
        </w:tc>
        <w:tc>
          <w:tcPr>
            <w:tcW w:w="2160" w:type="dxa"/>
            <w:shd w:val="clear" w:color="auto" w:fill="F0F4F8"/>
          </w:tcPr>
          <w:p w14:paraId="10E19E7F" w14:textId="77777777" w:rsidR="001D6D79" w:rsidRDefault="00000000">
            <w:r>
              <w:rPr>
                <w:sz w:val="18"/>
              </w:rPr>
              <w:t>Governance</w:t>
            </w:r>
          </w:p>
        </w:tc>
        <w:tc>
          <w:tcPr>
            <w:tcW w:w="2160" w:type="dxa"/>
            <w:shd w:val="clear" w:color="auto" w:fill="F0F4F8"/>
          </w:tcPr>
          <w:p w14:paraId="3A8A1ADF" w14:textId="77777777" w:rsidR="001D6D79" w:rsidRDefault="00000000">
            <w:r>
              <w:rPr>
                <w:sz w:val="18"/>
              </w:rPr>
              <w:t>Phase 2</w:t>
            </w:r>
          </w:p>
        </w:tc>
        <w:tc>
          <w:tcPr>
            <w:tcW w:w="2160" w:type="dxa"/>
            <w:shd w:val="clear" w:color="auto" w:fill="F0F4F8"/>
          </w:tcPr>
          <w:p w14:paraId="5F35A158" w14:textId="77777777" w:rsidR="001D6D79" w:rsidRDefault="00000000">
            <w:r>
              <w:rPr>
                <w:sz w:val="18"/>
              </w:rPr>
              <w:t>ISO 27001</w:t>
            </w:r>
          </w:p>
        </w:tc>
      </w:tr>
      <w:tr w:rsidR="001D6D79" w14:paraId="57A19734" w14:textId="77777777">
        <w:trPr>
          <w:jc w:val="center"/>
        </w:trPr>
        <w:tc>
          <w:tcPr>
            <w:tcW w:w="2160" w:type="dxa"/>
          </w:tcPr>
          <w:p w14:paraId="4CB5596B" w14:textId="77777777" w:rsidR="001D6D79" w:rsidRDefault="00000000">
            <w:r>
              <w:rPr>
                <w:sz w:val="18"/>
              </w:rPr>
              <w:t>PAM Implementation</w:t>
            </w:r>
          </w:p>
        </w:tc>
        <w:tc>
          <w:tcPr>
            <w:tcW w:w="2160" w:type="dxa"/>
          </w:tcPr>
          <w:p w14:paraId="643433A9" w14:textId="77777777" w:rsidR="001D6D79" w:rsidRDefault="00000000">
            <w:r>
              <w:rPr>
                <w:sz w:val="18"/>
              </w:rPr>
              <w:t>Access Control</w:t>
            </w:r>
          </w:p>
        </w:tc>
        <w:tc>
          <w:tcPr>
            <w:tcW w:w="2160" w:type="dxa"/>
          </w:tcPr>
          <w:p w14:paraId="41AED9C6" w14:textId="77777777" w:rsidR="001D6D79" w:rsidRDefault="00000000">
            <w:r>
              <w:rPr>
                <w:sz w:val="18"/>
              </w:rPr>
              <w:t>Phase 3</w:t>
            </w:r>
          </w:p>
        </w:tc>
        <w:tc>
          <w:tcPr>
            <w:tcW w:w="2160" w:type="dxa"/>
          </w:tcPr>
          <w:p w14:paraId="6BE552AD" w14:textId="77777777" w:rsidR="001D6D79" w:rsidRDefault="00000000">
            <w:r>
              <w:rPr>
                <w:sz w:val="18"/>
              </w:rPr>
              <w:t>NIST PR.AC, ISO A.8.2</w:t>
            </w:r>
          </w:p>
        </w:tc>
      </w:tr>
      <w:tr w:rsidR="001D6D79" w14:paraId="4690E4CD" w14:textId="77777777">
        <w:trPr>
          <w:jc w:val="center"/>
        </w:trPr>
        <w:tc>
          <w:tcPr>
            <w:tcW w:w="2160" w:type="dxa"/>
            <w:shd w:val="clear" w:color="auto" w:fill="F0F4F8"/>
          </w:tcPr>
          <w:p w14:paraId="6D32965B" w14:textId="77777777" w:rsidR="001D6D79" w:rsidRDefault="00000000">
            <w:r>
              <w:rPr>
                <w:sz w:val="18"/>
              </w:rPr>
              <w:t>Continuous Access Reviews</w:t>
            </w:r>
          </w:p>
        </w:tc>
        <w:tc>
          <w:tcPr>
            <w:tcW w:w="2160" w:type="dxa"/>
            <w:shd w:val="clear" w:color="auto" w:fill="F0F4F8"/>
          </w:tcPr>
          <w:p w14:paraId="48BF138C" w14:textId="77777777" w:rsidR="001D6D79" w:rsidRDefault="00000000">
            <w:r>
              <w:rPr>
                <w:sz w:val="18"/>
              </w:rPr>
              <w:t>Access Control</w:t>
            </w:r>
          </w:p>
        </w:tc>
        <w:tc>
          <w:tcPr>
            <w:tcW w:w="2160" w:type="dxa"/>
            <w:shd w:val="clear" w:color="auto" w:fill="F0F4F8"/>
          </w:tcPr>
          <w:p w14:paraId="655DD0AD" w14:textId="77777777" w:rsidR="001D6D79" w:rsidRDefault="00000000">
            <w:r>
              <w:rPr>
                <w:sz w:val="18"/>
              </w:rPr>
              <w:t>Phase 3</w:t>
            </w:r>
          </w:p>
        </w:tc>
        <w:tc>
          <w:tcPr>
            <w:tcW w:w="2160" w:type="dxa"/>
            <w:shd w:val="clear" w:color="auto" w:fill="F0F4F8"/>
          </w:tcPr>
          <w:p w14:paraId="5B1B6F7D" w14:textId="77777777" w:rsidR="001D6D79" w:rsidRDefault="00000000">
            <w:r>
              <w:rPr>
                <w:sz w:val="18"/>
              </w:rPr>
              <w:t>ISO A.5.18</w:t>
            </w:r>
          </w:p>
        </w:tc>
      </w:tr>
      <w:tr w:rsidR="001D6D79" w14:paraId="3531F28F" w14:textId="77777777">
        <w:trPr>
          <w:jc w:val="center"/>
        </w:trPr>
        <w:tc>
          <w:tcPr>
            <w:tcW w:w="2160" w:type="dxa"/>
          </w:tcPr>
          <w:p w14:paraId="3FA676DF" w14:textId="77777777" w:rsidR="001D6D79" w:rsidRDefault="00000000">
            <w:r>
              <w:rPr>
                <w:sz w:val="18"/>
              </w:rPr>
              <w:t>ISO 27001 Certification</w:t>
            </w:r>
          </w:p>
        </w:tc>
        <w:tc>
          <w:tcPr>
            <w:tcW w:w="2160" w:type="dxa"/>
          </w:tcPr>
          <w:p w14:paraId="702B2027" w14:textId="77777777" w:rsidR="001D6D79" w:rsidRDefault="00000000">
            <w:r>
              <w:rPr>
                <w:sz w:val="18"/>
              </w:rPr>
              <w:t>Governance</w:t>
            </w:r>
          </w:p>
        </w:tc>
        <w:tc>
          <w:tcPr>
            <w:tcW w:w="2160" w:type="dxa"/>
          </w:tcPr>
          <w:p w14:paraId="417D5B86" w14:textId="77777777" w:rsidR="001D6D79" w:rsidRDefault="00000000">
            <w:r>
              <w:rPr>
                <w:sz w:val="18"/>
              </w:rPr>
              <w:t>Phase 3</w:t>
            </w:r>
          </w:p>
        </w:tc>
        <w:tc>
          <w:tcPr>
            <w:tcW w:w="2160" w:type="dxa"/>
          </w:tcPr>
          <w:p w14:paraId="012CF7FA" w14:textId="77777777" w:rsidR="001D6D79" w:rsidRDefault="00000000">
            <w:r>
              <w:rPr>
                <w:sz w:val="18"/>
              </w:rPr>
              <w:t>ISO 27001</w:t>
            </w:r>
          </w:p>
        </w:tc>
      </w:tr>
      <w:tr w:rsidR="001D6D79" w14:paraId="66B29ADF" w14:textId="77777777">
        <w:trPr>
          <w:jc w:val="center"/>
        </w:trPr>
        <w:tc>
          <w:tcPr>
            <w:tcW w:w="2160" w:type="dxa"/>
            <w:shd w:val="clear" w:color="auto" w:fill="F0F4F8"/>
          </w:tcPr>
          <w:p w14:paraId="58332F64" w14:textId="77777777" w:rsidR="001D6D79" w:rsidRDefault="00000000">
            <w:r>
              <w:rPr>
                <w:sz w:val="18"/>
              </w:rPr>
              <w:t>DORA TLPT (First Cycle)</w:t>
            </w:r>
          </w:p>
        </w:tc>
        <w:tc>
          <w:tcPr>
            <w:tcW w:w="2160" w:type="dxa"/>
            <w:shd w:val="clear" w:color="auto" w:fill="F0F4F8"/>
          </w:tcPr>
          <w:p w14:paraId="3EADF3B2" w14:textId="77777777" w:rsidR="001D6D79" w:rsidRDefault="00000000">
            <w:r>
              <w:rPr>
                <w:sz w:val="18"/>
              </w:rPr>
              <w:t>Testing</w:t>
            </w:r>
          </w:p>
        </w:tc>
        <w:tc>
          <w:tcPr>
            <w:tcW w:w="2160" w:type="dxa"/>
            <w:shd w:val="clear" w:color="auto" w:fill="F0F4F8"/>
          </w:tcPr>
          <w:p w14:paraId="326AC629" w14:textId="77777777" w:rsidR="001D6D79" w:rsidRDefault="00000000">
            <w:r>
              <w:rPr>
                <w:sz w:val="18"/>
              </w:rPr>
              <w:t>Phase 3</w:t>
            </w:r>
          </w:p>
        </w:tc>
        <w:tc>
          <w:tcPr>
            <w:tcW w:w="2160" w:type="dxa"/>
            <w:shd w:val="clear" w:color="auto" w:fill="F0F4F8"/>
          </w:tcPr>
          <w:p w14:paraId="4540EC36" w14:textId="77777777" w:rsidR="001D6D79" w:rsidRDefault="00000000">
            <w:r>
              <w:rPr>
                <w:sz w:val="18"/>
              </w:rPr>
              <w:t>DORA Art. 26–27</w:t>
            </w:r>
          </w:p>
        </w:tc>
      </w:tr>
      <w:tr w:rsidR="001D6D79" w14:paraId="0DE40F6B" w14:textId="77777777">
        <w:trPr>
          <w:jc w:val="center"/>
        </w:trPr>
        <w:tc>
          <w:tcPr>
            <w:tcW w:w="2160" w:type="dxa"/>
          </w:tcPr>
          <w:p w14:paraId="6CEC533F" w14:textId="77777777" w:rsidR="001D6D79" w:rsidRDefault="00000000">
            <w:r>
              <w:rPr>
                <w:sz w:val="18"/>
              </w:rPr>
              <w:t>CSA STAR Certification</w:t>
            </w:r>
          </w:p>
        </w:tc>
        <w:tc>
          <w:tcPr>
            <w:tcW w:w="2160" w:type="dxa"/>
          </w:tcPr>
          <w:p w14:paraId="414289DA" w14:textId="77777777" w:rsidR="001D6D79" w:rsidRDefault="00000000">
            <w:r>
              <w:rPr>
                <w:sz w:val="18"/>
              </w:rPr>
              <w:t>Cloud Governance</w:t>
            </w:r>
          </w:p>
        </w:tc>
        <w:tc>
          <w:tcPr>
            <w:tcW w:w="2160" w:type="dxa"/>
          </w:tcPr>
          <w:p w14:paraId="30AF54AD" w14:textId="77777777" w:rsidR="001D6D79" w:rsidRDefault="00000000">
            <w:r>
              <w:rPr>
                <w:sz w:val="18"/>
              </w:rPr>
              <w:t>Phase 4</w:t>
            </w:r>
          </w:p>
        </w:tc>
        <w:tc>
          <w:tcPr>
            <w:tcW w:w="2160" w:type="dxa"/>
          </w:tcPr>
          <w:p w14:paraId="51503A94" w14:textId="77777777" w:rsidR="001D6D79" w:rsidRDefault="00000000">
            <w:r>
              <w:rPr>
                <w:sz w:val="18"/>
              </w:rPr>
              <w:t>CSA STAR + ISO 27001</w:t>
            </w:r>
          </w:p>
        </w:tc>
      </w:tr>
      <w:tr w:rsidR="001D6D79" w14:paraId="0A152E57" w14:textId="77777777">
        <w:trPr>
          <w:jc w:val="center"/>
        </w:trPr>
        <w:tc>
          <w:tcPr>
            <w:tcW w:w="2160" w:type="dxa"/>
            <w:shd w:val="clear" w:color="auto" w:fill="F0F4F8"/>
          </w:tcPr>
          <w:p w14:paraId="01303293" w14:textId="77777777" w:rsidR="001D6D79" w:rsidRDefault="00000000">
            <w:r>
              <w:rPr>
                <w:sz w:val="18"/>
              </w:rPr>
              <w:t>Full Zero Trust Maturity</w:t>
            </w:r>
          </w:p>
        </w:tc>
        <w:tc>
          <w:tcPr>
            <w:tcW w:w="2160" w:type="dxa"/>
            <w:shd w:val="clear" w:color="auto" w:fill="F0F4F8"/>
          </w:tcPr>
          <w:p w14:paraId="3110D572" w14:textId="77777777" w:rsidR="001D6D79" w:rsidRDefault="00000000">
            <w:r>
              <w:rPr>
                <w:sz w:val="18"/>
              </w:rPr>
              <w:t>Architecture</w:t>
            </w:r>
          </w:p>
        </w:tc>
        <w:tc>
          <w:tcPr>
            <w:tcW w:w="2160" w:type="dxa"/>
            <w:shd w:val="clear" w:color="auto" w:fill="F0F4F8"/>
          </w:tcPr>
          <w:p w14:paraId="6DD9380D" w14:textId="77777777" w:rsidR="001D6D79" w:rsidRDefault="00000000">
            <w:r>
              <w:rPr>
                <w:sz w:val="18"/>
              </w:rPr>
              <w:t>Phase 4</w:t>
            </w:r>
          </w:p>
        </w:tc>
        <w:tc>
          <w:tcPr>
            <w:tcW w:w="2160" w:type="dxa"/>
            <w:shd w:val="clear" w:color="auto" w:fill="F0F4F8"/>
          </w:tcPr>
          <w:p w14:paraId="4148348F" w14:textId="77777777" w:rsidR="001D6D79" w:rsidRDefault="00000000">
            <w:r>
              <w:rPr>
                <w:sz w:val="18"/>
              </w:rPr>
              <w:t>NIST CSF 2.0 GV</w:t>
            </w:r>
          </w:p>
        </w:tc>
      </w:tr>
      <w:tr w:rsidR="001D6D79" w14:paraId="69FEB9D4" w14:textId="77777777">
        <w:trPr>
          <w:jc w:val="center"/>
        </w:trPr>
        <w:tc>
          <w:tcPr>
            <w:tcW w:w="2160" w:type="dxa"/>
          </w:tcPr>
          <w:p w14:paraId="699F71A8" w14:textId="77777777" w:rsidR="001D6D79" w:rsidRDefault="00000000">
            <w:r>
              <w:rPr>
                <w:sz w:val="18"/>
              </w:rPr>
              <w:lastRenderedPageBreak/>
              <w:t>SOC Establishment</w:t>
            </w:r>
          </w:p>
        </w:tc>
        <w:tc>
          <w:tcPr>
            <w:tcW w:w="2160" w:type="dxa"/>
          </w:tcPr>
          <w:p w14:paraId="24D820C3" w14:textId="77777777" w:rsidR="001D6D79" w:rsidRDefault="00000000">
            <w:r>
              <w:rPr>
                <w:sz w:val="18"/>
              </w:rPr>
              <w:t>Operations</w:t>
            </w:r>
          </w:p>
        </w:tc>
        <w:tc>
          <w:tcPr>
            <w:tcW w:w="2160" w:type="dxa"/>
          </w:tcPr>
          <w:p w14:paraId="126D8D71" w14:textId="77777777" w:rsidR="001D6D79" w:rsidRDefault="00000000">
            <w:r>
              <w:rPr>
                <w:sz w:val="18"/>
              </w:rPr>
              <w:t>Phase 4</w:t>
            </w:r>
          </w:p>
        </w:tc>
        <w:tc>
          <w:tcPr>
            <w:tcW w:w="2160" w:type="dxa"/>
          </w:tcPr>
          <w:p w14:paraId="0FD7EF29" w14:textId="77777777" w:rsidR="001D6D79" w:rsidRDefault="00000000">
            <w:r>
              <w:rPr>
                <w:sz w:val="18"/>
              </w:rPr>
              <w:t>NIST DE, ITIL 4 SVS</w:t>
            </w:r>
          </w:p>
        </w:tc>
      </w:tr>
    </w:tbl>
    <w:p w14:paraId="6C2BF439" w14:textId="77777777" w:rsidR="001D6D79" w:rsidRDefault="001D6D79"/>
    <w:p w14:paraId="6D45125C" w14:textId="77777777" w:rsidR="001D6D79" w:rsidRDefault="00000000">
      <w:pPr>
        <w:pStyle w:val="Heading2"/>
      </w:pPr>
      <w:r>
        <w:t>5. Integrated Audit Strategy</w:t>
      </w:r>
    </w:p>
    <w:p w14:paraId="0DDE4398" w14:textId="77777777" w:rsidR="001D6D79" w:rsidRDefault="00000000">
      <w:r>
        <w:t>To minimise audit overhead from maintaining six frameworks, FSB will pursue an integrated audit approach where evidence is collected once and mapped across multiple standards:</w:t>
      </w:r>
    </w:p>
    <w:tbl>
      <w:tblPr>
        <w:tblStyle w:val="TableGrid"/>
        <w:tblW w:w="0" w:type="auto"/>
        <w:jc w:val="center"/>
        <w:tblLook w:val="04A0" w:firstRow="1" w:lastRow="0" w:firstColumn="1" w:lastColumn="0" w:noHBand="0" w:noVBand="1"/>
      </w:tblPr>
      <w:tblGrid>
        <w:gridCol w:w="2877"/>
        <w:gridCol w:w="2877"/>
        <w:gridCol w:w="2876"/>
      </w:tblGrid>
      <w:tr w:rsidR="001D6D79" w14:paraId="23543B90" w14:textId="77777777">
        <w:trPr>
          <w:jc w:val="center"/>
        </w:trPr>
        <w:tc>
          <w:tcPr>
            <w:tcW w:w="2880" w:type="dxa"/>
            <w:shd w:val="clear" w:color="auto" w:fill="2E4057"/>
          </w:tcPr>
          <w:p w14:paraId="22D3CE8D" w14:textId="77777777" w:rsidR="001D6D79" w:rsidRDefault="00000000">
            <w:pPr>
              <w:jc w:val="center"/>
            </w:pPr>
            <w:r>
              <w:rPr>
                <w:b/>
                <w:color w:val="FFFFFF"/>
                <w:sz w:val="18"/>
              </w:rPr>
              <w:t>Audit Requirement</w:t>
            </w:r>
          </w:p>
        </w:tc>
        <w:tc>
          <w:tcPr>
            <w:tcW w:w="2880" w:type="dxa"/>
            <w:shd w:val="clear" w:color="auto" w:fill="2E4057"/>
          </w:tcPr>
          <w:p w14:paraId="32A7B0C5" w14:textId="77777777" w:rsidR="001D6D79" w:rsidRDefault="00000000">
            <w:pPr>
              <w:jc w:val="center"/>
            </w:pPr>
            <w:r>
              <w:rPr>
                <w:b/>
                <w:color w:val="FFFFFF"/>
                <w:sz w:val="18"/>
              </w:rPr>
              <w:t>Integration Approach</w:t>
            </w:r>
          </w:p>
        </w:tc>
        <w:tc>
          <w:tcPr>
            <w:tcW w:w="2880" w:type="dxa"/>
            <w:shd w:val="clear" w:color="auto" w:fill="2E4057"/>
          </w:tcPr>
          <w:p w14:paraId="66353C39" w14:textId="77777777" w:rsidR="001D6D79" w:rsidRDefault="00000000">
            <w:pPr>
              <w:jc w:val="center"/>
            </w:pPr>
            <w:r>
              <w:rPr>
                <w:b/>
                <w:color w:val="FFFFFF"/>
                <w:sz w:val="18"/>
              </w:rPr>
              <w:t>Frequency</w:t>
            </w:r>
          </w:p>
        </w:tc>
      </w:tr>
      <w:tr w:rsidR="001D6D79" w14:paraId="1D73F03E" w14:textId="77777777">
        <w:trPr>
          <w:jc w:val="center"/>
        </w:trPr>
        <w:tc>
          <w:tcPr>
            <w:tcW w:w="2880" w:type="dxa"/>
            <w:shd w:val="clear" w:color="auto" w:fill="F0F4F8"/>
          </w:tcPr>
          <w:p w14:paraId="717DC985" w14:textId="77777777" w:rsidR="001D6D79" w:rsidRDefault="00000000">
            <w:r>
              <w:rPr>
                <w:sz w:val="18"/>
              </w:rPr>
              <w:t>ISO 27001 Annex A Controls</w:t>
            </w:r>
          </w:p>
        </w:tc>
        <w:tc>
          <w:tcPr>
            <w:tcW w:w="2880" w:type="dxa"/>
            <w:shd w:val="clear" w:color="auto" w:fill="F0F4F8"/>
          </w:tcPr>
          <w:p w14:paraId="01A8D4BA" w14:textId="77777777" w:rsidR="001D6D79" w:rsidRDefault="00000000">
            <w:r>
              <w:rPr>
                <w:sz w:val="18"/>
              </w:rPr>
              <w:t>Mapped to CSA STAR CCM controls to enable simultaneous certification</w:t>
            </w:r>
          </w:p>
        </w:tc>
        <w:tc>
          <w:tcPr>
            <w:tcW w:w="2880" w:type="dxa"/>
            <w:shd w:val="clear" w:color="auto" w:fill="F0F4F8"/>
          </w:tcPr>
          <w:p w14:paraId="44F59C24" w14:textId="77777777" w:rsidR="001D6D79" w:rsidRDefault="00000000">
            <w:r>
              <w:rPr>
                <w:sz w:val="18"/>
              </w:rPr>
              <w:t>Phase 3–4</w:t>
            </w:r>
          </w:p>
        </w:tc>
      </w:tr>
      <w:tr w:rsidR="001D6D79" w14:paraId="79934FC6" w14:textId="77777777">
        <w:trPr>
          <w:jc w:val="center"/>
        </w:trPr>
        <w:tc>
          <w:tcPr>
            <w:tcW w:w="2880" w:type="dxa"/>
          </w:tcPr>
          <w:p w14:paraId="03D42D54" w14:textId="77777777" w:rsidR="001D6D79" w:rsidRDefault="00000000">
            <w:r>
              <w:rPr>
                <w:sz w:val="18"/>
              </w:rPr>
              <w:t>COBIT 2019 MEA Process</w:t>
            </w:r>
          </w:p>
        </w:tc>
        <w:tc>
          <w:tcPr>
            <w:tcW w:w="2880" w:type="dxa"/>
          </w:tcPr>
          <w:p w14:paraId="7DDBA8D5" w14:textId="77777777" w:rsidR="001D6D79" w:rsidRDefault="00000000">
            <w:r>
              <w:rPr>
                <w:sz w:val="18"/>
              </w:rPr>
              <w:t>Aligned with Three Lines Model Third Line (internal audit) assurance</w:t>
            </w:r>
          </w:p>
        </w:tc>
        <w:tc>
          <w:tcPr>
            <w:tcW w:w="2880" w:type="dxa"/>
          </w:tcPr>
          <w:p w14:paraId="6EE8F1DB" w14:textId="77777777" w:rsidR="001D6D79" w:rsidRDefault="00000000">
            <w:r>
              <w:rPr>
                <w:sz w:val="18"/>
              </w:rPr>
              <w:t>Ongoing</w:t>
            </w:r>
          </w:p>
        </w:tc>
      </w:tr>
      <w:tr w:rsidR="001D6D79" w14:paraId="728F9930" w14:textId="77777777">
        <w:trPr>
          <w:jc w:val="center"/>
        </w:trPr>
        <w:tc>
          <w:tcPr>
            <w:tcW w:w="2880" w:type="dxa"/>
            <w:shd w:val="clear" w:color="auto" w:fill="F0F4F8"/>
          </w:tcPr>
          <w:p w14:paraId="23684A74" w14:textId="77777777" w:rsidR="001D6D79" w:rsidRDefault="00000000">
            <w:r>
              <w:rPr>
                <w:sz w:val="18"/>
              </w:rPr>
              <w:t>NIST CSF Maturity Assessment</w:t>
            </w:r>
          </w:p>
        </w:tc>
        <w:tc>
          <w:tcPr>
            <w:tcW w:w="2880" w:type="dxa"/>
            <w:shd w:val="clear" w:color="auto" w:fill="F0F4F8"/>
          </w:tcPr>
          <w:p w14:paraId="72FD10CA" w14:textId="77777777" w:rsidR="001D6D79" w:rsidRDefault="00000000">
            <w:r>
              <w:rPr>
                <w:sz w:val="18"/>
              </w:rPr>
              <w:t>Conducted annually as input to COBIT governance reviews</w:t>
            </w:r>
          </w:p>
        </w:tc>
        <w:tc>
          <w:tcPr>
            <w:tcW w:w="2880" w:type="dxa"/>
            <w:shd w:val="clear" w:color="auto" w:fill="F0F4F8"/>
          </w:tcPr>
          <w:p w14:paraId="717A0E9D" w14:textId="77777777" w:rsidR="001D6D79" w:rsidRDefault="00000000">
            <w:r>
              <w:rPr>
                <w:sz w:val="18"/>
              </w:rPr>
              <w:t>Annual</w:t>
            </w:r>
          </w:p>
        </w:tc>
      </w:tr>
      <w:tr w:rsidR="001D6D79" w14:paraId="799C84AA" w14:textId="77777777">
        <w:trPr>
          <w:jc w:val="center"/>
        </w:trPr>
        <w:tc>
          <w:tcPr>
            <w:tcW w:w="2880" w:type="dxa"/>
          </w:tcPr>
          <w:p w14:paraId="09F4C5E5" w14:textId="77777777" w:rsidR="001D6D79" w:rsidRDefault="00000000">
            <w:r>
              <w:rPr>
                <w:sz w:val="18"/>
              </w:rPr>
              <w:t>DORA Compliance Evidence</w:t>
            </w:r>
          </w:p>
        </w:tc>
        <w:tc>
          <w:tcPr>
            <w:tcW w:w="2880" w:type="dxa"/>
          </w:tcPr>
          <w:p w14:paraId="0E58949F" w14:textId="77777777" w:rsidR="001D6D79" w:rsidRDefault="00000000">
            <w:r>
              <w:rPr>
                <w:sz w:val="18"/>
              </w:rPr>
              <w:t>Drawn from ISO 27001 ISMS records, TLPT reports, and BCP test results</w:t>
            </w:r>
          </w:p>
        </w:tc>
        <w:tc>
          <w:tcPr>
            <w:tcW w:w="2880" w:type="dxa"/>
          </w:tcPr>
          <w:p w14:paraId="774A549A" w14:textId="77777777" w:rsidR="001D6D79" w:rsidRDefault="00000000">
            <w:r>
              <w:rPr>
                <w:sz w:val="18"/>
              </w:rPr>
              <w:t>Annual</w:t>
            </w:r>
          </w:p>
        </w:tc>
      </w:tr>
      <w:tr w:rsidR="001D6D79" w14:paraId="485BCDE0" w14:textId="77777777">
        <w:trPr>
          <w:jc w:val="center"/>
        </w:trPr>
        <w:tc>
          <w:tcPr>
            <w:tcW w:w="2880" w:type="dxa"/>
            <w:shd w:val="clear" w:color="auto" w:fill="F0F4F8"/>
          </w:tcPr>
          <w:p w14:paraId="049A5D2E" w14:textId="77777777" w:rsidR="001D6D79" w:rsidRDefault="00000000">
            <w:r>
              <w:rPr>
                <w:sz w:val="18"/>
              </w:rPr>
              <w:t>FCA SYSC 8 Evidence</w:t>
            </w:r>
          </w:p>
        </w:tc>
        <w:tc>
          <w:tcPr>
            <w:tcW w:w="2880" w:type="dxa"/>
            <w:shd w:val="clear" w:color="auto" w:fill="F0F4F8"/>
          </w:tcPr>
          <w:p w14:paraId="30F56516" w14:textId="77777777" w:rsidR="001D6D79" w:rsidRDefault="00000000">
            <w:r>
              <w:rPr>
                <w:sz w:val="18"/>
              </w:rPr>
              <w:t>Compiled from SLA performance data, vendor audit reports, and exit plan tests</w:t>
            </w:r>
          </w:p>
        </w:tc>
        <w:tc>
          <w:tcPr>
            <w:tcW w:w="2880" w:type="dxa"/>
            <w:shd w:val="clear" w:color="auto" w:fill="F0F4F8"/>
          </w:tcPr>
          <w:p w14:paraId="5133B962" w14:textId="77777777" w:rsidR="001D6D79" w:rsidRDefault="00000000">
            <w:r>
              <w:rPr>
                <w:sz w:val="18"/>
              </w:rPr>
              <w:t>Ongoing</w:t>
            </w:r>
          </w:p>
        </w:tc>
      </w:tr>
    </w:tbl>
    <w:p w14:paraId="04F5EC16" w14:textId="77777777" w:rsidR="00440173" w:rsidRDefault="00440173"/>
    <w:sectPr w:rsidR="00440173"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7F0C1" w14:textId="77777777" w:rsidR="00936FAE" w:rsidRDefault="00936FAE" w:rsidP="00444662">
      <w:pPr>
        <w:spacing w:before="0" w:after="0" w:line="240" w:lineRule="auto"/>
      </w:pPr>
      <w:r>
        <w:separator/>
      </w:r>
    </w:p>
  </w:endnote>
  <w:endnote w:type="continuationSeparator" w:id="0">
    <w:p w14:paraId="57462416" w14:textId="77777777" w:rsidR="00936FAE" w:rsidRDefault="00936FAE" w:rsidP="00444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Courier">
    <w:panose1 w:val="02070309020205020404"/>
    <w:charset w:val="00"/>
    <w:family w:val="auto"/>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351"/>
      <w:gridCol w:w="4289"/>
    </w:tblGrid>
    <w:tr w:rsidR="00444662" w14:paraId="4EC2FD13" w14:textId="77777777">
      <w:trPr>
        <w:trHeight w:hRule="exact" w:val="115"/>
        <w:jc w:val="center"/>
      </w:trPr>
      <w:tc>
        <w:tcPr>
          <w:tcW w:w="4686" w:type="dxa"/>
          <w:shd w:val="clear" w:color="auto" w:fill="156082" w:themeFill="accent1"/>
          <w:tcMar>
            <w:top w:w="0" w:type="dxa"/>
            <w:bottom w:w="0" w:type="dxa"/>
          </w:tcMar>
        </w:tcPr>
        <w:p w14:paraId="594138DC" w14:textId="77777777" w:rsidR="00444662" w:rsidRDefault="00444662">
          <w:pPr>
            <w:pStyle w:val="Header"/>
            <w:tabs>
              <w:tab w:val="clear" w:pos="4680"/>
              <w:tab w:val="clear" w:pos="9360"/>
            </w:tabs>
            <w:rPr>
              <w:caps/>
              <w:sz w:val="18"/>
            </w:rPr>
          </w:pPr>
        </w:p>
      </w:tc>
      <w:tc>
        <w:tcPr>
          <w:tcW w:w="4674" w:type="dxa"/>
          <w:shd w:val="clear" w:color="auto" w:fill="156082" w:themeFill="accent1"/>
          <w:tcMar>
            <w:top w:w="0" w:type="dxa"/>
            <w:bottom w:w="0" w:type="dxa"/>
          </w:tcMar>
        </w:tcPr>
        <w:p w14:paraId="362F46FC" w14:textId="77777777" w:rsidR="00444662" w:rsidRDefault="00444662">
          <w:pPr>
            <w:pStyle w:val="Header"/>
            <w:tabs>
              <w:tab w:val="clear" w:pos="4680"/>
              <w:tab w:val="clear" w:pos="9360"/>
            </w:tabs>
            <w:jc w:val="right"/>
            <w:rPr>
              <w:caps/>
              <w:sz w:val="18"/>
            </w:rPr>
          </w:pPr>
        </w:p>
      </w:tc>
    </w:tr>
    <w:tr w:rsidR="00444662" w14:paraId="518AF5CE" w14:textId="77777777">
      <w:trPr>
        <w:jc w:val="center"/>
      </w:trPr>
      <w:sdt>
        <w:sdtPr>
          <w:rPr>
            <w:caps/>
            <w:color w:val="808080" w:themeColor="background1" w:themeShade="80"/>
            <w:sz w:val="18"/>
            <w:szCs w:val="18"/>
          </w:rPr>
          <w:alias w:val="Author"/>
          <w:tag w:val=""/>
          <w:id w:val="1534151868"/>
          <w:placeholder>
            <w:docPart w:val="106B904E14423E41A476DF07376A0137"/>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29739F57" w14:textId="21F11AAF" w:rsidR="00444662" w:rsidRDefault="00444662">
              <w:pPr>
                <w:pStyle w:val="Footer"/>
                <w:tabs>
                  <w:tab w:val="clear" w:pos="4680"/>
                  <w:tab w:val="clear" w:pos="9360"/>
                </w:tabs>
                <w:rPr>
                  <w:caps/>
                  <w:color w:val="808080" w:themeColor="background1" w:themeShade="80"/>
                  <w:sz w:val="18"/>
                  <w:szCs w:val="18"/>
                </w:rPr>
              </w:pPr>
              <w:r>
                <w:rPr>
                  <w:caps/>
                  <w:color w:val="808080" w:themeColor="background1" w:themeShade="80"/>
                  <w:sz w:val="18"/>
                  <w:szCs w:val="18"/>
                </w:rPr>
                <w:t>Daniel Hriscu 2127929</w:t>
              </w:r>
            </w:p>
          </w:tc>
        </w:sdtContent>
      </w:sdt>
      <w:tc>
        <w:tcPr>
          <w:tcW w:w="4674" w:type="dxa"/>
          <w:vAlign w:val="center"/>
        </w:tcPr>
        <w:p w14:paraId="53B4937D" w14:textId="77777777" w:rsidR="00444662" w:rsidRDefault="00444662">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1175787" w14:textId="77777777" w:rsidR="00444662" w:rsidRDefault="00444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D1B91" w14:textId="77777777" w:rsidR="00936FAE" w:rsidRDefault="00936FAE" w:rsidP="00444662">
      <w:pPr>
        <w:spacing w:before="0" w:after="0" w:line="240" w:lineRule="auto"/>
      </w:pPr>
      <w:r>
        <w:separator/>
      </w:r>
    </w:p>
  </w:footnote>
  <w:footnote w:type="continuationSeparator" w:id="0">
    <w:p w14:paraId="2778F72A" w14:textId="77777777" w:rsidR="00936FAE" w:rsidRDefault="00936FAE" w:rsidP="00444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E75C2E" w14:textId="3CA69630" w:rsidR="006B3DE1" w:rsidRDefault="006B3DE1" w:rsidP="006B3DE1">
    <w:pPr>
      <w:jc w:val="right"/>
    </w:pPr>
    <w:r w:rsidRPr="006B3DE1">
      <w:rPr>
        <w:i/>
        <w:iCs/>
        <w:color w:val="888888"/>
        <w:sz w:val="18"/>
        <w:szCs w:val="18"/>
      </w:rPr>
      <w:t>Compliance &amp; Framework Integration Mapping Matrix</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4403396">
    <w:abstractNumId w:val="8"/>
  </w:num>
  <w:num w:numId="2" w16cid:durableId="779027626">
    <w:abstractNumId w:val="6"/>
  </w:num>
  <w:num w:numId="3" w16cid:durableId="971059568">
    <w:abstractNumId w:val="5"/>
  </w:num>
  <w:num w:numId="4" w16cid:durableId="1793940646">
    <w:abstractNumId w:val="4"/>
  </w:num>
  <w:num w:numId="5" w16cid:durableId="1356882060">
    <w:abstractNumId w:val="7"/>
  </w:num>
  <w:num w:numId="6" w16cid:durableId="302858281">
    <w:abstractNumId w:val="3"/>
  </w:num>
  <w:num w:numId="7" w16cid:durableId="849491663">
    <w:abstractNumId w:val="2"/>
  </w:num>
  <w:num w:numId="8" w16cid:durableId="96104325">
    <w:abstractNumId w:val="1"/>
  </w:num>
  <w:num w:numId="9" w16cid:durableId="748112370">
    <w:abstractNumId w:val="0"/>
  </w:num>
  <w:num w:numId="10" w16cid:durableId="14903677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D6D79"/>
    <w:rsid w:val="0029639D"/>
    <w:rsid w:val="00326F90"/>
    <w:rsid w:val="003339E7"/>
    <w:rsid w:val="00440173"/>
    <w:rsid w:val="00444662"/>
    <w:rsid w:val="006B3DE1"/>
    <w:rsid w:val="007934AE"/>
    <w:rsid w:val="0093243A"/>
    <w:rsid w:val="00936FAE"/>
    <w:rsid w:val="00AA1D8D"/>
    <w:rsid w:val="00B47730"/>
    <w:rsid w:val="00B66CD6"/>
    <w:rsid w:val="00BC3AFE"/>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3E1659"/>
  <w14:defaultImageDpi w14:val="300"/>
  <w15:docId w15:val="{EE8A8E9B-B53F-0148-B236-CC291F67B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CD6"/>
    <w:rPr>
      <w:sz w:val="20"/>
      <w:szCs w:val="20"/>
    </w:rPr>
  </w:style>
  <w:style w:type="paragraph" w:styleId="Heading1">
    <w:name w:val="heading 1"/>
    <w:basedOn w:val="Normal"/>
    <w:next w:val="Normal"/>
    <w:link w:val="Heading1Char"/>
    <w:uiPriority w:val="9"/>
    <w:qFormat/>
    <w:rsid w:val="00B66CD6"/>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B66CD6"/>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B66CD6"/>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B66CD6"/>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B66CD6"/>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B66CD6"/>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B66CD6"/>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B66CD6"/>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66CD6"/>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basedOn w:val="Normal"/>
    <w:link w:val="NoSpacingChar"/>
    <w:uiPriority w:val="1"/>
    <w:qFormat/>
    <w:rsid w:val="00B66CD6"/>
    <w:pPr>
      <w:spacing w:before="0" w:after="0" w:line="240" w:lineRule="auto"/>
    </w:pPr>
  </w:style>
  <w:style w:type="character" w:customStyle="1" w:styleId="Heading1Char">
    <w:name w:val="Heading 1 Char"/>
    <w:basedOn w:val="DefaultParagraphFont"/>
    <w:link w:val="Heading1"/>
    <w:uiPriority w:val="9"/>
    <w:rsid w:val="00B66CD6"/>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B66CD6"/>
    <w:rPr>
      <w:caps/>
      <w:spacing w:val="15"/>
      <w:shd w:val="clear" w:color="auto" w:fill="C1E4F5" w:themeFill="accent1" w:themeFillTint="33"/>
    </w:rPr>
  </w:style>
  <w:style w:type="character" w:customStyle="1" w:styleId="Heading3Char">
    <w:name w:val="Heading 3 Char"/>
    <w:basedOn w:val="DefaultParagraphFont"/>
    <w:link w:val="Heading3"/>
    <w:uiPriority w:val="9"/>
    <w:rsid w:val="00B66CD6"/>
    <w:rPr>
      <w:caps/>
      <w:color w:val="0A2F40" w:themeColor="accent1" w:themeShade="7F"/>
      <w:spacing w:val="15"/>
    </w:rPr>
  </w:style>
  <w:style w:type="paragraph" w:styleId="Title">
    <w:name w:val="Title"/>
    <w:basedOn w:val="Normal"/>
    <w:next w:val="Normal"/>
    <w:link w:val="TitleChar"/>
    <w:uiPriority w:val="10"/>
    <w:qFormat/>
    <w:rsid w:val="00B66CD6"/>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B66CD6"/>
    <w:rPr>
      <w:caps/>
      <w:color w:val="156082" w:themeColor="accent1"/>
      <w:spacing w:val="10"/>
      <w:kern w:val="28"/>
      <w:sz w:val="52"/>
      <w:szCs w:val="52"/>
    </w:rPr>
  </w:style>
  <w:style w:type="paragraph" w:styleId="Subtitle">
    <w:name w:val="Subtitle"/>
    <w:basedOn w:val="Normal"/>
    <w:next w:val="Normal"/>
    <w:link w:val="SubtitleChar"/>
    <w:uiPriority w:val="11"/>
    <w:qFormat/>
    <w:rsid w:val="00B66CD6"/>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B66CD6"/>
    <w:rPr>
      <w:caps/>
      <w:color w:val="595959" w:themeColor="text1" w:themeTint="A6"/>
      <w:spacing w:val="10"/>
      <w:sz w:val="24"/>
      <w:szCs w:val="24"/>
    </w:rPr>
  </w:style>
  <w:style w:type="paragraph" w:styleId="ListParagraph">
    <w:name w:val="List Paragraph"/>
    <w:basedOn w:val="Normal"/>
    <w:uiPriority w:val="34"/>
    <w:qFormat/>
    <w:rsid w:val="00B66CD6"/>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B66CD6"/>
    <w:rPr>
      <w:i/>
      <w:iCs/>
    </w:rPr>
  </w:style>
  <w:style w:type="character" w:customStyle="1" w:styleId="QuoteChar">
    <w:name w:val="Quote Char"/>
    <w:basedOn w:val="DefaultParagraphFont"/>
    <w:link w:val="Quote"/>
    <w:uiPriority w:val="29"/>
    <w:rsid w:val="00B66CD6"/>
    <w:rPr>
      <w:i/>
      <w:iCs/>
      <w:sz w:val="20"/>
      <w:szCs w:val="20"/>
    </w:rPr>
  </w:style>
  <w:style w:type="character" w:customStyle="1" w:styleId="Heading4Char">
    <w:name w:val="Heading 4 Char"/>
    <w:basedOn w:val="DefaultParagraphFont"/>
    <w:link w:val="Heading4"/>
    <w:uiPriority w:val="9"/>
    <w:semiHidden/>
    <w:rsid w:val="00B66CD6"/>
    <w:rPr>
      <w:caps/>
      <w:color w:val="0F4761" w:themeColor="accent1" w:themeShade="BF"/>
      <w:spacing w:val="10"/>
    </w:rPr>
  </w:style>
  <w:style w:type="character" w:customStyle="1" w:styleId="Heading5Char">
    <w:name w:val="Heading 5 Char"/>
    <w:basedOn w:val="DefaultParagraphFont"/>
    <w:link w:val="Heading5"/>
    <w:uiPriority w:val="9"/>
    <w:semiHidden/>
    <w:rsid w:val="00B66CD6"/>
    <w:rPr>
      <w:caps/>
      <w:color w:val="0F4761" w:themeColor="accent1" w:themeShade="BF"/>
      <w:spacing w:val="10"/>
    </w:rPr>
  </w:style>
  <w:style w:type="character" w:customStyle="1" w:styleId="Heading6Char">
    <w:name w:val="Heading 6 Char"/>
    <w:basedOn w:val="DefaultParagraphFont"/>
    <w:link w:val="Heading6"/>
    <w:uiPriority w:val="9"/>
    <w:semiHidden/>
    <w:rsid w:val="00B66CD6"/>
    <w:rPr>
      <w:caps/>
      <w:color w:val="0F4761" w:themeColor="accent1" w:themeShade="BF"/>
      <w:spacing w:val="10"/>
    </w:rPr>
  </w:style>
  <w:style w:type="character" w:customStyle="1" w:styleId="Heading7Char">
    <w:name w:val="Heading 7 Char"/>
    <w:basedOn w:val="DefaultParagraphFont"/>
    <w:link w:val="Heading7"/>
    <w:uiPriority w:val="9"/>
    <w:semiHidden/>
    <w:rsid w:val="00B66CD6"/>
    <w:rPr>
      <w:caps/>
      <w:color w:val="0F4761" w:themeColor="accent1" w:themeShade="BF"/>
      <w:spacing w:val="10"/>
    </w:rPr>
  </w:style>
  <w:style w:type="character" w:customStyle="1" w:styleId="Heading8Char">
    <w:name w:val="Heading 8 Char"/>
    <w:basedOn w:val="DefaultParagraphFont"/>
    <w:link w:val="Heading8"/>
    <w:uiPriority w:val="9"/>
    <w:semiHidden/>
    <w:rsid w:val="00B66CD6"/>
    <w:rPr>
      <w:caps/>
      <w:spacing w:val="10"/>
      <w:sz w:val="18"/>
      <w:szCs w:val="18"/>
    </w:rPr>
  </w:style>
  <w:style w:type="character" w:customStyle="1" w:styleId="Heading9Char">
    <w:name w:val="Heading 9 Char"/>
    <w:basedOn w:val="DefaultParagraphFont"/>
    <w:link w:val="Heading9"/>
    <w:uiPriority w:val="9"/>
    <w:semiHidden/>
    <w:rsid w:val="00B66CD6"/>
    <w:rPr>
      <w:i/>
      <w:caps/>
      <w:spacing w:val="10"/>
      <w:sz w:val="18"/>
      <w:szCs w:val="18"/>
    </w:rPr>
  </w:style>
  <w:style w:type="paragraph" w:styleId="Caption">
    <w:name w:val="caption"/>
    <w:basedOn w:val="Normal"/>
    <w:next w:val="Normal"/>
    <w:uiPriority w:val="35"/>
    <w:semiHidden/>
    <w:unhideWhenUsed/>
    <w:qFormat/>
    <w:rsid w:val="00B66CD6"/>
    <w:rPr>
      <w:b/>
      <w:bCs/>
      <w:color w:val="0F4761" w:themeColor="accent1" w:themeShade="BF"/>
      <w:sz w:val="16"/>
      <w:szCs w:val="16"/>
    </w:rPr>
  </w:style>
  <w:style w:type="character" w:styleId="Strong">
    <w:name w:val="Strong"/>
    <w:uiPriority w:val="22"/>
    <w:qFormat/>
    <w:rsid w:val="00B66CD6"/>
    <w:rPr>
      <w:b/>
      <w:bCs/>
    </w:rPr>
  </w:style>
  <w:style w:type="character" w:styleId="Emphasis">
    <w:name w:val="Emphasis"/>
    <w:uiPriority w:val="20"/>
    <w:qFormat/>
    <w:rsid w:val="00B66CD6"/>
    <w:rPr>
      <w:caps/>
      <w:color w:val="0A2F40" w:themeColor="accent1" w:themeShade="7F"/>
      <w:spacing w:val="5"/>
    </w:rPr>
  </w:style>
  <w:style w:type="paragraph" w:styleId="IntenseQuote">
    <w:name w:val="Intense Quote"/>
    <w:basedOn w:val="Normal"/>
    <w:next w:val="Normal"/>
    <w:link w:val="IntenseQuoteChar"/>
    <w:uiPriority w:val="30"/>
    <w:qFormat/>
    <w:rsid w:val="00B66CD6"/>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B66CD6"/>
    <w:rPr>
      <w:i/>
      <w:iCs/>
      <w:color w:val="156082" w:themeColor="accent1"/>
      <w:sz w:val="20"/>
      <w:szCs w:val="20"/>
    </w:rPr>
  </w:style>
  <w:style w:type="character" w:styleId="SubtleEmphasis">
    <w:name w:val="Subtle Emphasis"/>
    <w:uiPriority w:val="19"/>
    <w:qFormat/>
    <w:rsid w:val="00B66CD6"/>
    <w:rPr>
      <w:i/>
      <w:iCs/>
      <w:color w:val="0A2F40" w:themeColor="accent1" w:themeShade="7F"/>
    </w:rPr>
  </w:style>
  <w:style w:type="character" w:styleId="IntenseEmphasis">
    <w:name w:val="Intense Emphasis"/>
    <w:uiPriority w:val="21"/>
    <w:qFormat/>
    <w:rsid w:val="00B66CD6"/>
    <w:rPr>
      <w:b/>
      <w:bCs/>
      <w:caps/>
      <w:color w:val="0A2F40" w:themeColor="accent1" w:themeShade="7F"/>
      <w:spacing w:val="10"/>
    </w:rPr>
  </w:style>
  <w:style w:type="character" w:styleId="SubtleReference">
    <w:name w:val="Subtle Reference"/>
    <w:uiPriority w:val="31"/>
    <w:qFormat/>
    <w:rsid w:val="00B66CD6"/>
    <w:rPr>
      <w:b/>
      <w:bCs/>
      <w:color w:val="156082" w:themeColor="accent1"/>
    </w:rPr>
  </w:style>
  <w:style w:type="character" w:styleId="IntenseReference">
    <w:name w:val="Intense Reference"/>
    <w:uiPriority w:val="32"/>
    <w:qFormat/>
    <w:rsid w:val="00B66CD6"/>
    <w:rPr>
      <w:b/>
      <w:bCs/>
      <w:i/>
      <w:iCs/>
      <w:caps/>
      <w:color w:val="156082" w:themeColor="accent1"/>
    </w:rPr>
  </w:style>
  <w:style w:type="character" w:styleId="BookTitle">
    <w:name w:val="Book Title"/>
    <w:uiPriority w:val="33"/>
    <w:qFormat/>
    <w:rsid w:val="00B66CD6"/>
    <w:rPr>
      <w:b/>
      <w:bCs/>
      <w:i/>
      <w:iCs/>
      <w:spacing w:val="9"/>
    </w:rPr>
  </w:style>
  <w:style w:type="paragraph" w:styleId="TOCHeading">
    <w:name w:val="TOC Heading"/>
    <w:basedOn w:val="Heading1"/>
    <w:next w:val="Normal"/>
    <w:uiPriority w:val="39"/>
    <w:semiHidden/>
    <w:unhideWhenUsed/>
    <w:qFormat/>
    <w:rsid w:val="00B66CD6"/>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0F4761" w:themeColor="accent1" w:themeShade="BF"/>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FC693F"/>
    <w:pPr>
      <w:spacing w:after="0" w:line="240" w:lineRule="auto"/>
    </w:pPr>
    <w:rPr>
      <w:color w:val="BF4E14" w:themeColor="accent2" w:themeShade="BF"/>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FC693F"/>
    <w:pPr>
      <w:spacing w:after="0" w:line="240" w:lineRule="auto"/>
    </w:pPr>
    <w:rPr>
      <w:color w:val="124F1A" w:themeColor="accent3" w:themeShade="BF"/>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FC693F"/>
    <w:pPr>
      <w:spacing w:after="0" w:line="240" w:lineRule="auto"/>
    </w:pPr>
    <w:rPr>
      <w:color w:val="0B769F" w:themeColor="accent4" w:themeShade="BF"/>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FC693F"/>
    <w:pPr>
      <w:spacing w:after="0" w:line="240" w:lineRule="auto"/>
    </w:pPr>
    <w:rPr>
      <w:color w:val="77206D" w:themeColor="accent5" w:themeShade="BF"/>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FC693F"/>
    <w:pPr>
      <w:spacing w:after="0" w:line="240" w:lineRule="auto"/>
    </w:pPr>
    <w:rPr>
      <w:color w:val="3A7C22" w:themeColor="accent6" w:themeShade="BF"/>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character" w:customStyle="1" w:styleId="NoSpacingChar">
    <w:name w:val="No Spacing Char"/>
    <w:basedOn w:val="DefaultParagraphFont"/>
    <w:link w:val="NoSpacing"/>
    <w:uiPriority w:val="1"/>
    <w:rsid w:val="00B66CD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06B904E14423E41A476DF07376A0137"/>
        <w:category>
          <w:name w:val="General"/>
          <w:gallery w:val="placeholder"/>
        </w:category>
        <w:types>
          <w:type w:val="bbPlcHdr"/>
        </w:types>
        <w:behaviors>
          <w:behavior w:val="content"/>
        </w:behaviors>
        <w:guid w:val="{992AD134-513B-A740-ABDE-E0C9D6773625}"/>
      </w:docPartPr>
      <w:docPartBody>
        <w:p w:rsidR="007046F0" w:rsidRDefault="00317DDC" w:rsidP="00317DDC">
          <w:pPr>
            <w:pStyle w:val="106B904E14423E41A476DF07376A0137"/>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Courier">
    <w:panose1 w:val="02070309020205020404"/>
    <w:charset w:val="00"/>
    <w:family w:val="auto"/>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DDC"/>
    <w:rsid w:val="00317DDC"/>
    <w:rsid w:val="003339E7"/>
    <w:rsid w:val="005F467F"/>
    <w:rsid w:val="007046F0"/>
    <w:rsid w:val="00EF7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17DDC"/>
    <w:rPr>
      <w:color w:val="808080"/>
    </w:rPr>
  </w:style>
  <w:style w:type="paragraph" w:customStyle="1" w:styleId="106B904E14423E41A476DF07376A0137">
    <w:name w:val="106B904E14423E41A476DF07376A0137"/>
    <w:rsid w:val="00317D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709</Words>
  <Characters>3960</Characters>
  <Application>Microsoft Office Word</Application>
  <DocSecurity>0</DocSecurity>
  <Lines>304</Lines>
  <Paragraphs>222</Paragraphs>
  <ScaleCrop>false</ScaleCrop>
  <HeadingPairs>
    <vt:vector size="2" baseType="variant">
      <vt:variant>
        <vt:lpstr>Title</vt:lpstr>
      </vt:variant>
      <vt:variant>
        <vt:i4>1</vt:i4>
      </vt:variant>
    </vt:vector>
  </HeadingPairs>
  <TitlesOfParts>
    <vt:vector size="1" baseType="lpstr">
      <vt:lpstr>COMPLIANCE &amp; FRAMEWORK INTEGRATION MAPPING MATRIX</vt:lpstr>
    </vt:vector>
  </TitlesOfParts>
  <Manager/>
  <Company/>
  <LinksUpToDate>false</LinksUpToDate>
  <CharactersWithSpaces>4447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COMPLIANCE &amp; FRAMEWORK INTEGRATION MAPPING MATRIX</dc:title>
  <dc:subject/>
  <dc:creator>Daniel Hriscu 2127929</dc:creator>
  <cp:keywords/>
  <dc:description/>
  <cp:lastModifiedBy>Daniel Hriscu</cp:lastModifiedBy>
  <cp:revision>3</cp:revision>
  <dcterms:created xsi:type="dcterms:W3CDTF">2026-03-31T12:32:00Z</dcterms:created>
  <dcterms:modified xsi:type="dcterms:W3CDTF">2026-03-31T12:38:00Z</dcterms:modified>
  <cp:category/>
</cp:coreProperties>
</file>