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DC1A9" w14:textId="77777777" w:rsidR="002624E7" w:rsidRDefault="002624E7" w:rsidP="002624E7">
      <w:pPr>
        <w:spacing w:before="120" w:after="120"/>
        <w:jc w:val="center"/>
        <w:rPr>
          <w:rFonts w:cs="Arial"/>
          <w:b/>
          <w:sz w:val="22"/>
          <w:szCs w:val="22"/>
        </w:rPr>
      </w:pPr>
    </w:p>
    <w:p w14:paraId="7C278D48" w14:textId="77777777" w:rsidR="002624E7" w:rsidRDefault="002624E7" w:rsidP="002624E7">
      <w:pPr>
        <w:spacing w:before="120" w:after="120"/>
        <w:jc w:val="center"/>
        <w:rPr>
          <w:rFonts w:cs="Arial"/>
          <w:b/>
          <w:sz w:val="22"/>
          <w:szCs w:val="22"/>
        </w:rPr>
      </w:pPr>
    </w:p>
    <w:p w14:paraId="5A9FC0A7" w14:textId="77777777" w:rsidR="002624E7" w:rsidRDefault="002624E7" w:rsidP="002624E7">
      <w:pPr>
        <w:spacing w:before="120" w:after="120"/>
        <w:jc w:val="center"/>
        <w:rPr>
          <w:rFonts w:cs="Arial"/>
          <w:b/>
          <w:sz w:val="22"/>
          <w:szCs w:val="22"/>
        </w:rPr>
      </w:pPr>
    </w:p>
    <w:p w14:paraId="70787F93" w14:textId="77777777" w:rsidR="002624E7" w:rsidRDefault="002624E7" w:rsidP="002624E7">
      <w:pPr>
        <w:spacing w:before="120" w:after="120"/>
        <w:jc w:val="center"/>
        <w:rPr>
          <w:rFonts w:cs="Arial"/>
          <w:b/>
          <w:sz w:val="22"/>
          <w:szCs w:val="22"/>
        </w:rPr>
      </w:pPr>
    </w:p>
    <w:p w14:paraId="2ED63307" w14:textId="77777777" w:rsidR="002624E7" w:rsidRDefault="002624E7" w:rsidP="002624E7">
      <w:pPr>
        <w:spacing w:before="120" w:after="120"/>
        <w:jc w:val="center"/>
        <w:rPr>
          <w:rFonts w:cs="Arial"/>
          <w:b/>
          <w:sz w:val="22"/>
          <w:szCs w:val="22"/>
        </w:rPr>
      </w:pPr>
    </w:p>
    <w:p w14:paraId="7166F0B8" w14:textId="77777777" w:rsidR="002624E7" w:rsidRDefault="002624E7" w:rsidP="002624E7">
      <w:pPr>
        <w:spacing w:before="120" w:after="120"/>
        <w:jc w:val="center"/>
        <w:rPr>
          <w:rFonts w:cs="Arial"/>
          <w:b/>
          <w:sz w:val="22"/>
          <w:szCs w:val="22"/>
        </w:rPr>
      </w:pPr>
    </w:p>
    <w:p w14:paraId="131A0927" w14:textId="77777777" w:rsidR="002624E7" w:rsidRDefault="002624E7" w:rsidP="002624E7">
      <w:pPr>
        <w:spacing w:before="120" w:after="120"/>
        <w:jc w:val="center"/>
        <w:rPr>
          <w:rFonts w:cs="Arial"/>
          <w:b/>
          <w:sz w:val="22"/>
          <w:szCs w:val="22"/>
        </w:rPr>
      </w:pPr>
    </w:p>
    <w:p w14:paraId="19DCE401" w14:textId="152DA4DA" w:rsidR="002624E7" w:rsidRPr="00A406E5" w:rsidRDefault="002624E7" w:rsidP="002624E7">
      <w:pPr>
        <w:spacing w:before="120" w:after="120"/>
        <w:jc w:val="center"/>
        <w:rPr>
          <w:rFonts w:cs="Arial"/>
          <w:b/>
          <w:sz w:val="22"/>
          <w:szCs w:val="22"/>
        </w:rPr>
      </w:pPr>
      <w:r w:rsidRPr="00F667E8">
        <w:rPr>
          <w:rFonts w:cs="Arial"/>
          <w:b/>
          <w:sz w:val="22"/>
          <w:szCs w:val="22"/>
        </w:rPr>
        <w:t>BMHP50</w:t>
      </w:r>
      <w:r>
        <w:rPr>
          <w:rFonts w:cs="Arial"/>
          <w:b/>
          <w:sz w:val="22"/>
          <w:szCs w:val="22"/>
        </w:rPr>
        <w:t xml:space="preserve">14 – </w:t>
      </w:r>
      <w:r w:rsidRPr="00953B01">
        <w:rPr>
          <w:rFonts w:cs="Arial"/>
          <w:b/>
          <w:sz w:val="22"/>
          <w:szCs w:val="22"/>
        </w:rPr>
        <w:t>Changemakers: Creativity and Value Creation</w:t>
      </w:r>
    </w:p>
    <w:p w14:paraId="53ECBEBF" w14:textId="43E3868C" w:rsidR="002624E7" w:rsidRDefault="000F197D" w:rsidP="002624E7">
      <w:pPr>
        <w:jc w:val="center"/>
        <w:rPr>
          <w:b/>
          <w:bCs/>
        </w:rPr>
      </w:pPr>
      <w:r>
        <w:rPr>
          <w:b/>
          <w:bCs/>
        </w:rPr>
        <w:t>Nabila Nazam</w:t>
      </w:r>
    </w:p>
    <w:p w14:paraId="3BD83195" w14:textId="50F29F41" w:rsidR="000F197D" w:rsidRDefault="000F197D" w:rsidP="002624E7">
      <w:pPr>
        <w:jc w:val="center"/>
        <w:rPr>
          <w:b/>
          <w:bCs/>
        </w:rPr>
      </w:pPr>
      <w:r>
        <w:rPr>
          <w:b/>
          <w:bCs/>
        </w:rPr>
        <w:t>2324644</w:t>
      </w:r>
    </w:p>
    <w:p w14:paraId="4A836130" w14:textId="1C75ADDC" w:rsidR="0024446C" w:rsidRDefault="00E55F16" w:rsidP="002624E7">
      <w:pPr>
        <w:jc w:val="center"/>
        <w:rPr>
          <w:b/>
          <w:bCs/>
        </w:rPr>
      </w:pPr>
      <w:r>
        <w:rPr>
          <w:b/>
          <w:bCs/>
        </w:rPr>
        <w:t>Elena Leon</w:t>
      </w:r>
      <w:r w:rsidR="00506A83">
        <w:rPr>
          <w:b/>
          <w:bCs/>
        </w:rPr>
        <w:t>ova</w:t>
      </w:r>
    </w:p>
    <w:p w14:paraId="52D66E83" w14:textId="4AB1AC2C" w:rsidR="002624E7" w:rsidRDefault="002624E7" w:rsidP="002624E7">
      <w:pPr>
        <w:jc w:val="center"/>
        <w:rPr>
          <w:b/>
          <w:bCs/>
        </w:rPr>
      </w:pPr>
      <w:r>
        <w:rPr>
          <w:b/>
          <w:bCs/>
        </w:rPr>
        <w:t>Programme: BSc Health and Social Care</w:t>
      </w:r>
    </w:p>
    <w:p w14:paraId="7CBA6413" w14:textId="707FF331" w:rsidR="002624E7" w:rsidRDefault="002624E7" w:rsidP="002624E7">
      <w:pPr>
        <w:jc w:val="center"/>
        <w:rPr>
          <w:rFonts w:cs="Arial"/>
          <w:b/>
          <w:bCs/>
          <w:sz w:val="22"/>
          <w:szCs w:val="22"/>
        </w:rPr>
      </w:pPr>
      <w:r w:rsidRPr="007C28F9">
        <w:rPr>
          <w:rFonts w:cs="Arial"/>
          <w:b/>
          <w:bCs/>
          <w:sz w:val="22"/>
          <w:szCs w:val="22"/>
        </w:rPr>
        <w:t xml:space="preserve">Component 2: </w:t>
      </w:r>
      <w:r>
        <w:rPr>
          <w:rFonts w:cs="Arial"/>
          <w:b/>
          <w:bCs/>
          <w:sz w:val="22"/>
          <w:szCs w:val="22"/>
        </w:rPr>
        <w:t xml:space="preserve">Written </w:t>
      </w:r>
      <w:r w:rsidRPr="007C28F9">
        <w:rPr>
          <w:rFonts w:cs="Arial"/>
          <w:b/>
          <w:bCs/>
          <w:sz w:val="22"/>
          <w:szCs w:val="22"/>
        </w:rPr>
        <w:t>Assignment (Report)</w:t>
      </w:r>
    </w:p>
    <w:p w14:paraId="594571FA" w14:textId="6951C279" w:rsidR="002624E7" w:rsidRDefault="002624E7" w:rsidP="002624E7">
      <w:pPr>
        <w:rPr>
          <w:rFonts w:cs="Arial"/>
          <w:b/>
          <w:bCs/>
          <w:sz w:val="22"/>
          <w:szCs w:val="22"/>
        </w:rPr>
      </w:pPr>
    </w:p>
    <w:p w14:paraId="6E4C0DCE" w14:textId="77777777" w:rsidR="002624E7" w:rsidRDefault="002624E7" w:rsidP="002624E7">
      <w:pPr>
        <w:rPr>
          <w:b/>
          <w:bCs/>
        </w:rPr>
      </w:pPr>
    </w:p>
    <w:p w14:paraId="39D488BA" w14:textId="77777777" w:rsidR="002624E7" w:rsidRDefault="002624E7">
      <w:pPr>
        <w:spacing w:line="278" w:lineRule="auto"/>
        <w:jc w:val="left"/>
        <w:rPr>
          <w:b/>
          <w:bCs/>
        </w:rPr>
      </w:pPr>
      <w:r>
        <w:rPr>
          <w:b/>
          <w:bCs/>
        </w:rPr>
        <w:br w:type="page"/>
      </w:r>
    </w:p>
    <w:p w14:paraId="00E1A1DE" w14:textId="7FCEC124" w:rsidR="002624E7" w:rsidRPr="002624E7" w:rsidRDefault="002624E7" w:rsidP="002624E7">
      <w:pPr>
        <w:rPr>
          <w:b/>
          <w:bCs/>
        </w:rPr>
      </w:pPr>
      <w:r w:rsidRPr="002624E7">
        <w:rPr>
          <w:b/>
          <w:bCs/>
        </w:rPr>
        <w:lastRenderedPageBreak/>
        <w:t>a) Title and Innovation Overview</w:t>
      </w:r>
    </w:p>
    <w:p w14:paraId="6B0B6277" w14:textId="719C02E4" w:rsidR="002624E7" w:rsidRPr="002624E7" w:rsidRDefault="002624E7" w:rsidP="002624E7">
      <w:r w:rsidRPr="002624E7">
        <w:t xml:space="preserve">Title: 28 Days, One Decision – CO-Verified Quit </w:t>
      </w:r>
      <w:r>
        <w:t xml:space="preserve">and </w:t>
      </w:r>
      <w:r w:rsidRPr="002624E7">
        <w:t>Daily Coaching for 18–35s</w:t>
      </w:r>
    </w:p>
    <w:p w14:paraId="0538ED22" w14:textId="77777777" w:rsidR="002624E7" w:rsidRDefault="002624E7" w:rsidP="002624E7">
      <w:r>
        <w:t>This innovation will be a community-based stop-smoking program that will help the young adult quit smoking by using a combination of carbon-monoxide (CO) breath check, same-day nicotine replacement therapy (NRT), and daily WhatsApp or SMS coaching. The concept of the campaign is to ensure that the process of quitting is easy, quick and individual. It will take only a minute of adult participation through the scanning of a large QR code on the posters or on the advertisements on social media.</w:t>
      </w:r>
    </w:p>
    <w:p w14:paraId="36CB0EB1" w14:textId="73EDDD7B" w:rsidR="002624E7" w:rsidRDefault="002624E7" w:rsidP="002624E7">
      <w:r>
        <w:t>After registration, the participants are taken through a 28 days challenge that offers structure and motivation. The registration page gives an individual an opportunity to select the preferred form of NRT, which can be patches, gum, or inhalers, and make a brief appointment with a stop-smoking advisor. Every participant is given a pocket-sized CO monitor aimed at checking the progress of their smoke-free status at home. They also get motivational messages on a daily basis that deal with frequent challenges like cravings, stress and social pressure. Advice and support- Geek Squad provides an emotional and practical support via weekly video consultations, and small vouchers are provided as a reward upon a smoke-free week. The project is thoroughly consistent with the NICE NG209 national guideline on tobacco prevention, quitting, and harm reduction (NICE, 2025).</w:t>
      </w:r>
    </w:p>
    <w:p w14:paraId="00A1D40C" w14:textId="77777777" w:rsidR="002624E7" w:rsidRPr="002624E7" w:rsidRDefault="002624E7" w:rsidP="002624E7"/>
    <w:p w14:paraId="26FF6FFF" w14:textId="77777777" w:rsidR="002624E7" w:rsidRPr="002624E7" w:rsidRDefault="002624E7" w:rsidP="002624E7">
      <w:pPr>
        <w:rPr>
          <w:b/>
          <w:bCs/>
        </w:rPr>
      </w:pPr>
      <w:r w:rsidRPr="002624E7">
        <w:rPr>
          <w:b/>
          <w:bCs/>
        </w:rPr>
        <w:t>b) The Issue / Gaps in Health and Social Care</w:t>
      </w:r>
    </w:p>
    <w:p w14:paraId="44A383F7" w14:textId="77777777" w:rsidR="002624E7" w:rsidRDefault="002624E7" w:rsidP="002624E7">
      <w:r>
        <w:t>Smoking has remained a significant population health issue in the United Kingdom, especially among the young adults. The Office for National Statistics (ONS) reported that in Great Britain, 14 percent of adults (2534 years) and 9.8 percent of adults (1824 years) smoked on a daily basis in 2023. This was equivalent to approximately six million smokers in the country. The national rate of smoking decreased a bit to 10.6% (5.3 million) by 2024, yet young adults are the most vulnerable population (ONS, 2023; ONS, 2024). These statistics indicate that there is a constant deficit in support services with younger demographics.</w:t>
      </w:r>
    </w:p>
    <w:p w14:paraId="24C5320B" w14:textId="500A6DC0" w:rsidR="002624E7" w:rsidRPr="002624E7" w:rsidRDefault="002624E7" w:rsidP="002624E7">
      <w:r>
        <w:lastRenderedPageBreak/>
        <w:t>A lot of youths say that they want to quit, yet they are unable to cope with any stressors in their lives, the social factors, and the absence of support resources or attractive support. Evidence proves that a personalised online intervention, including instant-message coaching, proves to be more effective in assisting individuals to quit smoking than the generic or automated texts (Lin et al., 2023; He et al., 2024). Equally, the use of CO verification in cessation programmes would also bring a sense of credibility since it would include objective evidence of abstinence (Mukadam et al., 2023). Moreover, other monetary rewards like vouchers in supermarkets have been demonstrated to considerably enhance the quit rates. The last Cochrane study concluded that financial incentives may have a significant effect on long-term abstinence (Notley et al., 2025). The combination of these results proves that there is necessity to develop an innovation that would combine verification, coaching, and incentives into a single system.</w:t>
      </w:r>
    </w:p>
    <w:p w14:paraId="566741D4" w14:textId="37302328" w:rsidR="002624E7" w:rsidRPr="002624E7" w:rsidRDefault="002624E7" w:rsidP="002624E7"/>
    <w:p w14:paraId="52555601" w14:textId="77777777" w:rsidR="002624E7" w:rsidRPr="002624E7" w:rsidRDefault="002624E7" w:rsidP="002624E7">
      <w:pPr>
        <w:rPr>
          <w:b/>
          <w:bCs/>
        </w:rPr>
      </w:pPr>
      <w:r w:rsidRPr="002624E7">
        <w:rPr>
          <w:b/>
          <w:bCs/>
        </w:rPr>
        <w:t>c) Target Audience and Impact</w:t>
      </w:r>
    </w:p>
    <w:p w14:paraId="3711512E" w14:textId="77777777" w:rsidR="002624E7" w:rsidRDefault="002624E7" w:rsidP="002624E7">
      <w:r>
        <w:t>The main target of this campaign will be daily smokers aged 18 35 such as university students, apprentices and young professionals. This group has been known to be highly stressed, busy time, and has a deficiency of traditional cessation clinics. They are also very dependent on technology and better suited to respond to digital, conversational methods instead of formal clinical programmes (ONS, 2023).</w:t>
      </w:r>
    </w:p>
    <w:p w14:paraId="1D24E546" w14:textId="298E0AC8" w:rsidR="002624E7" w:rsidRPr="002624E7" w:rsidRDefault="002624E7" w:rsidP="002624E7">
      <w:r>
        <w:t>The programme eliminates the time, cost and access barriers by providing an immediate QR sign-up option, immediate NRT collection (same-day), and a customised digital coaching program. Among the expected effects are an increase in the rate among verified quits, lower relapse rates, and wellbeing among participants. Daily digital nudges and weekly video sessions are emotionally reinforcing and reduce isolation (NIHR Quit Sense, 2024), whereas personalised coaching and monitoring of CO adds to accountability (Lin et al., 2023; Mukadam et al., 2023). At a bigger level, the effective implementation will contribute to the reduction of the rate of smoking-associated diseases and deaths among the young adults on a larger scale and contribute to the national objective of a smoke-free generation by 2030 (ONS, 2024).</w:t>
      </w:r>
    </w:p>
    <w:p w14:paraId="2B7C691A" w14:textId="77777777" w:rsidR="002624E7" w:rsidRPr="002624E7" w:rsidRDefault="002624E7" w:rsidP="002624E7">
      <w:pPr>
        <w:rPr>
          <w:b/>
          <w:bCs/>
        </w:rPr>
      </w:pPr>
      <w:r w:rsidRPr="002624E7">
        <w:rPr>
          <w:b/>
          <w:bCs/>
        </w:rPr>
        <w:lastRenderedPageBreak/>
        <w:t>d) Implementation</w:t>
      </w:r>
    </w:p>
    <w:p w14:paraId="0098C569" w14:textId="77777777" w:rsidR="002624E7" w:rsidRDefault="002624E7" w:rsidP="002624E7">
      <w:r>
        <w:t>The implementation will mainly be done by using the community pharmacies, which will be at the frontline to carry out the CO checks and dispense the NRT. Sign-ups and promotion will be achieved through GP practices, youth hubs and employers. All participants scan a QR-code and complete a brief registration questionnaire and reserve a brief quit-date call. They also pick up NRT products in a local pharmacy the same day.</w:t>
      </w:r>
    </w:p>
    <w:p w14:paraId="0F875545" w14:textId="7FDA0BEE" w:rsidR="002624E7" w:rsidRPr="002624E7" w:rsidRDefault="002624E7" w:rsidP="002624E7">
      <w:r>
        <w:t>The participants are provided with a loaned CO monitor, daily motivational messages and weekly video sessions with a certified stop-smoking advisor after registration. The voucher system is also introduced in the programme, and gives small financial incentives every smoke-free week of the CO-verified week (Notley et al., 2025). The model is a mixture of professional supervision and loose and community-based assistance whereby individuals are allowed to quit smoking as part of their everyday lives.</w:t>
      </w:r>
    </w:p>
    <w:p w14:paraId="2AEE7899" w14:textId="79F7EC46" w:rsidR="002624E7" w:rsidRPr="002624E7" w:rsidRDefault="002624E7" w:rsidP="002624E7"/>
    <w:p w14:paraId="19955888" w14:textId="77777777" w:rsidR="002624E7" w:rsidRPr="002624E7" w:rsidRDefault="002624E7" w:rsidP="002624E7">
      <w:pPr>
        <w:rPr>
          <w:b/>
          <w:bCs/>
        </w:rPr>
      </w:pPr>
      <w:r w:rsidRPr="002624E7">
        <w:rPr>
          <w:b/>
          <w:bCs/>
        </w:rPr>
        <w:t>e) Timeline</w:t>
      </w:r>
    </w:p>
    <w:p w14:paraId="479DEDD1" w14:textId="2766251E" w:rsidR="002624E7" w:rsidRPr="002624E7" w:rsidRDefault="002624E7" w:rsidP="002624E7">
      <w:r w:rsidRPr="002624E7">
        <w:t>The innovation will have a well-organized schedule in order to facilitate the successful implementation of the innovation and quantifiable results. Development of partnerships with pharmacies and GP practices, advisor training, and privacy and consent process finalisation will be the main areas during the first four weeks. The 12 weeks will be pilot of the programme involving approximately 300 participants in ten pharmacies. The information gathered at this stage will include user engagement, the NRT uptake, and CO-verified abstinence. On successful assessment, the project will be scaled within six months and encompass over 50 pharmacies and become a part of local Integrated Care Systems (ICS) pathways. The last step will be the use of university campuses and major employers to target a bigger population.</w:t>
      </w:r>
    </w:p>
    <w:p w14:paraId="5FD526BA" w14:textId="6ADEA1F4" w:rsidR="002624E7" w:rsidRPr="002624E7" w:rsidRDefault="002624E7" w:rsidP="002624E7"/>
    <w:p w14:paraId="0F3BA60F" w14:textId="77777777" w:rsidR="002624E7" w:rsidRPr="002624E7" w:rsidRDefault="002624E7" w:rsidP="002624E7">
      <w:pPr>
        <w:rPr>
          <w:b/>
          <w:bCs/>
        </w:rPr>
      </w:pPr>
      <w:r w:rsidRPr="002624E7">
        <w:rPr>
          <w:b/>
          <w:bCs/>
        </w:rPr>
        <w:t>f) Development and Regulations</w:t>
      </w:r>
    </w:p>
    <w:p w14:paraId="21498241" w14:textId="77777777" w:rsidR="002624E7" w:rsidRDefault="002624E7" w:rsidP="002624E7">
      <w:r>
        <w:t xml:space="preserve">The project is within the confines of the legal requirements and standards of the country. It is in line with NICE NG209 on tobacco cessation and reduction (NICE, 2025). The UK </w:t>
      </w:r>
      <w:r>
        <w:lastRenderedPageBreak/>
        <w:t>GDPR and Data Protection Act 2018 ensure the privacy of participants and provide them with the option to withdraw at any point since the data protection and consent are addressed (UK Government, 2018).</w:t>
      </w:r>
    </w:p>
    <w:p w14:paraId="70980BBB" w14:textId="1C16BD86" w:rsidR="002624E7" w:rsidRDefault="002624E7" w:rsidP="002624E7">
      <w:r>
        <w:t>The online site complies with the NHS Digital Technology Assessment Criteria (DTAC) that provides clinical safety, data security, cybersecurity, and accessibility (NHS England, n.d.). CO monitors applied in the programme are also in line with the regulation of MHRA medical devices and indicate the UKCA mark to ensure safety and quality (MHRA, n.d.). All these measures ensure that there is ethical, legal and technical integrity in the project.</w:t>
      </w:r>
    </w:p>
    <w:p w14:paraId="30C39E09" w14:textId="77777777" w:rsidR="002624E7" w:rsidRPr="002624E7" w:rsidRDefault="002624E7" w:rsidP="002624E7"/>
    <w:p w14:paraId="1406F016" w14:textId="77777777" w:rsidR="002624E7" w:rsidRPr="002624E7" w:rsidRDefault="002624E7" w:rsidP="002624E7">
      <w:pPr>
        <w:rPr>
          <w:b/>
          <w:bCs/>
        </w:rPr>
      </w:pPr>
      <w:r w:rsidRPr="002624E7">
        <w:rPr>
          <w:b/>
          <w:bCs/>
        </w:rPr>
        <w:t>g) Technology Integration</w:t>
      </w:r>
    </w:p>
    <w:p w14:paraId="1630DED2" w14:textId="77777777" w:rsidR="002624E7" w:rsidRDefault="002624E7" w:rsidP="002624E7">
      <w:r>
        <w:t>The most important role in this innovation is played by technology. All participants have their own portable CO monitor that measures and documents their progress and provides real-time feedback and signs of improvement (Mukadam et al., 2023). Daily WhatsApp or SMS messages provide motivation and education through sharing tips and encouragement. Research has demonstrated that such an interactive and instant-message coaching yields much higher quit rates compared to the conventional text-based campaigns (Lin et al., 2023; He et al., 2024).</w:t>
      </w:r>
    </w:p>
    <w:p w14:paraId="229B3240" w14:textId="6BE0D762" w:rsidR="002624E7" w:rsidRPr="002624E7" w:rsidRDefault="002624E7" w:rsidP="002624E7">
      <w:r>
        <w:t>An accountability is offered by weekly video consultations, and the advisors can react to the needs of each of the participants in real time. All the data is encrypted and stored as per the NHS data-security requirements, with minimum data collection in order to secure user privacy (NHS Digital, 2024).</w:t>
      </w:r>
    </w:p>
    <w:p w14:paraId="005C6DD1" w14:textId="4A646A99" w:rsidR="002624E7" w:rsidRPr="002624E7" w:rsidRDefault="002624E7" w:rsidP="002624E7"/>
    <w:p w14:paraId="74ED8885" w14:textId="77777777" w:rsidR="002624E7" w:rsidRPr="002624E7" w:rsidRDefault="002624E7" w:rsidP="002624E7">
      <w:pPr>
        <w:rPr>
          <w:b/>
          <w:bCs/>
        </w:rPr>
      </w:pPr>
      <w:r w:rsidRPr="002624E7">
        <w:rPr>
          <w:b/>
          <w:bCs/>
        </w:rPr>
        <w:t>h) Dissemination: How the Innovation Will Be Promoted</w:t>
      </w:r>
    </w:p>
    <w:p w14:paraId="40C0B7A9" w14:textId="77777777" w:rsidR="002624E7" w:rsidRDefault="002624E7" w:rsidP="002624E7">
      <w:r>
        <w:t>These dissemination strategies will make sure that the healthcare professionals and the general population are aware of the campaign. Advertisement shall occur in the college campuses, gym area, barbershops, community pages, and newsletters in the work place. The large QR codes will be put on posters located in GP surgeries, pharmacies and youth centres to promote fast enrolment.</w:t>
      </w:r>
    </w:p>
    <w:p w14:paraId="2813F9A4" w14:textId="3C529487" w:rsidR="002624E7" w:rsidRPr="002624E7" w:rsidRDefault="002624E7" w:rsidP="002624E7">
      <w:r>
        <w:lastRenderedPageBreak/>
        <w:t>The outreach activities will be extended to target populations through the collaboration with Integrated Care Systems (ICS), employers, and university wellbeing teams. Short video clips, real participants testimonials, and infographics will also be used in the campaign to spread success stories and smoking trends (ONS, 2024; Cochrane, 2025). The campaign aims at engaging the general population and establishing community support of smoke-free living by making quitting a possibility, modern, and rewarding.</w:t>
      </w:r>
    </w:p>
    <w:p w14:paraId="64933792" w14:textId="2FAE3CEF" w:rsidR="002624E7" w:rsidRPr="002624E7" w:rsidRDefault="002624E7" w:rsidP="002624E7"/>
    <w:p w14:paraId="7EC7D50B" w14:textId="77777777" w:rsidR="002624E7" w:rsidRPr="002624E7" w:rsidRDefault="002624E7" w:rsidP="002624E7">
      <w:pPr>
        <w:rPr>
          <w:b/>
          <w:bCs/>
        </w:rPr>
      </w:pPr>
      <w:r w:rsidRPr="002624E7">
        <w:rPr>
          <w:b/>
          <w:bCs/>
        </w:rPr>
        <w:t>i) Conclusion</w:t>
      </w:r>
    </w:p>
    <w:p w14:paraId="3F664DB9" w14:textId="77777777" w:rsidR="002624E7" w:rsidRDefault="002624E7" w:rsidP="002624E7">
      <w:r w:rsidRPr="002624E7">
        <w:t>Even though the rates of smoking in the country have decreased, young adults are still a vulnerable group, not receiving personalized, desirable cessation programs (ONS, 2024). The innovation is an evidence-based, modern, and inclusive solution, which integrates the digital coaching, the CO verification, and the reward-based motivation. It also directly helps in the efforts of the UK Government to make future smoke-free.The programme’s key strengths lie in its accessibility, personalisation, and accountability. By allowing quick registration, same-</w:t>
      </w:r>
    </w:p>
    <w:p w14:paraId="1C348A34" w14:textId="20A6F088" w:rsidR="002624E7" w:rsidRPr="002624E7" w:rsidRDefault="002624E7" w:rsidP="002624E7">
      <w:r w:rsidRPr="002624E7">
        <w:t xml:space="preserve">day access to NRT, and verified results, it makes quitting realistic and rewarding. The message remains simple and motivational: </w:t>
      </w:r>
      <w:r w:rsidRPr="002624E7">
        <w:rPr>
          <w:i/>
          <w:iCs/>
        </w:rPr>
        <w:t>“28 Days. One Decision. Scan to Start Today.”</w:t>
      </w:r>
      <w:r w:rsidRPr="002624E7">
        <w:t xml:space="preserve"> Through its human-centred design and alignment with public-health policy, this campaign has the potential to enhance wellbeing, reduce disease burden, and make a lasting contribution to tobacco control in the UK.</w:t>
      </w:r>
    </w:p>
    <w:p w14:paraId="26A6A517" w14:textId="4C929D6D" w:rsidR="002624E7" w:rsidRPr="002624E7" w:rsidRDefault="002624E7" w:rsidP="002624E7"/>
    <w:p w14:paraId="410E4B6B" w14:textId="77777777" w:rsidR="002624E7" w:rsidRDefault="002624E7">
      <w:pPr>
        <w:spacing w:line="278" w:lineRule="auto"/>
        <w:jc w:val="left"/>
        <w:rPr>
          <w:b/>
          <w:bCs/>
        </w:rPr>
      </w:pPr>
      <w:r>
        <w:rPr>
          <w:b/>
          <w:bCs/>
        </w:rPr>
        <w:br w:type="page"/>
      </w:r>
    </w:p>
    <w:p w14:paraId="62181FAC" w14:textId="52C09483" w:rsidR="002624E7" w:rsidRPr="002624E7" w:rsidRDefault="002624E7" w:rsidP="002624E7">
      <w:pPr>
        <w:rPr>
          <w:b/>
          <w:bCs/>
        </w:rPr>
      </w:pPr>
      <w:r w:rsidRPr="002624E7">
        <w:rPr>
          <w:b/>
          <w:bCs/>
        </w:rPr>
        <w:lastRenderedPageBreak/>
        <w:t>References</w:t>
      </w:r>
    </w:p>
    <w:p w14:paraId="5283EBCA" w14:textId="24B0C2FC" w:rsidR="002624E7" w:rsidRPr="002624E7" w:rsidRDefault="002624E7" w:rsidP="002624E7">
      <w:r w:rsidRPr="002624E7">
        <w:t xml:space="preserve">Chemist2u. (2025). </w:t>
      </w:r>
      <w:r w:rsidRPr="002624E7">
        <w:rPr>
          <w:i/>
          <w:iCs/>
        </w:rPr>
        <w:t>Stop Smoking Program.</w:t>
      </w:r>
      <w:r w:rsidRPr="002624E7">
        <w:t xml:space="preserve"> Available at: </w:t>
      </w:r>
      <w:hyperlink r:id="rId9" w:tgtFrame="_new" w:history="1">
        <w:r w:rsidRPr="002624E7">
          <w:rPr>
            <w:rStyle w:val="Hyperlink"/>
          </w:rPr>
          <w:t>https://chemist2u.com.au/stop-smoking-program/</w:t>
        </w:r>
      </w:hyperlink>
      <w:r w:rsidRPr="002624E7">
        <w:br/>
        <w:t xml:space="preserve">Dribble. (2025). </w:t>
      </w:r>
      <w:r w:rsidRPr="002624E7">
        <w:rPr>
          <w:i/>
          <w:iCs/>
        </w:rPr>
        <w:t>Quit Smoking with Smoke Tracker.</w:t>
      </w:r>
      <w:r w:rsidRPr="002624E7">
        <w:t xml:space="preserve"> Available at: </w:t>
      </w:r>
      <w:hyperlink r:id="rId10" w:tgtFrame="_new" w:history="1">
        <w:r w:rsidRPr="002624E7">
          <w:rPr>
            <w:rStyle w:val="Hyperlink"/>
          </w:rPr>
          <w:t>https://dribbble.com/shots/25900292-Quit-Smoking-with-Smoke-Tracker</w:t>
        </w:r>
      </w:hyperlink>
      <w:r w:rsidRPr="002624E7">
        <w:br/>
        <w:t xml:space="preserve">He, W. J. A., et al. (2024). Effectiveness of instant-messaging group vs SMS for cessation support. </w:t>
      </w:r>
      <w:r w:rsidRPr="002624E7">
        <w:rPr>
          <w:i/>
          <w:iCs/>
        </w:rPr>
        <w:t>International Journal of Mental Health and Addiction.</w:t>
      </w:r>
      <w:r w:rsidRPr="002624E7">
        <w:t xml:space="preserve"> </w:t>
      </w:r>
      <w:hyperlink r:id="rId11" w:tgtFrame="_new" w:history="1">
        <w:r w:rsidRPr="002624E7">
          <w:rPr>
            <w:rStyle w:val="Hyperlink"/>
          </w:rPr>
          <w:t>https://doi.org/10.1007/s11469-024-01239-7</w:t>
        </w:r>
      </w:hyperlink>
      <w:r w:rsidRPr="002624E7">
        <w:br/>
        <w:t xml:space="preserve">Lin, H., Lin, Y., Zheng, Y., Liu, Z., </w:t>
      </w:r>
      <w:r>
        <w:t>and</w:t>
      </w:r>
      <w:r w:rsidRPr="002624E7">
        <w:t xml:space="preserve"> Chang, C. (2023). Assessment of a text message–based smoking cessation intervention for adult smokers in China: A randomized clinical trial. </w:t>
      </w:r>
      <w:r w:rsidRPr="002624E7">
        <w:rPr>
          <w:i/>
          <w:iCs/>
        </w:rPr>
        <w:t>JAMA Network Open, 6</w:t>
      </w:r>
      <w:r w:rsidRPr="002624E7">
        <w:t xml:space="preserve">(3), e230301. </w:t>
      </w:r>
      <w:hyperlink r:id="rId12" w:tgtFrame="_new" w:history="1">
        <w:r w:rsidRPr="002624E7">
          <w:rPr>
            <w:rStyle w:val="Hyperlink"/>
          </w:rPr>
          <w:t>https://doi.org/10.1001/jamanetworkopen.2023.0301</w:t>
        </w:r>
      </w:hyperlink>
      <w:r w:rsidRPr="002624E7">
        <w:br/>
        <w:t xml:space="preserve">Medicines and Healthcare products Regulatory Agency (MHRA). (n.d.). </w:t>
      </w:r>
      <w:r w:rsidRPr="002624E7">
        <w:rPr>
          <w:i/>
          <w:iCs/>
        </w:rPr>
        <w:t>Regulating medical devices in the UK.</w:t>
      </w:r>
      <w:r w:rsidRPr="002624E7">
        <w:t xml:space="preserve"> </w:t>
      </w:r>
      <w:hyperlink r:id="rId13" w:tgtFrame="_new" w:history="1">
        <w:r w:rsidRPr="002624E7">
          <w:rPr>
            <w:rStyle w:val="Hyperlink"/>
          </w:rPr>
          <w:t>https://www.gov.uk/guidance/regulating-medical-devices-in-the-uk</w:t>
        </w:r>
      </w:hyperlink>
      <w:r w:rsidRPr="002624E7">
        <w:br/>
        <w:t xml:space="preserve">Mukadam, A., Akinyemi, O., </w:t>
      </w:r>
      <w:r>
        <w:t>and</w:t>
      </w:r>
      <w:r w:rsidRPr="002624E7">
        <w:t xml:space="preserve"> Maduka, O. (2023). Validity of self-reported smoking cessation with carbon monoxide cut-offs. </w:t>
      </w:r>
      <w:r w:rsidRPr="002624E7">
        <w:rPr>
          <w:i/>
          <w:iCs/>
        </w:rPr>
        <w:t>Annals of Medical Research, 30</w:t>
      </w:r>
      <w:r w:rsidRPr="002624E7">
        <w:t xml:space="preserve">(4). </w:t>
      </w:r>
      <w:hyperlink r:id="rId14" w:tgtFrame="_new" w:history="1">
        <w:r w:rsidRPr="002624E7">
          <w:rPr>
            <w:rStyle w:val="Hyperlink"/>
          </w:rPr>
          <w:t>https://doi.org/10.14744/AnnalsMedRes.2023.11766</w:t>
        </w:r>
      </w:hyperlink>
      <w:r w:rsidRPr="002624E7">
        <w:br/>
        <w:t xml:space="preserve">National Institute for Health and Care Excellence (NICE). (2025). </w:t>
      </w:r>
      <w:r w:rsidRPr="002624E7">
        <w:rPr>
          <w:i/>
          <w:iCs/>
        </w:rPr>
        <w:t>NG209: Tobacco—preventing uptake, promoting quitting and harm-reduction</w:t>
      </w:r>
      <w:r w:rsidRPr="002624E7">
        <w:t xml:space="preserve"> (last reviewed 04 Feb 2025). </w:t>
      </w:r>
      <w:hyperlink r:id="rId15" w:tgtFrame="_new" w:history="1">
        <w:r w:rsidRPr="002624E7">
          <w:rPr>
            <w:rStyle w:val="Hyperlink"/>
          </w:rPr>
          <w:t>https://www.nice.org.uk/guidance/ng209</w:t>
        </w:r>
      </w:hyperlink>
      <w:r w:rsidRPr="002624E7">
        <w:br/>
        <w:t xml:space="preserve">NHS Digital. (2024). </w:t>
      </w:r>
      <w:r w:rsidRPr="002624E7">
        <w:rPr>
          <w:i/>
          <w:iCs/>
        </w:rPr>
        <w:t>Protecting patient data and the national data opt-out.</w:t>
      </w:r>
      <w:r w:rsidRPr="002624E7">
        <w:t xml:space="preserve"> </w:t>
      </w:r>
      <w:hyperlink r:id="rId16" w:tgtFrame="_new" w:history="1">
        <w:r w:rsidRPr="002624E7">
          <w:rPr>
            <w:rStyle w:val="Hyperlink"/>
          </w:rPr>
          <w:t>https://digital.nhs.uk/services/national-data-opt-out/understanding-the-national-data-opt-out/protecting-patient-data</w:t>
        </w:r>
      </w:hyperlink>
      <w:r w:rsidRPr="002624E7">
        <w:br/>
        <w:t xml:space="preserve">NHS England. (n.d.). </w:t>
      </w:r>
      <w:r w:rsidRPr="002624E7">
        <w:rPr>
          <w:i/>
          <w:iCs/>
        </w:rPr>
        <w:t>Digital Technology Assessment Criteria (DTAC).</w:t>
      </w:r>
      <w:r w:rsidRPr="002624E7">
        <w:t xml:space="preserve"> </w:t>
      </w:r>
      <w:hyperlink r:id="rId17" w:tgtFrame="_new" w:history="1">
        <w:r w:rsidRPr="002624E7">
          <w:rPr>
            <w:rStyle w:val="Hyperlink"/>
          </w:rPr>
          <w:t>https://transform.england.nhs.uk/key-tools-and-info/digital-technology-assessment-criteria-dtac/</w:t>
        </w:r>
      </w:hyperlink>
      <w:r w:rsidRPr="002624E7">
        <w:br/>
        <w:t xml:space="preserve">Notley, C., et al. (2025). Financial incentives for smoking cessation. </w:t>
      </w:r>
      <w:r w:rsidRPr="002624E7">
        <w:rPr>
          <w:i/>
          <w:iCs/>
        </w:rPr>
        <w:t>Cochrane Database of Systematic Reviews, 2025</w:t>
      </w:r>
      <w:r w:rsidRPr="002624E7">
        <w:t xml:space="preserve">(2), CD004307. </w:t>
      </w:r>
      <w:hyperlink r:id="rId18" w:tgtFrame="_new" w:history="1">
        <w:r w:rsidRPr="002624E7">
          <w:rPr>
            <w:rStyle w:val="Hyperlink"/>
          </w:rPr>
          <w:t>https://doi.org/10.1002/14651858.CD004307.pub7</w:t>
        </w:r>
      </w:hyperlink>
      <w:r w:rsidRPr="002624E7">
        <w:br/>
        <w:t xml:space="preserve">Office for National Statistics (ONS). (2023). </w:t>
      </w:r>
      <w:r w:rsidRPr="002624E7">
        <w:rPr>
          <w:i/>
          <w:iCs/>
        </w:rPr>
        <w:t>Adult smoking habits in Great Britain: 2023.</w:t>
      </w:r>
      <w:r w:rsidRPr="002624E7">
        <w:t xml:space="preserve"> </w:t>
      </w:r>
      <w:hyperlink r:id="rId19" w:tgtFrame="_new" w:history="1">
        <w:r w:rsidRPr="002624E7">
          <w:rPr>
            <w:rStyle w:val="Hyperlink"/>
          </w:rPr>
          <w:t>https://www.ons.gov.uk/peoplepopulationandcommunity/healthandsocialcare/healthandlifeexpectancies/bulletins/adultsmokinghabitsingreatbritain/2023</w:t>
        </w:r>
      </w:hyperlink>
      <w:r w:rsidRPr="002624E7">
        <w:br/>
        <w:t xml:space="preserve">Office for National Statistics (ONS). (2024). </w:t>
      </w:r>
      <w:r w:rsidRPr="002624E7">
        <w:rPr>
          <w:i/>
          <w:iCs/>
        </w:rPr>
        <w:t>Adult smoking habits in Great Britain: 2024.</w:t>
      </w:r>
      <w:r w:rsidRPr="002624E7">
        <w:t xml:space="preserve"> </w:t>
      </w:r>
      <w:hyperlink r:id="rId20" w:tgtFrame="_new" w:history="1">
        <w:r w:rsidRPr="002624E7">
          <w:rPr>
            <w:rStyle w:val="Hyperlink"/>
          </w:rPr>
          <w:t>https://www.ons.gov.uk/peoplepopulationandcommunity/healthandsocialcare/healthandlifeexpectancies/bulletins/adultsmokinghabitsingreatbritain/2024</w:t>
        </w:r>
      </w:hyperlink>
      <w:r w:rsidRPr="002624E7">
        <w:br/>
        <w:t xml:space="preserve">UK Government. (2018). </w:t>
      </w:r>
      <w:r w:rsidRPr="002624E7">
        <w:rPr>
          <w:i/>
          <w:iCs/>
        </w:rPr>
        <w:t>Data Protection Act 2018 and UK GDPR overview.</w:t>
      </w:r>
      <w:r w:rsidRPr="002624E7">
        <w:t xml:space="preserve"> </w:t>
      </w:r>
      <w:hyperlink r:id="rId21" w:tgtFrame="_new" w:history="1">
        <w:r w:rsidRPr="002624E7">
          <w:rPr>
            <w:rStyle w:val="Hyperlink"/>
          </w:rPr>
          <w:t>https://www.legislation.gov.uk/ukpga/2018/12/contents</w:t>
        </w:r>
      </w:hyperlink>
      <w:r w:rsidRPr="002624E7">
        <w:t xml:space="preserve">; </w:t>
      </w:r>
      <w:hyperlink r:id="rId22" w:tgtFrame="_new" w:history="1">
        <w:r w:rsidRPr="002624E7">
          <w:rPr>
            <w:rStyle w:val="Hyperlink"/>
          </w:rPr>
          <w:t>https://www.gov.uk/data-protection</w:t>
        </w:r>
      </w:hyperlink>
    </w:p>
    <w:p w14:paraId="4B0CA189" w14:textId="77777777" w:rsidR="00A96F22" w:rsidRDefault="00A96F22"/>
    <w:sectPr w:rsidR="00A96F22">
      <w:head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40229" w14:textId="77777777" w:rsidR="000A3F2E" w:rsidRDefault="000A3F2E" w:rsidP="002624E7">
      <w:pPr>
        <w:spacing w:after="0" w:line="240" w:lineRule="auto"/>
      </w:pPr>
      <w:r>
        <w:separator/>
      </w:r>
    </w:p>
  </w:endnote>
  <w:endnote w:type="continuationSeparator" w:id="0">
    <w:p w14:paraId="68893958" w14:textId="77777777" w:rsidR="000A3F2E" w:rsidRDefault="000A3F2E" w:rsidP="00262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3616C" w14:textId="77777777" w:rsidR="000A3F2E" w:rsidRDefault="000A3F2E" w:rsidP="002624E7">
      <w:pPr>
        <w:spacing w:after="0" w:line="240" w:lineRule="auto"/>
      </w:pPr>
      <w:r>
        <w:separator/>
      </w:r>
    </w:p>
  </w:footnote>
  <w:footnote w:type="continuationSeparator" w:id="0">
    <w:p w14:paraId="7C798B86" w14:textId="77777777" w:rsidR="000A3F2E" w:rsidRDefault="000A3F2E" w:rsidP="00262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871910"/>
      <w:docPartObj>
        <w:docPartGallery w:val="Page Numbers (Top of Page)"/>
        <w:docPartUnique/>
      </w:docPartObj>
    </w:sdtPr>
    <w:sdtEndPr>
      <w:rPr>
        <w:noProof/>
      </w:rPr>
    </w:sdtEndPr>
    <w:sdtContent>
      <w:p w14:paraId="1EDB1159" w14:textId="776D1EE2" w:rsidR="002624E7" w:rsidRDefault="002624E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02FBF0D" w14:textId="77777777" w:rsidR="002624E7" w:rsidRDefault="002624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E7"/>
    <w:rsid w:val="000708CF"/>
    <w:rsid w:val="000A3F2E"/>
    <w:rsid w:val="000F197D"/>
    <w:rsid w:val="0024446C"/>
    <w:rsid w:val="002624E7"/>
    <w:rsid w:val="003863E3"/>
    <w:rsid w:val="00506A83"/>
    <w:rsid w:val="00686AE6"/>
    <w:rsid w:val="0086622F"/>
    <w:rsid w:val="008B734C"/>
    <w:rsid w:val="00A96F22"/>
    <w:rsid w:val="00E55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58E87"/>
  <w15:chartTrackingRefBased/>
  <w15:docId w15:val="{35FEBB1A-DED8-445D-BC94-E45AE2C15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F22"/>
    <w:pPr>
      <w:spacing w:line="360" w:lineRule="auto"/>
      <w:jc w:val="both"/>
    </w:pPr>
    <w:rPr>
      <w:rFonts w:ascii="Arial" w:hAnsi="Arial"/>
    </w:rPr>
  </w:style>
  <w:style w:type="paragraph" w:styleId="Heading1">
    <w:name w:val="heading 1"/>
    <w:basedOn w:val="Normal"/>
    <w:next w:val="Normal"/>
    <w:link w:val="Heading1Char"/>
    <w:uiPriority w:val="9"/>
    <w:qFormat/>
    <w:rsid w:val="002624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24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24E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24E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624E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624E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624E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624E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624E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4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24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24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24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24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24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4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4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4E7"/>
    <w:rPr>
      <w:rFonts w:eastAsiaTheme="majorEastAsia" w:cstheme="majorBidi"/>
      <w:color w:val="272727" w:themeColor="text1" w:themeTint="D8"/>
    </w:rPr>
  </w:style>
  <w:style w:type="paragraph" w:styleId="Title">
    <w:name w:val="Title"/>
    <w:basedOn w:val="Normal"/>
    <w:next w:val="Normal"/>
    <w:link w:val="TitleChar"/>
    <w:uiPriority w:val="10"/>
    <w:qFormat/>
    <w:rsid w:val="002624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4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4E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4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4E7"/>
    <w:pPr>
      <w:spacing w:before="160"/>
      <w:jc w:val="center"/>
    </w:pPr>
    <w:rPr>
      <w:i/>
      <w:iCs/>
      <w:color w:val="404040" w:themeColor="text1" w:themeTint="BF"/>
    </w:rPr>
  </w:style>
  <w:style w:type="character" w:customStyle="1" w:styleId="QuoteChar">
    <w:name w:val="Quote Char"/>
    <w:basedOn w:val="DefaultParagraphFont"/>
    <w:link w:val="Quote"/>
    <w:uiPriority w:val="29"/>
    <w:rsid w:val="002624E7"/>
    <w:rPr>
      <w:rFonts w:ascii="Arial" w:hAnsi="Arial"/>
      <w:i/>
      <w:iCs/>
      <w:color w:val="404040" w:themeColor="text1" w:themeTint="BF"/>
    </w:rPr>
  </w:style>
  <w:style w:type="paragraph" w:styleId="ListParagraph">
    <w:name w:val="List Paragraph"/>
    <w:basedOn w:val="Normal"/>
    <w:uiPriority w:val="34"/>
    <w:qFormat/>
    <w:rsid w:val="002624E7"/>
    <w:pPr>
      <w:ind w:left="720"/>
      <w:contextualSpacing/>
    </w:pPr>
  </w:style>
  <w:style w:type="character" w:styleId="IntenseEmphasis">
    <w:name w:val="Intense Emphasis"/>
    <w:basedOn w:val="DefaultParagraphFont"/>
    <w:uiPriority w:val="21"/>
    <w:qFormat/>
    <w:rsid w:val="002624E7"/>
    <w:rPr>
      <w:i/>
      <w:iCs/>
      <w:color w:val="2F5496" w:themeColor="accent1" w:themeShade="BF"/>
    </w:rPr>
  </w:style>
  <w:style w:type="paragraph" w:styleId="IntenseQuote">
    <w:name w:val="Intense Quote"/>
    <w:basedOn w:val="Normal"/>
    <w:next w:val="Normal"/>
    <w:link w:val="IntenseQuoteChar"/>
    <w:uiPriority w:val="30"/>
    <w:qFormat/>
    <w:rsid w:val="002624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24E7"/>
    <w:rPr>
      <w:rFonts w:ascii="Arial" w:hAnsi="Arial"/>
      <w:i/>
      <w:iCs/>
      <w:color w:val="2F5496" w:themeColor="accent1" w:themeShade="BF"/>
    </w:rPr>
  </w:style>
  <w:style w:type="character" w:styleId="IntenseReference">
    <w:name w:val="Intense Reference"/>
    <w:basedOn w:val="DefaultParagraphFont"/>
    <w:uiPriority w:val="32"/>
    <w:qFormat/>
    <w:rsid w:val="002624E7"/>
    <w:rPr>
      <w:b/>
      <w:bCs/>
      <w:smallCaps/>
      <w:color w:val="2F5496" w:themeColor="accent1" w:themeShade="BF"/>
      <w:spacing w:val="5"/>
    </w:rPr>
  </w:style>
  <w:style w:type="character" w:styleId="Hyperlink">
    <w:name w:val="Hyperlink"/>
    <w:basedOn w:val="DefaultParagraphFont"/>
    <w:uiPriority w:val="99"/>
    <w:unhideWhenUsed/>
    <w:rsid w:val="002624E7"/>
    <w:rPr>
      <w:color w:val="0563C1" w:themeColor="hyperlink"/>
      <w:u w:val="single"/>
    </w:rPr>
  </w:style>
  <w:style w:type="character" w:styleId="UnresolvedMention">
    <w:name w:val="Unresolved Mention"/>
    <w:basedOn w:val="DefaultParagraphFont"/>
    <w:uiPriority w:val="99"/>
    <w:semiHidden/>
    <w:unhideWhenUsed/>
    <w:rsid w:val="002624E7"/>
    <w:rPr>
      <w:color w:val="605E5C"/>
      <w:shd w:val="clear" w:color="auto" w:fill="E1DFDD"/>
    </w:rPr>
  </w:style>
  <w:style w:type="paragraph" w:styleId="Header">
    <w:name w:val="header"/>
    <w:basedOn w:val="Normal"/>
    <w:link w:val="HeaderChar"/>
    <w:uiPriority w:val="99"/>
    <w:unhideWhenUsed/>
    <w:rsid w:val="002624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4E7"/>
    <w:rPr>
      <w:rFonts w:ascii="Arial" w:hAnsi="Arial"/>
    </w:rPr>
  </w:style>
  <w:style w:type="paragraph" w:styleId="Footer">
    <w:name w:val="footer"/>
    <w:basedOn w:val="Normal"/>
    <w:link w:val="FooterChar"/>
    <w:uiPriority w:val="99"/>
    <w:unhideWhenUsed/>
    <w:rsid w:val="002624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4E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uidance/regulating-medical-devices-in-the-uk?utm_source=chatgpt.com" TargetMode="External"/><Relationship Id="rId18" Type="http://schemas.openxmlformats.org/officeDocument/2006/relationships/hyperlink" Target="https://doi.org/10.1002/14651858.CD004307.pub7" TargetMode="External"/><Relationship Id="rId3" Type="http://schemas.openxmlformats.org/officeDocument/2006/relationships/customXml" Target="../customXml/item3.xml"/><Relationship Id="rId21" Type="http://schemas.openxmlformats.org/officeDocument/2006/relationships/hyperlink" Target="https://www.legislation.gov.uk/ukpga/2018/12/contents?utm_source=chatgpt.com" TargetMode="External"/><Relationship Id="rId7" Type="http://schemas.openxmlformats.org/officeDocument/2006/relationships/footnotes" Target="footnotes.xml"/><Relationship Id="rId12" Type="http://schemas.openxmlformats.org/officeDocument/2006/relationships/hyperlink" Target="https://doi.org/10.1001/jamanetworkopen.2023.0301" TargetMode="External"/><Relationship Id="rId17" Type="http://schemas.openxmlformats.org/officeDocument/2006/relationships/hyperlink" Target="https://transform.england.nhs.uk/key-tools-and-info/digital-technology-assessment-criteria-dtac/?utm_source=chatgpt.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igital.nhs.uk/services/national-data-opt-out/understanding-the-national-data-opt-out/protecting-patient-data?utm_source=chatgpt.com" TargetMode="External"/><Relationship Id="rId20" Type="http://schemas.openxmlformats.org/officeDocument/2006/relationships/hyperlink" Target="https://www.ons.gov.uk/peoplepopulationandcommunity/healthandsocialcare/healthandlifeexpectancies/bulletins/adultsmokinghabitsingreatbritain/2024?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7/s11469-024-01239-7"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nice.org.uk/guidance/ng209?utm_source=chatgpt.com" TargetMode="External"/><Relationship Id="rId23" Type="http://schemas.openxmlformats.org/officeDocument/2006/relationships/header" Target="header1.xml"/><Relationship Id="rId10" Type="http://schemas.openxmlformats.org/officeDocument/2006/relationships/hyperlink" Target="https://dribbble.com/shots/25900292-Quit-Smoking-with-Smoke-Tracker" TargetMode="External"/><Relationship Id="rId19" Type="http://schemas.openxmlformats.org/officeDocument/2006/relationships/hyperlink" Target="https://www.ons.gov.uk/peoplepopulationandcommunity/healthandsocialcare/healthandlifeexpectancies/bulletins/adultsmokinghabitsingreatbritain/2023?utm_source=chatgpt.com" TargetMode="External"/><Relationship Id="rId4" Type="http://schemas.openxmlformats.org/officeDocument/2006/relationships/styles" Target="styles.xml"/><Relationship Id="rId9" Type="http://schemas.openxmlformats.org/officeDocument/2006/relationships/hyperlink" Target="https://chemist2u.com.au/stop-smoking-program/" TargetMode="External"/><Relationship Id="rId14" Type="http://schemas.openxmlformats.org/officeDocument/2006/relationships/hyperlink" Target="https://doi.org/10.14744/AnnalsMedRes.2023.11766" TargetMode="External"/><Relationship Id="rId22" Type="http://schemas.openxmlformats.org/officeDocument/2006/relationships/hyperlink" Target="https://www.gov.uk/data-protectio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c6d1ead01e8c2ef812090ef2232681a3">
  <xsd:schema xmlns:xsd="http://www.w3.org/2001/XMLSchema" xmlns:xs="http://www.w3.org/2001/XMLSchema" xmlns:p="http://schemas.microsoft.com/office/2006/metadata/properties" xmlns:ns3="6642d537-5170-4cd9-a3f2-9ec198ee3eac" targetNamespace="http://schemas.microsoft.com/office/2006/metadata/properties" ma:root="true" ma:fieldsID="f60d3628f74acfb6cabeec44435fc598"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D5BCF7FF-1D60-41A7-92DE-0DEC4DF6E571}">
  <ds:schemaRefs>
    <ds:schemaRef ds:uri="http://schemas.microsoft.com/sharepoint/v3/contenttype/forms"/>
  </ds:schemaRefs>
</ds:datastoreItem>
</file>

<file path=customXml/itemProps2.xml><?xml version="1.0" encoding="utf-8"?>
<ds:datastoreItem xmlns:ds="http://schemas.openxmlformats.org/officeDocument/2006/customXml" ds:itemID="{C0ED1E9F-EEF0-4657-BC1D-49210F132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D14B09-5AAA-4C65-9CD2-F37C319E7867}">
  <ds:schemaRefs>
    <ds:schemaRef ds:uri="6642d537-5170-4cd9-a3f2-9ec198ee3eac"/>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2096</Words>
  <Characters>11951</Characters>
  <Application>Microsoft Office Word</Application>
  <DocSecurity>0</DocSecurity>
  <Lines>99</Lines>
  <Paragraphs>28</Paragraphs>
  <ScaleCrop>false</ScaleCrop>
  <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Nabila Nazam (2324644)</cp:lastModifiedBy>
  <cp:revision>2</cp:revision>
  <dcterms:created xsi:type="dcterms:W3CDTF">2025-11-18T17:48:00Z</dcterms:created>
  <dcterms:modified xsi:type="dcterms:W3CDTF">2025-11-18T17:48:00Z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