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DC622" w14:textId="41401A87" w:rsidR="0077122F" w:rsidRPr="00E101F9" w:rsidRDefault="00CD2681" w:rsidP="00E101F9">
      <w:pPr>
        <w:spacing w:line="360" w:lineRule="auto"/>
        <w:rPr>
          <w:rFonts w:ascii="Arial" w:hAnsi="Arial" w:cs="Arial"/>
          <w:sz w:val="22"/>
          <w:szCs w:val="22"/>
        </w:rPr>
      </w:pPr>
      <w:r w:rsidRPr="00C03A91">
        <w:rPr>
          <w:rFonts w:ascii="Arial" w:hAnsi="Arial" w:cs="Arial"/>
          <w:noProof/>
        </w:rPr>
        <w:drawing>
          <wp:anchor distT="0" distB="0" distL="114300" distR="114300" simplePos="0" relativeHeight="251659264" behindDoc="0" locked="0" layoutInCell="1" allowOverlap="1" wp14:anchorId="53468EE6" wp14:editId="54E4EFEF">
            <wp:simplePos x="0" y="0"/>
            <wp:positionH relativeFrom="column">
              <wp:posOffset>0</wp:posOffset>
            </wp:positionH>
            <wp:positionV relativeFrom="paragraph">
              <wp:posOffset>342900</wp:posOffset>
            </wp:positionV>
            <wp:extent cx="1809750" cy="723900"/>
            <wp:effectExtent l="0" t="0" r="0" b="0"/>
            <wp:wrapSquare wrapText="bothSides"/>
            <wp:docPr id="4" name="Picture 4"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9C8DD64" w14:textId="77777777" w:rsidR="0077122F" w:rsidRPr="00E101F9" w:rsidRDefault="0077122F" w:rsidP="00E101F9">
      <w:pPr>
        <w:spacing w:line="360" w:lineRule="auto"/>
        <w:rPr>
          <w:rFonts w:ascii="Arial" w:hAnsi="Arial" w:cs="Arial"/>
          <w:sz w:val="22"/>
          <w:szCs w:val="22"/>
        </w:rPr>
      </w:pPr>
    </w:p>
    <w:p w14:paraId="1020A556" w14:textId="77777777" w:rsidR="0077122F" w:rsidRPr="00E101F9" w:rsidRDefault="0077122F" w:rsidP="00E101F9">
      <w:pPr>
        <w:spacing w:line="360" w:lineRule="auto"/>
        <w:rPr>
          <w:rFonts w:ascii="Arial" w:hAnsi="Arial" w:cs="Arial"/>
          <w:sz w:val="22"/>
          <w:szCs w:val="22"/>
        </w:rPr>
      </w:pPr>
    </w:p>
    <w:p w14:paraId="1CD73EC7" w14:textId="77777777" w:rsidR="0077122F" w:rsidRDefault="0077122F" w:rsidP="00E101F9">
      <w:pPr>
        <w:spacing w:line="360" w:lineRule="auto"/>
        <w:rPr>
          <w:rFonts w:ascii="Arial" w:hAnsi="Arial" w:cs="Arial"/>
          <w:sz w:val="22"/>
          <w:szCs w:val="22"/>
        </w:rPr>
      </w:pPr>
    </w:p>
    <w:p w14:paraId="712F0849" w14:textId="77777777" w:rsidR="00E90915" w:rsidRDefault="00E90915" w:rsidP="00E101F9">
      <w:pPr>
        <w:spacing w:line="360" w:lineRule="auto"/>
        <w:rPr>
          <w:rFonts w:ascii="Arial" w:hAnsi="Arial" w:cs="Arial"/>
          <w:sz w:val="22"/>
          <w:szCs w:val="22"/>
        </w:rPr>
      </w:pPr>
    </w:p>
    <w:p w14:paraId="0D30BB7A" w14:textId="3C478BDE" w:rsidR="00E90915" w:rsidRDefault="00E90915" w:rsidP="00E101F9">
      <w:pPr>
        <w:spacing w:line="360" w:lineRule="auto"/>
        <w:rPr>
          <w:rFonts w:ascii="Arial" w:hAnsi="Arial" w:cs="Arial"/>
          <w:sz w:val="22"/>
          <w:szCs w:val="22"/>
        </w:rPr>
      </w:pPr>
    </w:p>
    <w:p w14:paraId="510E3470" w14:textId="72B5CFFE" w:rsidR="00E90915" w:rsidRPr="00590715" w:rsidRDefault="00E90915" w:rsidP="00E90915">
      <w:pPr>
        <w:tabs>
          <w:tab w:val="left" w:pos="6540"/>
        </w:tabs>
        <w:spacing w:line="360" w:lineRule="auto"/>
        <w:rPr>
          <w:rFonts w:ascii="Arial" w:hAnsi="Arial" w:cs="Arial"/>
          <w:sz w:val="28"/>
          <w:szCs w:val="28"/>
          <w:lang w:val="nl-NL"/>
        </w:rPr>
      </w:pPr>
      <w:r w:rsidRPr="00590715">
        <w:rPr>
          <w:rFonts w:ascii="Arial" w:hAnsi="Arial" w:cs="Arial"/>
          <w:b/>
          <w:bCs/>
          <w:sz w:val="28"/>
          <w:szCs w:val="28"/>
          <w:lang w:val="nl-NL"/>
        </w:rPr>
        <w:t>Student name</w:t>
      </w:r>
      <w:r w:rsidRPr="00590715">
        <w:rPr>
          <w:rFonts w:ascii="Arial" w:hAnsi="Arial" w:cs="Arial"/>
          <w:sz w:val="28"/>
          <w:szCs w:val="28"/>
          <w:lang w:val="nl-NL"/>
        </w:rPr>
        <w:t>:</w:t>
      </w:r>
      <w:r w:rsidR="00417760" w:rsidRPr="00590715">
        <w:rPr>
          <w:rFonts w:ascii="Arial" w:hAnsi="Arial" w:cs="Arial"/>
          <w:sz w:val="28"/>
          <w:szCs w:val="28"/>
          <w:lang w:val="nl-NL"/>
        </w:rPr>
        <w:t xml:space="preserve">  MARZENA ANNA KALDOWSKA</w:t>
      </w:r>
    </w:p>
    <w:p w14:paraId="28FE8CD2" w14:textId="7B7D4E26" w:rsidR="00E90915" w:rsidRPr="00590715" w:rsidRDefault="00E90915" w:rsidP="00E90915">
      <w:pPr>
        <w:tabs>
          <w:tab w:val="left" w:pos="6540"/>
        </w:tabs>
        <w:spacing w:line="360" w:lineRule="auto"/>
        <w:rPr>
          <w:rFonts w:ascii="Arial" w:hAnsi="Arial" w:cs="Arial"/>
          <w:sz w:val="28"/>
          <w:szCs w:val="28"/>
          <w:lang w:val="nl-NL"/>
        </w:rPr>
      </w:pPr>
      <w:r w:rsidRPr="00590715">
        <w:rPr>
          <w:rFonts w:ascii="Arial" w:hAnsi="Arial" w:cs="Arial"/>
          <w:b/>
          <w:bCs/>
          <w:sz w:val="28"/>
          <w:szCs w:val="28"/>
          <w:lang w:val="nl-NL"/>
        </w:rPr>
        <w:t>Student ID</w:t>
      </w:r>
      <w:r w:rsidRPr="00590715">
        <w:rPr>
          <w:rFonts w:ascii="Arial" w:hAnsi="Arial" w:cs="Arial"/>
          <w:sz w:val="28"/>
          <w:szCs w:val="28"/>
          <w:lang w:val="nl-NL"/>
        </w:rPr>
        <w:t>:</w:t>
      </w:r>
      <w:r w:rsidR="00590715" w:rsidRPr="00590715">
        <w:rPr>
          <w:rFonts w:ascii="Arial" w:hAnsi="Arial" w:cs="Arial"/>
          <w:sz w:val="28"/>
          <w:szCs w:val="28"/>
          <w:lang w:val="nl-NL"/>
        </w:rPr>
        <w:t xml:space="preserve">        2410515</w:t>
      </w:r>
    </w:p>
    <w:p w14:paraId="486D2FDA" w14:textId="77777777" w:rsidR="00E90915" w:rsidRPr="00590715" w:rsidRDefault="00E90915" w:rsidP="00E90915">
      <w:pPr>
        <w:tabs>
          <w:tab w:val="left" w:pos="6540"/>
        </w:tabs>
        <w:spacing w:line="360" w:lineRule="auto"/>
        <w:rPr>
          <w:rFonts w:ascii="Arial" w:hAnsi="Arial" w:cs="Arial"/>
          <w:sz w:val="28"/>
          <w:szCs w:val="28"/>
          <w:lang w:val="nl-NL"/>
        </w:rPr>
      </w:pPr>
    </w:p>
    <w:p w14:paraId="1FD196B0" w14:textId="1F56B7AD" w:rsidR="00E90915" w:rsidRPr="00590715" w:rsidRDefault="00E90915" w:rsidP="00E90915">
      <w:pPr>
        <w:tabs>
          <w:tab w:val="left" w:pos="6540"/>
        </w:tabs>
        <w:spacing w:line="360" w:lineRule="auto"/>
        <w:rPr>
          <w:rFonts w:ascii="Arial" w:hAnsi="Arial" w:cs="Arial"/>
          <w:sz w:val="28"/>
          <w:szCs w:val="28"/>
          <w:lang w:val="nl-NL"/>
        </w:rPr>
      </w:pPr>
      <w:r w:rsidRPr="00590715">
        <w:rPr>
          <w:rFonts w:ascii="Arial" w:hAnsi="Arial" w:cs="Arial"/>
          <w:b/>
          <w:bCs/>
          <w:sz w:val="28"/>
          <w:szCs w:val="28"/>
          <w:lang w:val="nl-NL"/>
        </w:rPr>
        <w:t>Module name</w:t>
      </w:r>
      <w:r w:rsidRPr="00590715">
        <w:rPr>
          <w:rFonts w:ascii="Arial" w:hAnsi="Arial" w:cs="Arial"/>
          <w:sz w:val="28"/>
          <w:szCs w:val="28"/>
          <w:lang w:val="nl-NL"/>
        </w:rPr>
        <w:t xml:space="preserve">: </w:t>
      </w:r>
      <w:r w:rsidR="00590715" w:rsidRPr="00590715">
        <w:rPr>
          <w:rFonts w:ascii="Arial" w:hAnsi="Arial" w:cs="Arial"/>
          <w:sz w:val="28"/>
          <w:szCs w:val="28"/>
        </w:rPr>
        <w:t>Protecting and Supporting Families in Health and Care</w:t>
      </w:r>
    </w:p>
    <w:p w14:paraId="468EA545" w14:textId="530820A3" w:rsidR="00E90915" w:rsidRPr="00590715" w:rsidRDefault="00E90915" w:rsidP="00E90915">
      <w:pPr>
        <w:tabs>
          <w:tab w:val="left" w:pos="6540"/>
        </w:tabs>
        <w:spacing w:line="360" w:lineRule="auto"/>
        <w:rPr>
          <w:rFonts w:ascii="Arial" w:hAnsi="Arial" w:cs="Arial"/>
          <w:sz w:val="28"/>
          <w:szCs w:val="28"/>
        </w:rPr>
      </w:pPr>
      <w:r w:rsidRPr="00590715">
        <w:rPr>
          <w:rFonts w:ascii="Arial" w:hAnsi="Arial" w:cs="Arial"/>
          <w:b/>
          <w:bCs/>
          <w:sz w:val="28"/>
          <w:szCs w:val="28"/>
        </w:rPr>
        <w:t>Module code</w:t>
      </w:r>
      <w:r w:rsidRPr="00590715">
        <w:rPr>
          <w:rFonts w:ascii="Arial" w:hAnsi="Arial" w:cs="Arial"/>
          <w:sz w:val="28"/>
          <w:szCs w:val="28"/>
        </w:rPr>
        <w:t>:</w:t>
      </w:r>
      <w:r w:rsidR="00590715" w:rsidRPr="00590715">
        <w:rPr>
          <w:rFonts w:ascii="Arial" w:hAnsi="Arial" w:cs="Arial"/>
          <w:sz w:val="28"/>
          <w:szCs w:val="28"/>
        </w:rPr>
        <w:t xml:space="preserve">   </w:t>
      </w:r>
      <w:r w:rsidR="00590715" w:rsidRPr="00590715">
        <w:rPr>
          <w:rFonts w:ascii="Arial" w:hAnsi="Arial" w:cs="Arial"/>
          <w:sz w:val="28"/>
          <w:szCs w:val="28"/>
        </w:rPr>
        <w:t>BMHP5021</w:t>
      </w:r>
    </w:p>
    <w:p w14:paraId="69671EE8" w14:textId="10C12A51" w:rsidR="00E90915" w:rsidRPr="00590715" w:rsidRDefault="00E90915" w:rsidP="00E90915">
      <w:pPr>
        <w:tabs>
          <w:tab w:val="left" w:pos="6540"/>
        </w:tabs>
        <w:spacing w:line="360" w:lineRule="auto"/>
        <w:rPr>
          <w:rFonts w:ascii="Arial" w:hAnsi="Arial" w:cs="Arial"/>
          <w:sz w:val="28"/>
          <w:szCs w:val="28"/>
        </w:rPr>
      </w:pPr>
      <w:r w:rsidRPr="00590715">
        <w:rPr>
          <w:rFonts w:ascii="Arial" w:hAnsi="Arial" w:cs="Arial"/>
          <w:b/>
          <w:bCs/>
          <w:sz w:val="28"/>
          <w:szCs w:val="28"/>
        </w:rPr>
        <w:t>Lecturer name</w:t>
      </w:r>
      <w:r w:rsidRPr="00590715">
        <w:rPr>
          <w:rFonts w:ascii="Arial" w:hAnsi="Arial" w:cs="Arial"/>
          <w:sz w:val="28"/>
          <w:szCs w:val="28"/>
        </w:rPr>
        <w:t>:</w:t>
      </w:r>
      <w:r w:rsidR="00590715" w:rsidRPr="00590715">
        <w:rPr>
          <w:rFonts w:ascii="Arial" w:hAnsi="Arial" w:cs="Arial"/>
          <w:sz w:val="28"/>
          <w:szCs w:val="28"/>
        </w:rPr>
        <w:t xml:space="preserve"> </w:t>
      </w:r>
      <w:r w:rsidR="00590715" w:rsidRPr="00590715">
        <w:rPr>
          <w:rFonts w:ascii="Arial" w:hAnsi="Arial" w:cs="Arial"/>
          <w:sz w:val="28"/>
          <w:szCs w:val="28"/>
        </w:rPr>
        <w:t>Amanda Jones</w:t>
      </w:r>
    </w:p>
    <w:p w14:paraId="67039CAB" w14:textId="77777777" w:rsidR="00E90915" w:rsidRPr="00E101F9" w:rsidRDefault="00E90915" w:rsidP="00E101F9">
      <w:pPr>
        <w:spacing w:line="360" w:lineRule="auto"/>
        <w:rPr>
          <w:rFonts w:ascii="Arial" w:hAnsi="Arial" w:cs="Arial"/>
          <w:sz w:val="22"/>
          <w:szCs w:val="22"/>
        </w:rPr>
      </w:pPr>
    </w:p>
    <w:p w14:paraId="1CF1AA45" w14:textId="77777777" w:rsidR="0077122F" w:rsidRDefault="0077122F" w:rsidP="00E101F9">
      <w:pPr>
        <w:spacing w:line="360" w:lineRule="auto"/>
        <w:rPr>
          <w:rFonts w:ascii="Arial" w:hAnsi="Arial" w:cs="Arial"/>
          <w:sz w:val="22"/>
          <w:szCs w:val="22"/>
        </w:rPr>
      </w:pPr>
    </w:p>
    <w:p w14:paraId="1038F74D" w14:textId="77777777" w:rsidR="00E101F9" w:rsidRDefault="00E101F9" w:rsidP="00E101F9">
      <w:pPr>
        <w:spacing w:line="360" w:lineRule="auto"/>
        <w:rPr>
          <w:rFonts w:ascii="Arial" w:hAnsi="Arial" w:cs="Arial"/>
          <w:sz w:val="22"/>
          <w:szCs w:val="22"/>
        </w:rPr>
      </w:pPr>
    </w:p>
    <w:p w14:paraId="277C97B2" w14:textId="77777777" w:rsidR="00E101F9" w:rsidRPr="00590715" w:rsidRDefault="00E101F9" w:rsidP="00E101F9">
      <w:pPr>
        <w:spacing w:line="360" w:lineRule="auto"/>
        <w:rPr>
          <w:rFonts w:ascii="Arial" w:hAnsi="Arial" w:cs="Arial"/>
          <w:sz w:val="28"/>
          <w:szCs w:val="28"/>
        </w:rPr>
      </w:pPr>
      <w:r w:rsidRPr="00590715">
        <w:rPr>
          <w:rFonts w:ascii="Arial" w:hAnsi="Arial" w:cs="Arial"/>
          <w:b/>
          <w:bCs/>
          <w:sz w:val="28"/>
          <w:szCs w:val="28"/>
        </w:rPr>
        <w:t>Title:</w:t>
      </w:r>
      <w:r w:rsidRPr="00590715">
        <w:rPr>
          <w:rFonts w:ascii="Arial" w:hAnsi="Arial" w:cs="Arial"/>
          <w:sz w:val="28"/>
          <w:szCs w:val="28"/>
        </w:rPr>
        <w:t xml:space="preserve"> </w:t>
      </w:r>
      <w:r w:rsidRPr="00590715">
        <w:rPr>
          <w:rFonts w:ascii="Arial" w:hAnsi="Arial" w:cs="Arial"/>
          <w:i/>
          <w:iCs/>
          <w:sz w:val="28"/>
          <w:szCs w:val="28"/>
        </w:rPr>
        <w:t>An Examination and Analysis of How the Early Help System Is Signposted to UK Families by Local Authority Websites</w:t>
      </w:r>
      <w:r w:rsidRPr="00590715">
        <w:rPr>
          <w:rFonts w:ascii="Arial" w:hAnsi="Arial" w:cs="Arial"/>
          <w:sz w:val="28"/>
          <w:szCs w:val="28"/>
        </w:rPr>
        <w:t xml:space="preserve"> </w:t>
      </w:r>
    </w:p>
    <w:p w14:paraId="201D84CE" w14:textId="77777777" w:rsidR="00E101F9" w:rsidRPr="00E101F9" w:rsidRDefault="00E101F9" w:rsidP="00E101F9">
      <w:pPr>
        <w:spacing w:line="360" w:lineRule="auto"/>
        <w:rPr>
          <w:rFonts w:ascii="Arial" w:hAnsi="Arial" w:cs="Arial"/>
          <w:sz w:val="22"/>
          <w:szCs w:val="22"/>
        </w:rPr>
      </w:pPr>
    </w:p>
    <w:p w14:paraId="5AE8E363" w14:textId="77777777" w:rsidR="0077122F" w:rsidRPr="00E101F9" w:rsidRDefault="0077122F" w:rsidP="00E101F9">
      <w:pPr>
        <w:spacing w:line="360" w:lineRule="auto"/>
        <w:rPr>
          <w:rFonts w:ascii="Arial" w:hAnsi="Arial" w:cs="Arial"/>
          <w:sz w:val="22"/>
          <w:szCs w:val="22"/>
        </w:rPr>
      </w:pPr>
    </w:p>
    <w:p w14:paraId="40126293" w14:textId="77777777" w:rsidR="0077122F" w:rsidRPr="00E101F9" w:rsidRDefault="0077122F" w:rsidP="00E101F9">
      <w:pPr>
        <w:spacing w:line="360" w:lineRule="auto"/>
        <w:rPr>
          <w:rFonts w:ascii="Arial" w:hAnsi="Arial" w:cs="Arial"/>
          <w:sz w:val="22"/>
          <w:szCs w:val="22"/>
        </w:rPr>
      </w:pPr>
    </w:p>
    <w:p w14:paraId="21B4996C" w14:textId="77777777" w:rsidR="0077122F" w:rsidRPr="00E101F9" w:rsidRDefault="0077122F" w:rsidP="00E101F9">
      <w:pPr>
        <w:spacing w:line="360" w:lineRule="auto"/>
        <w:rPr>
          <w:rFonts w:ascii="Arial" w:hAnsi="Arial" w:cs="Arial"/>
          <w:sz w:val="22"/>
          <w:szCs w:val="22"/>
        </w:rPr>
      </w:pPr>
    </w:p>
    <w:p w14:paraId="35939D82" w14:textId="77777777" w:rsidR="0077122F" w:rsidRPr="00E101F9" w:rsidRDefault="0077122F" w:rsidP="00E101F9">
      <w:pPr>
        <w:spacing w:line="360" w:lineRule="auto"/>
        <w:rPr>
          <w:rFonts w:ascii="Arial" w:hAnsi="Arial" w:cs="Arial"/>
          <w:sz w:val="22"/>
          <w:szCs w:val="22"/>
        </w:rPr>
      </w:pPr>
    </w:p>
    <w:p w14:paraId="6FAED5B1" w14:textId="77777777" w:rsidR="0077122F" w:rsidRPr="00E101F9" w:rsidRDefault="0077122F" w:rsidP="00E101F9">
      <w:pPr>
        <w:spacing w:line="360" w:lineRule="auto"/>
        <w:rPr>
          <w:rFonts w:ascii="Arial" w:hAnsi="Arial" w:cs="Arial"/>
          <w:sz w:val="22"/>
          <w:szCs w:val="22"/>
        </w:rPr>
      </w:pPr>
    </w:p>
    <w:p w14:paraId="03D21E08" w14:textId="77777777" w:rsidR="0077122F" w:rsidRPr="00E101F9" w:rsidRDefault="0077122F" w:rsidP="00E101F9">
      <w:pPr>
        <w:spacing w:line="360" w:lineRule="auto"/>
        <w:rPr>
          <w:rFonts w:ascii="Arial" w:hAnsi="Arial" w:cs="Arial"/>
          <w:sz w:val="22"/>
          <w:szCs w:val="22"/>
        </w:rPr>
      </w:pPr>
    </w:p>
    <w:p w14:paraId="7E71DF8B" w14:textId="77777777" w:rsidR="0077122F" w:rsidRPr="00E101F9" w:rsidRDefault="0077122F" w:rsidP="00E101F9">
      <w:pPr>
        <w:spacing w:line="360" w:lineRule="auto"/>
        <w:rPr>
          <w:rFonts w:ascii="Arial" w:hAnsi="Arial" w:cs="Arial"/>
          <w:sz w:val="22"/>
          <w:szCs w:val="22"/>
        </w:rPr>
      </w:pPr>
    </w:p>
    <w:p w14:paraId="32D2C3C8" w14:textId="77777777" w:rsidR="0077122F" w:rsidRPr="00E101F9" w:rsidRDefault="0077122F" w:rsidP="00E101F9">
      <w:pPr>
        <w:spacing w:line="360" w:lineRule="auto"/>
        <w:rPr>
          <w:rFonts w:ascii="Arial" w:hAnsi="Arial" w:cs="Arial"/>
          <w:sz w:val="22"/>
          <w:szCs w:val="22"/>
        </w:rPr>
      </w:pPr>
    </w:p>
    <w:p w14:paraId="5312C165" w14:textId="77777777" w:rsidR="0077122F" w:rsidRPr="00E101F9" w:rsidRDefault="0077122F" w:rsidP="00E101F9">
      <w:pPr>
        <w:spacing w:line="360" w:lineRule="auto"/>
        <w:rPr>
          <w:rFonts w:ascii="Arial" w:hAnsi="Arial" w:cs="Arial"/>
          <w:sz w:val="22"/>
          <w:szCs w:val="22"/>
        </w:rPr>
      </w:pPr>
    </w:p>
    <w:p w14:paraId="2DB37F07" w14:textId="77777777" w:rsidR="0077122F" w:rsidRPr="00E101F9" w:rsidRDefault="0077122F" w:rsidP="00E101F9">
      <w:pPr>
        <w:spacing w:line="360" w:lineRule="auto"/>
        <w:rPr>
          <w:rFonts w:ascii="Arial" w:hAnsi="Arial" w:cs="Arial"/>
          <w:sz w:val="22"/>
          <w:szCs w:val="22"/>
        </w:rPr>
      </w:pPr>
    </w:p>
    <w:p w14:paraId="23EFE974" w14:textId="77777777" w:rsidR="0077122F" w:rsidRPr="00E101F9" w:rsidRDefault="0077122F" w:rsidP="00E101F9">
      <w:pPr>
        <w:spacing w:line="360" w:lineRule="auto"/>
        <w:rPr>
          <w:rFonts w:ascii="Arial" w:hAnsi="Arial" w:cs="Arial"/>
          <w:sz w:val="22"/>
          <w:szCs w:val="22"/>
        </w:rPr>
      </w:pPr>
    </w:p>
    <w:p w14:paraId="1AC3C35D" w14:textId="77777777" w:rsidR="0077122F" w:rsidRPr="00E101F9" w:rsidRDefault="0077122F" w:rsidP="00E101F9">
      <w:pPr>
        <w:spacing w:line="360" w:lineRule="auto"/>
        <w:rPr>
          <w:rFonts w:ascii="Arial" w:hAnsi="Arial" w:cs="Arial"/>
          <w:sz w:val="22"/>
          <w:szCs w:val="22"/>
        </w:rPr>
      </w:pPr>
    </w:p>
    <w:p w14:paraId="7316862D" w14:textId="77777777" w:rsidR="0077122F" w:rsidRPr="00E101F9" w:rsidRDefault="0077122F" w:rsidP="00E101F9">
      <w:pPr>
        <w:spacing w:line="360" w:lineRule="auto"/>
        <w:rPr>
          <w:rFonts w:ascii="Arial" w:hAnsi="Arial" w:cs="Arial"/>
          <w:sz w:val="22"/>
          <w:szCs w:val="22"/>
        </w:rPr>
      </w:pPr>
    </w:p>
    <w:p w14:paraId="568F756F" w14:textId="77777777" w:rsidR="0077122F" w:rsidRPr="00E101F9" w:rsidRDefault="0077122F" w:rsidP="00E101F9">
      <w:pPr>
        <w:spacing w:line="360" w:lineRule="auto"/>
        <w:rPr>
          <w:rFonts w:ascii="Arial" w:hAnsi="Arial" w:cs="Arial"/>
          <w:sz w:val="22"/>
          <w:szCs w:val="22"/>
        </w:rPr>
      </w:pPr>
    </w:p>
    <w:p w14:paraId="0351421C" w14:textId="77777777" w:rsidR="0077122F" w:rsidRPr="00E101F9" w:rsidRDefault="0077122F" w:rsidP="00E101F9">
      <w:pPr>
        <w:spacing w:line="360" w:lineRule="auto"/>
        <w:rPr>
          <w:rFonts w:ascii="Arial" w:hAnsi="Arial" w:cs="Arial"/>
          <w:sz w:val="22"/>
          <w:szCs w:val="22"/>
        </w:rPr>
      </w:pPr>
    </w:p>
    <w:p w14:paraId="4A23C597" w14:textId="77777777" w:rsidR="0077122F" w:rsidRPr="00E101F9" w:rsidRDefault="0077122F" w:rsidP="00E101F9">
      <w:pPr>
        <w:spacing w:line="360" w:lineRule="auto"/>
        <w:rPr>
          <w:rFonts w:ascii="Arial" w:hAnsi="Arial" w:cs="Arial"/>
          <w:sz w:val="22"/>
          <w:szCs w:val="22"/>
        </w:rPr>
      </w:pPr>
    </w:p>
    <w:p w14:paraId="1245F4CE" w14:textId="20F0B4F8" w:rsidR="009F36F2" w:rsidRPr="00E101F9" w:rsidRDefault="009F36F2" w:rsidP="00E101F9">
      <w:pPr>
        <w:spacing w:line="360" w:lineRule="auto"/>
        <w:rPr>
          <w:rFonts w:ascii="Arial" w:hAnsi="Arial" w:cs="Arial"/>
          <w:sz w:val="22"/>
          <w:szCs w:val="22"/>
        </w:rPr>
      </w:pPr>
      <w:r w:rsidRPr="00E101F9">
        <w:rPr>
          <w:rFonts w:ascii="Arial" w:hAnsi="Arial" w:cs="Arial"/>
          <w:b/>
          <w:bCs/>
          <w:sz w:val="22"/>
          <w:szCs w:val="22"/>
        </w:rPr>
        <w:t>TABLE OF CONTENTS</w:t>
      </w:r>
    </w:p>
    <w:p w14:paraId="20CD3FD4" w14:textId="0EB2EF17" w:rsidR="009F36F2" w:rsidRPr="00E101F9" w:rsidRDefault="009F36F2" w:rsidP="00E101F9">
      <w:pPr>
        <w:numPr>
          <w:ilvl w:val="0"/>
          <w:numId w:val="5"/>
        </w:numPr>
        <w:spacing w:line="360" w:lineRule="auto"/>
        <w:rPr>
          <w:rFonts w:ascii="Arial" w:hAnsi="Arial" w:cs="Arial"/>
          <w:sz w:val="22"/>
          <w:szCs w:val="22"/>
        </w:rPr>
      </w:pPr>
      <w:r w:rsidRPr="00E101F9">
        <w:rPr>
          <w:rFonts w:ascii="Arial" w:hAnsi="Arial" w:cs="Arial"/>
          <w:b/>
          <w:bCs/>
          <w:sz w:val="22"/>
          <w:szCs w:val="22"/>
        </w:rPr>
        <w:t>Introduction</w:t>
      </w:r>
      <w:r w:rsidRPr="00E101F9">
        <w:rPr>
          <w:rFonts w:ascii="Arial" w:hAnsi="Arial" w:cs="Arial"/>
          <w:sz w:val="22"/>
          <w:szCs w:val="22"/>
        </w:rPr>
        <w:t xml:space="preserve"> ..............................................................</w:t>
      </w:r>
      <w:r w:rsidR="00A37F04" w:rsidRPr="00E101F9">
        <w:rPr>
          <w:rFonts w:ascii="Arial" w:hAnsi="Arial" w:cs="Arial"/>
          <w:sz w:val="22"/>
          <w:szCs w:val="22"/>
        </w:rPr>
        <w:t>...</w:t>
      </w:r>
      <w:r w:rsidR="00327EC5">
        <w:rPr>
          <w:rFonts w:ascii="Arial" w:hAnsi="Arial" w:cs="Arial"/>
          <w:sz w:val="22"/>
          <w:szCs w:val="22"/>
        </w:rPr>
        <w:t>...</w:t>
      </w:r>
      <w:r w:rsidR="00F81626">
        <w:rPr>
          <w:rFonts w:ascii="Arial" w:hAnsi="Arial" w:cs="Arial"/>
          <w:sz w:val="22"/>
          <w:szCs w:val="22"/>
        </w:rPr>
        <w:t xml:space="preserve"> 3</w:t>
      </w:r>
    </w:p>
    <w:p w14:paraId="53725D06" w14:textId="4A79008F" w:rsidR="009F36F2" w:rsidRPr="00E101F9" w:rsidRDefault="009F36F2" w:rsidP="00E101F9">
      <w:pPr>
        <w:numPr>
          <w:ilvl w:val="0"/>
          <w:numId w:val="5"/>
        </w:numPr>
        <w:spacing w:line="360" w:lineRule="auto"/>
        <w:rPr>
          <w:rFonts w:ascii="Arial" w:hAnsi="Arial" w:cs="Arial"/>
          <w:sz w:val="22"/>
          <w:szCs w:val="22"/>
        </w:rPr>
      </w:pPr>
      <w:r w:rsidRPr="00E101F9">
        <w:rPr>
          <w:rFonts w:ascii="Arial" w:hAnsi="Arial" w:cs="Arial"/>
          <w:b/>
          <w:bCs/>
          <w:sz w:val="22"/>
          <w:szCs w:val="22"/>
        </w:rPr>
        <w:t>Main Body</w:t>
      </w:r>
      <w:r w:rsidRPr="00E101F9">
        <w:rPr>
          <w:rFonts w:ascii="Arial" w:hAnsi="Arial" w:cs="Arial"/>
          <w:sz w:val="22"/>
          <w:szCs w:val="22"/>
        </w:rPr>
        <w:t xml:space="preserve"> ..................................................................</w:t>
      </w:r>
      <w:r w:rsidR="00A37F04" w:rsidRPr="00E101F9">
        <w:rPr>
          <w:rFonts w:ascii="Arial" w:hAnsi="Arial" w:cs="Arial"/>
          <w:sz w:val="22"/>
          <w:szCs w:val="22"/>
        </w:rPr>
        <w:t>...</w:t>
      </w:r>
      <w:r w:rsidR="00327EC5">
        <w:rPr>
          <w:rFonts w:ascii="Arial" w:hAnsi="Arial" w:cs="Arial"/>
          <w:sz w:val="22"/>
          <w:szCs w:val="22"/>
        </w:rPr>
        <w:t xml:space="preserve">.. </w:t>
      </w:r>
      <w:r w:rsidR="00F81626">
        <w:rPr>
          <w:rFonts w:ascii="Arial" w:hAnsi="Arial" w:cs="Arial"/>
          <w:i/>
          <w:iCs/>
          <w:sz w:val="22"/>
          <w:szCs w:val="22"/>
        </w:rPr>
        <w:t>4</w:t>
      </w:r>
      <w:r w:rsidRPr="00E101F9">
        <w:rPr>
          <w:rFonts w:ascii="Arial" w:hAnsi="Arial" w:cs="Arial"/>
          <w:sz w:val="22"/>
          <w:szCs w:val="22"/>
        </w:rPr>
        <w:t xml:space="preserve"> </w:t>
      </w:r>
      <w:r w:rsidRPr="00E101F9">
        <w:rPr>
          <w:rFonts w:ascii="Arial" w:hAnsi="Arial" w:cs="Arial"/>
          <w:sz w:val="22"/>
          <w:szCs w:val="22"/>
        </w:rPr>
        <w:t> </w:t>
      </w:r>
    </w:p>
    <w:p w14:paraId="52F1749B" w14:textId="154D5F51" w:rsidR="009F36F2" w:rsidRPr="00E101F9" w:rsidRDefault="009F36F2" w:rsidP="00E101F9">
      <w:pPr>
        <w:spacing w:line="360" w:lineRule="auto"/>
        <w:ind w:left="720"/>
        <w:rPr>
          <w:rFonts w:ascii="Arial" w:hAnsi="Arial" w:cs="Arial"/>
          <w:sz w:val="22"/>
          <w:szCs w:val="22"/>
        </w:rPr>
      </w:pPr>
      <w:r w:rsidRPr="00E101F9">
        <w:rPr>
          <w:rFonts w:ascii="Arial" w:hAnsi="Arial" w:cs="Arial"/>
          <w:sz w:val="22"/>
          <w:szCs w:val="22"/>
        </w:rPr>
        <w:t xml:space="preserve">2.1 </w:t>
      </w:r>
      <w:r w:rsidRPr="00E101F9">
        <w:rPr>
          <w:rFonts w:ascii="Arial" w:hAnsi="Arial" w:cs="Arial"/>
          <w:b/>
          <w:bCs/>
          <w:sz w:val="22"/>
          <w:szCs w:val="22"/>
        </w:rPr>
        <w:t>The Early Help System</w:t>
      </w:r>
      <w:r w:rsidRPr="00E101F9">
        <w:rPr>
          <w:rFonts w:ascii="Arial" w:hAnsi="Arial" w:cs="Arial"/>
          <w:sz w:val="22"/>
          <w:szCs w:val="22"/>
        </w:rPr>
        <w:t xml:space="preserve"> ............................................ </w:t>
      </w:r>
      <w:r w:rsidR="00E20BB4">
        <w:rPr>
          <w:rFonts w:ascii="Arial" w:hAnsi="Arial" w:cs="Arial"/>
          <w:i/>
          <w:iCs/>
          <w:sz w:val="22"/>
          <w:szCs w:val="22"/>
        </w:rPr>
        <w:t>4</w:t>
      </w:r>
      <w:r w:rsidRPr="00E101F9">
        <w:rPr>
          <w:rFonts w:ascii="Arial" w:hAnsi="Arial" w:cs="Arial"/>
          <w:sz w:val="22"/>
          <w:szCs w:val="22"/>
        </w:rPr>
        <w:t> </w:t>
      </w:r>
    </w:p>
    <w:p w14:paraId="3F77E5D3" w14:textId="75E71C79" w:rsidR="009F36F2" w:rsidRPr="00E101F9" w:rsidRDefault="009F36F2" w:rsidP="00E101F9">
      <w:pPr>
        <w:spacing w:line="360" w:lineRule="auto"/>
        <w:ind w:left="720"/>
        <w:rPr>
          <w:rFonts w:ascii="Arial" w:hAnsi="Arial" w:cs="Arial"/>
          <w:sz w:val="22"/>
          <w:szCs w:val="22"/>
        </w:rPr>
      </w:pPr>
      <w:r w:rsidRPr="00E101F9">
        <w:rPr>
          <w:rFonts w:ascii="Arial" w:hAnsi="Arial" w:cs="Arial"/>
          <w:sz w:val="22"/>
          <w:szCs w:val="22"/>
        </w:rPr>
        <w:t xml:space="preserve">2.2 </w:t>
      </w:r>
      <w:r w:rsidRPr="00E101F9">
        <w:rPr>
          <w:rFonts w:ascii="Arial" w:hAnsi="Arial" w:cs="Arial"/>
          <w:b/>
          <w:bCs/>
          <w:sz w:val="22"/>
          <w:szCs w:val="22"/>
        </w:rPr>
        <w:t>Multi Agency and Interdisciplinary Working</w:t>
      </w:r>
      <w:r w:rsidRPr="00E101F9">
        <w:rPr>
          <w:rFonts w:ascii="Arial" w:hAnsi="Arial" w:cs="Arial"/>
          <w:sz w:val="22"/>
          <w:szCs w:val="22"/>
        </w:rPr>
        <w:t xml:space="preserve"> .........</w:t>
      </w:r>
      <w:r w:rsidR="00327EC5">
        <w:rPr>
          <w:rFonts w:ascii="Arial" w:hAnsi="Arial" w:cs="Arial"/>
          <w:sz w:val="22"/>
          <w:szCs w:val="22"/>
        </w:rPr>
        <w:t xml:space="preserve"> </w:t>
      </w:r>
      <w:r w:rsidR="007B04A3">
        <w:rPr>
          <w:rFonts w:ascii="Arial" w:hAnsi="Arial" w:cs="Arial"/>
          <w:i/>
          <w:iCs/>
          <w:sz w:val="22"/>
          <w:szCs w:val="22"/>
        </w:rPr>
        <w:t>5</w:t>
      </w:r>
      <w:r w:rsidRPr="00E101F9">
        <w:rPr>
          <w:rFonts w:ascii="Arial" w:hAnsi="Arial" w:cs="Arial"/>
          <w:sz w:val="22"/>
          <w:szCs w:val="22"/>
        </w:rPr>
        <w:t> </w:t>
      </w:r>
    </w:p>
    <w:p w14:paraId="45E3F41F" w14:textId="0F9A6957" w:rsidR="009F36F2" w:rsidRPr="00367EC9" w:rsidRDefault="009F36F2" w:rsidP="00367EC9">
      <w:pPr>
        <w:spacing w:line="360" w:lineRule="auto"/>
        <w:ind w:left="720"/>
        <w:rPr>
          <w:rFonts w:ascii="Arial" w:hAnsi="Arial" w:cs="Arial"/>
          <w:i/>
          <w:iCs/>
          <w:sz w:val="22"/>
          <w:szCs w:val="22"/>
        </w:rPr>
      </w:pPr>
      <w:r w:rsidRPr="00E101F9">
        <w:rPr>
          <w:rFonts w:ascii="Arial" w:hAnsi="Arial" w:cs="Arial"/>
          <w:sz w:val="22"/>
          <w:szCs w:val="22"/>
        </w:rPr>
        <w:t xml:space="preserve">2.3 </w:t>
      </w:r>
      <w:r w:rsidRPr="00E101F9">
        <w:rPr>
          <w:rFonts w:ascii="Arial" w:hAnsi="Arial" w:cs="Arial"/>
          <w:b/>
          <w:bCs/>
          <w:sz w:val="22"/>
          <w:szCs w:val="22"/>
        </w:rPr>
        <w:t>Evaluation of Local Authority Websites</w:t>
      </w:r>
      <w:r w:rsidRPr="00E101F9">
        <w:rPr>
          <w:rFonts w:ascii="Arial" w:hAnsi="Arial" w:cs="Arial"/>
          <w:sz w:val="22"/>
          <w:szCs w:val="22"/>
        </w:rPr>
        <w:t xml:space="preserve"> ................</w:t>
      </w:r>
      <w:r w:rsidR="00327EC5">
        <w:rPr>
          <w:rFonts w:ascii="Arial" w:hAnsi="Arial" w:cs="Arial"/>
          <w:sz w:val="22"/>
          <w:szCs w:val="22"/>
        </w:rPr>
        <w:t xml:space="preserve"> </w:t>
      </w:r>
      <w:r w:rsidRPr="00E101F9">
        <w:rPr>
          <w:rFonts w:ascii="Arial" w:hAnsi="Arial" w:cs="Arial"/>
          <w:i/>
          <w:iCs/>
          <w:sz w:val="22"/>
          <w:szCs w:val="22"/>
        </w:rPr>
        <w:t>6</w:t>
      </w:r>
      <w:r w:rsidRPr="00E101F9">
        <w:rPr>
          <w:rFonts w:ascii="Arial" w:hAnsi="Arial" w:cs="Arial"/>
          <w:sz w:val="22"/>
          <w:szCs w:val="22"/>
        </w:rPr>
        <w:t> </w:t>
      </w:r>
    </w:p>
    <w:p w14:paraId="4041EFAB" w14:textId="5C59ADFD" w:rsidR="009F36F2" w:rsidRPr="00E101F9" w:rsidRDefault="009F36F2" w:rsidP="00E101F9">
      <w:pPr>
        <w:spacing w:line="360" w:lineRule="auto"/>
        <w:ind w:left="720"/>
        <w:rPr>
          <w:rFonts w:ascii="Arial" w:hAnsi="Arial" w:cs="Arial"/>
          <w:sz w:val="22"/>
          <w:szCs w:val="22"/>
        </w:rPr>
      </w:pPr>
      <w:r w:rsidRPr="00E101F9">
        <w:rPr>
          <w:rFonts w:ascii="Arial" w:hAnsi="Arial" w:cs="Arial"/>
          <w:sz w:val="22"/>
          <w:szCs w:val="22"/>
        </w:rPr>
        <w:t xml:space="preserve">A. </w:t>
      </w:r>
      <w:r w:rsidRPr="00E101F9">
        <w:rPr>
          <w:rFonts w:ascii="Arial" w:hAnsi="Arial" w:cs="Arial"/>
          <w:b/>
          <w:bCs/>
          <w:sz w:val="22"/>
          <w:szCs w:val="22"/>
        </w:rPr>
        <w:t>Leeds City Council</w:t>
      </w:r>
      <w:r w:rsidRPr="00E101F9">
        <w:rPr>
          <w:rFonts w:ascii="Arial" w:hAnsi="Arial" w:cs="Arial"/>
          <w:sz w:val="22"/>
          <w:szCs w:val="22"/>
        </w:rPr>
        <w:t xml:space="preserve"> ..............................................</w:t>
      </w:r>
      <w:r w:rsidR="00A37F04" w:rsidRPr="00E101F9">
        <w:rPr>
          <w:rFonts w:ascii="Arial" w:hAnsi="Arial" w:cs="Arial"/>
          <w:sz w:val="22"/>
          <w:szCs w:val="22"/>
        </w:rPr>
        <w:t>.</w:t>
      </w:r>
      <w:r w:rsidRPr="00E101F9">
        <w:rPr>
          <w:rFonts w:ascii="Arial" w:hAnsi="Arial" w:cs="Arial"/>
          <w:sz w:val="22"/>
          <w:szCs w:val="22"/>
        </w:rPr>
        <w:t xml:space="preserve">.... </w:t>
      </w:r>
      <w:r w:rsidRPr="00E101F9">
        <w:rPr>
          <w:rFonts w:ascii="Arial" w:hAnsi="Arial" w:cs="Arial"/>
          <w:i/>
          <w:iCs/>
          <w:sz w:val="22"/>
          <w:szCs w:val="22"/>
        </w:rPr>
        <w:t>6</w:t>
      </w:r>
      <w:r w:rsidRPr="00E101F9">
        <w:rPr>
          <w:rFonts w:ascii="Arial" w:hAnsi="Arial" w:cs="Arial"/>
          <w:sz w:val="22"/>
          <w:szCs w:val="22"/>
        </w:rPr>
        <w:t xml:space="preserve"> </w:t>
      </w:r>
      <w:r w:rsidRPr="00E101F9">
        <w:rPr>
          <w:rFonts w:ascii="Arial" w:hAnsi="Arial" w:cs="Arial"/>
          <w:sz w:val="22"/>
          <w:szCs w:val="22"/>
        </w:rPr>
        <w:t> </w:t>
      </w:r>
      <w:r w:rsidRPr="00E101F9">
        <w:rPr>
          <w:rFonts w:ascii="Arial" w:hAnsi="Arial" w:cs="Arial"/>
          <w:sz w:val="22"/>
          <w:szCs w:val="22"/>
        </w:rPr>
        <w:t> </w:t>
      </w:r>
    </w:p>
    <w:p w14:paraId="1D877D00" w14:textId="4A624324" w:rsidR="00367EC9" w:rsidRDefault="009F36F2" w:rsidP="00E101F9">
      <w:pPr>
        <w:spacing w:line="360" w:lineRule="auto"/>
        <w:ind w:left="720"/>
        <w:rPr>
          <w:rFonts w:ascii="Arial" w:hAnsi="Arial" w:cs="Arial"/>
          <w:sz w:val="22"/>
          <w:szCs w:val="22"/>
        </w:rPr>
      </w:pPr>
      <w:r w:rsidRPr="00E101F9">
        <w:rPr>
          <w:rFonts w:ascii="Arial" w:hAnsi="Arial" w:cs="Arial"/>
          <w:sz w:val="22"/>
          <w:szCs w:val="22"/>
        </w:rPr>
        <w:t xml:space="preserve">B. </w:t>
      </w:r>
      <w:r w:rsidRPr="00E101F9">
        <w:rPr>
          <w:rFonts w:ascii="Arial" w:hAnsi="Arial" w:cs="Arial"/>
          <w:b/>
          <w:bCs/>
          <w:sz w:val="22"/>
          <w:szCs w:val="22"/>
        </w:rPr>
        <w:t>Tower Hamlets Council</w:t>
      </w:r>
      <w:r w:rsidRPr="00E101F9">
        <w:rPr>
          <w:rFonts w:ascii="Arial" w:hAnsi="Arial" w:cs="Arial"/>
          <w:sz w:val="22"/>
          <w:szCs w:val="22"/>
        </w:rPr>
        <w:t xml:space="preserve"> ........................................</w:t>
      </w:r>
      <w:r w:rsidR="00A37F04" w:rsidRPr="00E101F9">
        <w:rPr>
          <w:rFonts w:ascii="Arial" w:hAnsi="Arial" w:cs="Arial"/>
          <w:sz w:val="22"/>
          <w:szCs w:val="22"/>
        </w:rPr>
        <w:t>..</w:t>
      </w:r>
      <w:r w:rsidRPr="00E101F9">
        <w:rPr>
          <w:rFonts w:ascii="Arial" w:hAnsi="Arial" w:cs="Arial"/>
          <w:sz w:val="22"/>
          <w:szCs w:val="22"/>
        </w:rPr>
        <w:t xml:space="preserve">.. </w:t>
      </w:r>
      <w:r w:rsidR="00AA40D0">
        <w:rPr>
          <w:rFonts w:ascii="Arial" w:hAnsi="Arial" w:cs="Arial"/>
          <w:i/>
          <w:iCs/>
          <w:sz w:val="22"/>
          <w:szCs w:val="22"/>
        </w:rPr>
        <w:t>7</w:t>
      </w:r>
    </w:p>
    <w:p w14:paraId="7F113529" w14:textId="4B40E3DE" w:rsidR="00C46792" w:rsidRDefault="009F36F2" w:rsidP="00C46792">
      <w:pPr>
        <w:spacing w:line="360" w:lineRule="auto"/>
        <w:ind w:left="720"/>
        <w:rPr>
          <w:rFonts w:ascii="Arial" w:hAnsi="Arial" w:cs="Arial"/>
          <w:sz w:val="22"/>
          <w:szCs w:val="22"/>
        </w:rPr>
      </w:pPr>
      <w:r w:rsidRPr="00E101F9">
        <w:rPr>
          <w:rFonts w:ascii="Arial" w:hAnsi="Arial" w:cs="Arial"/>
          <w:sz w:val="22"/>
          <w:szCs w:val="22"/>
        </w:rPr>
        <w:t xml:space="preserve">C. </w:t>
      </w:r>
      <w:r w:rsidRPr="00E101F9">
        <w:rPr>
          <w:rFonts w:ascii="Arial" w:hAnsi="Arial" w:cs="Arial"/>
          <w:b/>
          <w:bCs/>
          <w:sz w:val="22"/>
          <w:szCs w:val="22"/>
        </w:rPr>
        <w:t>Southwark Council</w:t>
      </w:r>
      <w:r w:rsidRPr="00E101F9">
        <w:rPr>
          <w:rFonts w:ascii="Arial" w:hAnsi="Arial" w:cs="Arial"/>
          <w:sz w:val="22"/>
          <w:szCs w:val="22"/>
        </w:rPr>
        <w:t xml:space="preserve"> ..................................................</w:t>
      </w:r>
      <w:r w:rsidR="00327EC5">
        <w:rPr>
          <w:rFonts w:ascii="Arial" w:hAnsi="Arial" w:cs="Arial"/>
          <w:sz w:val="22"/>
          <w:szCs w:val="22"/>
        </w:rPr>
        <w:t xml:space="preserve"> </w:t>
      </w:r>
      <w:r w:rsidR="00C46792">
        <w:rPr>
          <w:rFonts w:ascii="Arial" w:hAnsi="Arial" w:cs="Arial"/>
          <w:i/>
          <w:iCs/>
          <w:sz w:val="22"/>
          <w:szCs w:val="22"/>
        </w:rPr>
        <w:t>8</w:t>
      </w:r>
      <w:r w:rsidRPr="00E101F9">
        <w:rPr>
          <w:rFonts w:ascii="Arial" w:hAnsi="Arial" w:cs="Arial"/>
          <w:sz w:val="22"/>
          <w:szCs w:val="22"/>
        </w:rPr>
        <w:t xml:space="preserve"> </w:t>
      </w:r>
    </w:p>
    <w:p w14:paraId="52315995" w14:textId="1ECFE8ED" w:rsidR="00C46792" w:rsidRPr="00E101F9" w:rsidRDefault="00C46792" w:rsidP="00C46792">
      <w:pPr>
        <w:spacing w:line="360" w:lineRule="auto"/>
        <w:ind w:firstLine="708"/>
        <w:rPr>
          <w:rFonts w:ascii="Arial" w:hAnsi="Arial" w:cs="Arial"/>
          <w:sz w:val="22"/>
          <w:szCs w:val="22"/>
        </w:rPr>
      </w:pPr>
      <w:r w:rsidRPr="00E101F9">
        <w:rPr>
          <w:rFonts w:ascii="Arial" w:hAnsi="Arial" w:cs="Arial"/>
          <w:sz w:val="22"/>
          <w:szCs w:val="22"/>
        </w:rPr>
        <w:t xml:space="preserve">2.4 </w:t>
      </w:r>
      <w:r w:rsidRPr="00E101F9">
        <w:rPr>
          <w:rFonts w:ascii="Arial" w:hAnsi="Arial" w:cs="Arial"/>
          <w:b/>
          <w:bCs/>
          <w:sz w:val="22"/>
          <w:szCs w:val="22"/>
        </w:rPr>
        <w:t>Comparative</w:t>
      </w:r>
      <w:r w:rsidRPr="00E101F9">
        <w:rPr>
          <w:rFonts w:ascii="Arial" w:hAnsi="Arial" w:cs="Arial"/>
          <w:sz w:val="22"/>
          <w:szCs w:val="22"/>
        </w:rPr>
        <w:t xml:space="preserve"> </w:t>
      </w:r>
      <w:r w:rsidRPr="00E101F9">
        <w:rPr>
          <w:rFonts w:ascii="Arial" w:hAnsi="Arial" w:cs="Arial"/>
          <w:b/>
          <w:bCs/>
          <w:sz w:val="22"/>
          <w:szCs w:val="22"/>
        </w:rPr>
        <w:t>Analysis</w:t>
      </w:r>
      <w:r w:rsidRPr="00E101F9">
        <w:rPr>
          <w:rFonts w:ascii="Arial" w:hAnsi="Arial" w:cs="Arial"/>
          <w:sz w:val="22"/>
          <w:szCs w:val="22"/>
        </w:rPr>
        <w:t xml:space="preserve"> ............................................ </w:t>
      </w:r>
      <w:r w:rsidR="008912CF">
        <w:rPr>
          <w:rFonts w:ascii="Arial" w:hAnsi="Arial" w:cs="Arial"/>
          <w:i/>
          <w:iCs/>
          <w:sz w:val="22"/>
          <w:szCs w:val="22"/>
        </w:rPr>
        <w:t>9</w:t>
      </w:r>
      <w:r w:rsidRPr="00E101F9">
        <w:rPr>
          <w:rFonts w:ascii="Arial" w:hAnsi="Arial" w:cs="Arial"/>
          <w:sz w:val="22"/>
          <w:szCs w:val="22"/>
        </w:rPr>
        <w:t> </w:t>
      </w:r>
      <w:r w:rsidRPr="00E101F9">
        <w:rPr>
          <w:rFonts w:ascii="Arial" w:hAnsi="Arial" w:cs="Arial"/>
          <w:sz w:val="22"/>
          <w:szCs w:val="22"/>
        </w:rPr>
        <w:t> </w:t>
      </w:r>
    </w:p>
    <w:p w14:paraId="62ABC9CC" w14:textId="7479B5EE" w:rsidR="009F36F2" w:rsidRPr="00E101F9" w:rsidRDefault="00A37F04" w:rsidP="00636017">
      <w:pPr>
        <w:spacing w:line="360" w:lineRule="auto"/>
        <w:ind w:firstLine="360"/>
        <w:rPr>
          <w:rFonts w:ascii="Arial" w:hAnsi="Arial" w:cs="Arial"/>
          <w:sz w:val="22"/>
          <w:szCs w:val="22"/>
        </w:rPr>
      </w:pPr>
      <w:r w:rsidRPr="00E101F9">
        <w:rPr>
          <w:rFonts w:ascii="Arial" w:hAnsi="Arial" w:cs="Arial"/>
          <w:b/>
          <w:bCs/>
          <w:sz w:val="22"/>
          <w:szCs w:val="22"/>
        </w:rPr>
        <w:t>3.</w:t>
      </w:r>
      <w:r w:rsidR="009F36F2" w:rsidRPr="00E101F9">
        <w:rPr>
          <w:rFonts w:ascii="Arial" w:hAnsi="Arial" w:cs="Arial"/>
          <w:b/>
          <w:bCs/>
          <w:sz w:val="22"/>
          <w:szCs w:val="22"/>
        </w:rPr>
        <w:t xml:space="preserve"> </w:t>
      </w:r>
      <w:r w:rsidRPr="00E101F9">
        <w:rPr>
          <w:rFonts w:ascii="Arial" w:hAnsi="Arial" w:cs="Arial"/>
          <w:b/>
          <w:bCs/>
          <w:sz w:val="22"/>
          <w:szCs w:val="22"/>
        </w:rPr>
        <w:t xml:space="preserve">   </w:t>
      </w:r>
      <w:r w:rsidR="009F36F2" w:rsidRPr="00E101F9">
        <w:rPr>
          <w:rFonts w:ascii="Arial" w:hAnsi="Arial" w:cs="Arial"/>
          <w:b/>
          <w:bCs/>
          <w:sz w:val="22"/>
          <w:szCs w:val="22"/>
        </w:rPr>
        <w:t>Conclusion</w:t>
      </w:r>
      <w:r w:rsidR="009F36F2" w:rsidRPr="00E101F9">
        <w:rPr>
          <w:rFonts w:ascii="Arial" w:hAnsi="Arial" w:cs="Arial"/>
          <w:sz w:val="22"/>
          <w:szCs w:val="22"/>
        </w:rPr>
        <w:t xml:space="preserve"> .................................................................. </w:t>
      </w:r>
      <w:r w:rsidR="00836707">
        <w:rPr>
          <w:rFonts w:ascii="Arial" w:hAnsi="Arial" w:cs="Arial"/>
          <w:i/>
          <w:iCs/>
          <w:sz w:val="22"/>
          <w:szCs w:val="22"/>
        </w:rPr>
        <w:t>9</w:t>
      </w:r>
    </w:p>
    <w:p w14:paraId="20A07815" w14:textId="6F87DC40" w:rsidR="00A37F04" w:rsidRPr="00E101F9" w:rsidRDefault="00A37F04" w:rsidP="00E101F9">
      <w:pPr>
        <w:spacing w:line="360" w:lineRule="auto"/>
        <w:ind w:left="360"/>
        <w:rPr>
          <w:rFonts w:ascii="Arial" w:hAnsi="Arial" w:cs="Arial"/>
          <w:sz w:val="22"/>
          <w:szCs w:val="22"/>
        </w:rPr>
      </w:pPr>
      <w:r w:rsidRPr="00E101F9">
        <w:rPr>
          <w:rFonts w:ascii="Arial" w:hAnsi="Arial" w:cs="Arial"/>
          <w:b/>
          <w:bCs/>
          <w:sz w:val="22"/>
          <w:szCs w:val="22"/>
        </w:rPr>
        <w:t xml:space="preserve">4.   </w:t>
      </w:r>
      <w:r w:rsidR="009F36F2" w:rsidRPr="00E101F9">
        <w:rPr>
          <w:rFonts w:ascii="Arial" w:hAnsi="Arial" w:cs="Arial"/>
          <w:b/>
          <w:bCs/>
          <w:sz w:val="22"/>
          <w:szCs w:val="22"/>
        </w:rPr>
        <w:t>Recommendations</w:t>
      </w:r>
      <w:r w:rsidR="009F36F2" w:rsidRPr="00E101F9">
        <w:rPr>
          <w:rFonts w:ascii="Arial" w:hAnsi="Arial" w:cs="Arial"/>
          <w:sz w:val="22"/>
          <w:szCs w:val="22"/>
        </w:rPr>
        <w:t xml:space="preserve"> ...................................................... </w:t>
      </w:r>
      <w:r w:rsidR="00836707">
        <w:rPr>
          <w:rFonts w:ascii="Arial" w:hAnsi="Arial" w:cs="Arial"/>
          <w:i/>
          <w:iCs/>
          <w:sz w:val="22"/>
          <w:szCs w:val="22"/>
        </w:rPr>
        <w:t>9</w:t>
      </w:r>
    </w:p>
    <w:p w14:paraId="736994E9" w14:textId="4EEED53C" w:rsidR="009F36F2" w:rsidRPr="00E101F9" w:rsidRDefault="009F36F2" w:rsidP="00E101F9">
      <w:pPr>
        <w:spacing w:line="360" w:lineRule="auto"/>
        <w:ind w:left="720"/>
        <w:rPr>
          <w:rFonts w:ascii="Arial" w:hAnsi="Arial" w:cs="Arial"/>
          <w:sz w:val="22"/>
          <w:szCs w:val="22"/>
        </w:rPr>
      </w:pPr>
      <w:r w:rsidRPr="00E101F9">
        <w:rPr>
          <w:rFonts w:ascii="Arial" w:hAnsi="Arial" w:cs="Arial"/>
          <w:b/>
          <w:bCs/>
          <w:sz w:val="22"/>
          <w:szCs w:val="22"/>
        </w:rPr>
        <w:t>References</w:t>
      </w:r>
      <w:r w:rsidRPr="00E101F9">
        <w:rPr>
          <w:rFonts w:ascii="Arial" w:hAnsi="Arial" w:cs="Arial"/>
          <w:sz w:val="22"/>
          <w:szCs w:val="22"/>
        </w:rPr>
        <w:t xml:space="preserve"> .................................................................. </w:t>
      </w:r>
      <w:r w:rsidRPr="00E101F9">
        <w:rPr>
          <w:rFonts w:ascii="Arial" w:hAnsi="Arial" w:cs="Arial"/>
          <w:i/>
          <w:iCs/>
          <w:sz w:val="22"/>
          <w:szCs w:val="22"/>
        </w:rPr>
        <w:t>1</w:t>
      </w:r>
      <w:r w:rsidR="00836707">
        <w:rPr>
          <w:rFonts w:ascii="Arial" w:hAnsi="Arial" w:cs="Arial"/>
          <w:i/>
          <w:iCs/>
          <w:sz w:val="22"/>
          <w:szCs w:val="22"/>
        </w:rPr>
        <w:t>0</w:t>
      </w:r>
    </w:p>
    <w:p w14:paraId="43E3819B" w14:textId="3482ADE0" w:rsidR="00BF3A5F" w:rsidRPr="00E101F9" w:rsidRDefault="00BF3A5F" w:rsidP="00E101F9">
      <w:pPr>
        <w:spacing w:line="360" w:lineRule="auto"/>
        <w:rPr>
          <w:rFonts w:ascii="Arial" w:hAnsi="Arial" w:cs="Arial"/>
          <w:sz w:val="22"/>
          <w:szCs w:val="22"/>
        </w:rPr>
      </w:pPr>
    </w:p>
    <w:p w14:paraId="53AFDFBC" w14:textId="77777777" w:rsidR="002E155D" w:rsidRPr="00E101F9" w:rsidRDefault="002E155D" w:rsidP="00E101F9">
      <w:pPr>
        <w:spacing w:line="360" w:lineRule="auto"/>
        <w:rPr>
          <w:rFonts w:ascii="Arial" w:hAnsi="Arial" w:cs="Arial"/>
          <w:sz w:val="22"/>
          <w:szCs w:val="22"/>
        </w:rPr>
      </w:pPr>
    </w:p>
    <w:p w14:paraId="647C6C4C" w14:textId="601DBE9B"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br/>
      </w:r>
    </w:p>
    <w:p w14:paraId="6F1ECF03" w14:textId="702638E7" w:rsidR="002E155D" w:rsidRPr="00E101F9" w:rsidRDefault="002E155D" w:rsidP="00E101F9">
      <w:pPr>
        <w:spacing w:line="360" w:lineRule="auto"/>
        <w:rPr>
          <w:rFonts w:ascii="Arial" w:hAnsi="Arial" w:cs="Arial"/>
          <w:sz w:val="22"/>
          <w:szCs w:val="22"/>
        </w:rPr>
      </w:pPr>
    </w:p>
    <w:p w14:paraId="194E7F0B" w14:textId="77777777" w:rsidR="00A610E2" w:rsidRDefault="00A610E2" w:rsidP="00E101F9">
      <w:pPr>
        <w:spacing w:line="360" w:lineRule="auto"/>
        <w:rPr>
          <w:rFonts w:ascii="Arial" w:hAnsi="Arial" w:cs="Arial"/>
          <w:b/>
          <w:bCs/>
          <w:sz w:val="22"/>
          <w:szCs w:val="22"/>
        </w:rPr>
      </w:pPr>
    </w:p>
    <w:p w14:paraId="2784F660" w14:textId="77777777" w:rsidR="00A610E2" w:rsidRDefault="00A610E2" w:rsidP="00E101F9">
      <w:pPr>
        <w:spacing w:line="360" w:lineRule="auto"/>
        <w:rPr>
          <w:rFonts w:ascii="Arial" w:hAnsi="Arial" w:cs="Arial"/>
          <w:b/>
          <w:bCs/>
          <w:sz w:val="22"/>
          <w:szCs w:val="22"/>
        </w:rPr>
      </w:pPr>
    </w:p>
    <w:p w14:paraId="0BF8A2B3" w14:textId="736C945F"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1. Introduction</w:t>
      </w:r>
    </w:p>
    <w:p w14:paraId="5C866333"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Early Help is a fundamental component of the UK safeguarding system, designed to identify emerging needs in children and families before difficulties escalate into statutory intervention. The </w:t>
      </w:r>
      <w:r w:rsidRPr="00E101F9">
        <w:rPr>
          <w:rFonts w:ascii="Arial" w:hAnsi="Arial" w:cs="Arial"/>
          <w:i/>
          <w:iCs/>
          <w:sz w:val="22"/>
          <w:szCs w:val="22"/>
        </w:rPr>
        <w:t>Early Help System Guide</w:t>
      </w:r>
      <w:r w:rsidRPr="00E101F9">
        <w:rPr>
          <w:rFonts w:ascii="Arial" w:hAnsi="Arial" w:cs="Arial"/>
          <w:sz w:val="22"/>
          <w:szCs w:val="22"/>
        </w:rPr>
        <w:t xml:space="preserve"> (Department for Education, 2022) emphasises that Early Help aims to provide timely, proportionate, and coordinated support that strengthens family resilience, promotes wellbeing, and prevents harm. It sits within the wider safeguarding continuum, complementing statutory child protection processes outlined in </w:t>
      </w:r>
      <w:r w:rsidRPr="00E101F9">
        <w:rPr>
          <w:rFonts w:ascii="Arial" w:hAnsi="Arial" w:cs="Arial"/>
          <w:i/>
          <w:iCs/>
          <w:sz w:val="22"/>
          <w:szCs w:val="22"/>
        </w:rPr>
        <w:t>Working Together to Safeguard Children</w:t>
      </w:r>
      <w:r w:rsidRPr="00E101F9">
        <w:rPr>
          <w:rFonts w:ascii="Arial" w:hAnsi="Arial" w:cs="Arial"/>
          <w:sz w:val="22"/>
          <w:szCs w:val="22"/>
        </w:rPr>
        <w:t xml:space="preserve"> (HM Government, 2023). The Early Help approach recognises that families often experience challenges that do not meet statutory thresholds but still require structured support to prevent escalation.</w:t>
      </w:r>
    </w:p>
    <w:p w14:paraId="2A9881E2"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Local authorities therefore have a statutory and moral responsibility to ensure that Early Help information is accessible, clearly communicated, and easy for families to navigate. In the digital age, local authority websites are often the first point of contact for families seeking support. The clarity, structure, and accessibility of these websites directly influence whether families understand how to access Early Help services. Poorly designed or overly complex webpages can create barriers, particularly for families with lower digital literacy or English as an additional language.</w:t>
      </w:r>
    </w:p>
    <w:p w14:paraId="37BB7339"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This report examines how three local authorities communicate Early Help to families through their official websites: Leeds City Council, Tower Hamlets Council, and Southwark Council. These councils were selected because they represent diverse demographics, communication styles, and approaches to Early Help delivery. Leeds is known for its “Child Friendly City” strategy, Tower Hamlets for its multilingual and highly detailed professional guidance, and Southwark for its simple, family</w:t>
      </w:r>
      <w:r w:rsidRPr="00E101F9">
        <w:rPr>
          <w:rFonts w:ascii="Arial" w:hAnsi="Arial" w:cs="Arial"/>
          <w:sz w:val="22"/>
          <w:szCs w:val="22"/>
        </w:rPr>
        <w:noBreakHyphen/>
        <w:t>friendly layout. Together, they provide a useful comparison of how Early Help is communicated across different local contexts.</w:t>
      </w:r>
    </w:p>
    <w:p w14:paraId="2D402D6C"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The report evaluates how effectively each website explains Early Help, signposts support, and provides accessible pathways for families and professionals. It also considers how well each website aligns with national guidance, including </w:t>
      </w:r>
      <w:r w:rsidRPr="00E101F9">
        <w:rPr>
          <w:rFonts w:ascii="Arial" w:hAnsi="Arial" w:cs="Arial"/>
          <w:i/>
          <w:iCs/>
          <w:sz w:val="22"/>
          <w:szCs w:val="22"/>
        </w:rPr>
        <w:t>Working Together 2023</w:t>
      </w:r>
      <w:r w:rsidRPr="00E101F9">
        <w:rPr>
          <w:rFonts w:ascii="Arial" w:hAnsi="Arial" w:cs="Arial"/>
          <w:sz w:val="22"/>
          <w:szCs w:val="22"/>
        </w:rPr>
        <w:t xml:space="preserve"> and the </w:t>
      </w:r>
      <w:r w:rsidRPr="00E101F9">
        <w:rPr>
          <w:rFonts w:ascii="Arial" w:hAnsi="Arial" w:cs="Arial"/>
          <w:i/>
          <w:iCs/>
          <w:sz w:val="22"/>
          <w:szCs w:val="22"/>
        </w:rPr>
        <w:t>Early Help System Guide</w:t>
      </w:r>
      <w:r w:rsidRPr="00E101F9">
        <w:rPr>
          <w:rFonts w:ascii="Arial" w:hAnsi="Arial" w:cs="Arial"/>
          <w:sz w:val="22"/>
          <w:szCs w:val="22"/>
        </w:rPr>
        <w:t>. The report concludes with recommendations for improving digital communication to ensure that Early Help is accessible, understandable, and easy to navigate for all families.</w:t>
      </w:r>
    </w:p>
    <w:p w14:paraId="121B484D" w14:textId="7996E582" w:rsidR="002E155D" w:rsidRPr="00E101F9" w:rsidRDefault="002E155D" w:rsidP="00E101F9">
      <w:pPr>
        <w:spacing w:line="360" w:lineRule="auto"/>
        <w:rPr>
          <w:rFonts w:ascii="Arial" w:hAnsi="Arial" w:cs="Arial"/>
          <w:sz w:val="22"/>
          <w:szCs w:val="22"/>
        </w:rPr>
      </w:pPr>
    </w:p>
    <w:p w14:paraId="63B6522B" w14:textId="77777777" w:rsidR="00F81626" w:rsidRDefault="00F81626" w:rsidP="00E101F9">
      <w:pPr>
        <w:spacing w:line="360" w:lineRule="auto"/>
        <w:rPr>
          <w:rFonts w:ascii="Arial" w:hAnsi="Arial" w:cs="Arial"/>
          <w:b/>
          <w:bCs/>
          <w:sz w:val="22"/>
          <w:szCs w:val="22"/>
        </w:rPr>
      </w:pPr>
    </w:p>
    <w:p w14:paraId="61B0D900" w14:textId="77777777" w:rsidR="00F81626" w:rsidRDefault="00F81626" w:rsidP="00E101F9">
      <w:pPr>
        <w:spacing w:line="360" w:lineRule="auto"/>
        <w:rPr>
          <w:rFonts w:ascii="Arial" w:hAnsi="Arial" w:cs="Arial"/>
          <w:b/>
          <w:bCs/>
          <w:sz w:val="22"/>
          <w:szCs w:val="22"/>
        </w:rPr>
      </w:pPr>
    </w:p>
    <w:p w14:paraId="3BB17110" w14:textId="647B1A6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2. Main Body</w:t>
      </w:r>
    </w:p>
    <w:p w14:paraId="214B4A68" w14:textId="2CEF9760" w:rsidR="002E155D" w:rsidRPr="00E101F9" w:rsidRDefault="002E155D" w:rsidP="00E101F9">
      <w:pPr>
        <w:spacing w:line="360" w:lineRule="auto"/>
        <w:rPr>
          <w:rFonts w:ascii="Arial" w:hAnsi="Arial" w:cs="Arial"/>
          <w:sz w:val="22"/>
          <w:szCs w:val="22"/>
        </w:rPr>
      </w:pPr>
    </w:p>
    <w:p w14:paraId="60723838"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2.1 The Early Help System</w:t>
      </w:r>
    </w:p>
    <w:p w14:paraId="18E39E47"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The </w:t>
      </w:r>
      <w:r w:rsidRPr="00E101F9">
        <w:rPr>
          <w:rFonts w:ascii="Arial" w:hAnsi="Arial" w:cs="Arial"/>
          <w:i/>
          <w:iCs/>
          <w:sz w:val="22"/>
          <w:szCs w:val="22"/>
        </w:rPr>
        <w:t>Early Help System Guide</w:t>
      </w:r>
      <w:r w:rsidRPr="00E101F9">
        <w:rPr>
          <w:rFonts w:ascii="Arial" w:hAnsi="Arial" w:cs="Arial"/>
          <w:sz w:val="22"/>
          <w:szCs w:val="22"/>
        </w:rPr>
        <w:t xml:space="preserve"> (DfE, 2022) defines Early Help as a coordinated, multi</w:t>
      </w:r>
      <w:r w:rsidRPr="00E101F9">
        <w:rPr>
          <w:rFonts w:ascii="Arial" w:hAnsi="Arial" w:cs="Arial"/>
          <w:sz w:val="22"/>
          <w:szCs w:val="22"/>
        </w:rPr>
        <w:noBreakHyphen/>
        <w:t>agency response that supports families at the earliest opportunity. Its core principles include:</w:t>
      </w:r>
    </w:p>
    <w:p w14:paraId="6F3BCCC7"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Prevention and early intervention</w:t>
      </w:r>
    </w:p>
    <w:p w14:paraId="642BD6F7"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Holistic assessment of family needs</w:t>
      </w:r>
    </w:p>
    <w:p w14:paraId="00E2B87F"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Voluntary engagement</w:t>
      </w:r>
    </w:p>
    <w:p w14:paraId="14CC8FCB"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Strength</w:t>
      </w:r>
      <w:r w:rsidRPr="00E101F9">
        <w:rPr>
          <w:rFonts w:ascii="Arial" w:hAnsi="Arial" w:cs="Arial"/>
          <w:b/>
          <w:bCs/>
          <w:sz w:val="22"/>
          <w:szCs w:val="22"/>
        </w:rPr>
        <w:noBreakHyphen/>
        <w:t>based practice</w:t>
      </w:r>
    </w:p>
    <w:p w14:paraId="06B5264F"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Multi</w:t>
      </w:r>
      <w:r w:rsidRPr="00E101F9">
        <w:rPr>
          <w:rFonts w:ascii="Arial" w:hAnsi="Arial" w:cs="Arial"/>
          <w:b/>
          <w:bCs/>
          <w:sz w:val="22"/>
          <w:szCs w:val="22"/>
        </w:rPr>
        <w:noBreakHyphen/>
        <w:t>agency collaboration</w:t>
      </w:r>
    </w:p>
    <w:p w14:paraId="6E8B4F38"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Clear referral pathways</w:t>
      </w:r>
    </w:p>
    <w:p w14:paraId="716B0779" w14:textId="77777777" w:rsidR="002E155D" w:rsidRPr="00E101F9" w:rsidRDefault="002E155D" w:rsidP="00E101F9">
      <w:pPr>
        <w:numPr>
          <w:ilvl w:val="0"/>
          <w:numId w:val="2"/>
        </w:numPr>
        <w:spacing w:line="360" w:lineRule="auto"/>
        <w:rPr>
          <w:rFonts w:ascii="Arial" w:hAnsi="Arial" w:cs="Arial"/>
          <w:sz w:val="22"/>
          <w:szCs w:val="22"/>
        </w:rPr>
      </w:pPr>
      <w:r w:rsidRPr="00E101F9">
        <w:rPr>
          <w:rFonts w:ascii="Arial" w:hAnsi="Arial" w:cs="Arial"/>
          <w:b/>
          <w:bCs/>
          <w:sz w:val="22"/>
          <w:szCs w:val="22"/>
        </w:rPr>
        <w:t>Accessible information for families</w:t>
      </w:r>
    </w:p>
    <w:p w14:paraId="320A9363"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Early Help is positioned between universal services (such as schools and health visitors) and statutory child protection. It aims to reduce escalation by addressing issues such as parenting challenges, emotional wellbeing, school attendance, housing difficulties, or financial stress. The Early Help System Guide emphasises that families should be able to access support without stigma, and that information must be communicated in a way that is understandable, non</w:t>
      </w:r>
      <w:r w:rsidRPr="00E101F9">
        <w:rPr>
          <w:rFonts w:ascii="Arial" w:hAnsi="Arial" w:cs="Arial"/>
          <w:sz w:val="22"/>
          <w:szCs w:val="22"/>
        </w:rPr>
        <w:noBreakHyphen/>
        <w:t>judgemental, and easy to navigate.</w:t>
      </w:r>
    </w:p>
    <w:p w14:paraId="5AC4FC21"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Local authorities therefore have a statutory responsibility to ensure that Early Help information is visible, clear, accessible, easy to navigate, and consistent with national guidance. The quality of website communication directly affects whether families understand how to access support. Poorly structured or overly complex information can act as a barrier, particularly for families with lower digital literacy or English as an additional language.</w:t>
      </w:r>
    </w:p>
    <w:p w14:paraId="52095C8C"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Early Help also relies on clear thresholds, shared assessments, and coordinated planning. Families should be able to understand what Early Help is, how it works, and how they can access it. Websites therefore play a crucial role in shaping families’ understanding and </w:t>
      </w:r>
      <w:r w:rsidRPr="00E101F9">
        <w:rPr>
          <w:rFonts w:ascii="Arial" w:hAnsi="Arial" w:cs="Arial"/>
          <w:sz w:val="22"/>
          <w:szCs w:val="22"/>
        </w:rPr>
        <w:lastRenderedPageBreak/>
        <w:t>confidence in seeking support. When Early Help is communicated effectively, families are more likely to engage voluntarily, which is a core principle of the Early Help approach.</w:t>
      </w:r>
    </w:p>
    <w:p w14:paraId="4C30498A"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The Early Help System Guide also highlights the importance of local context. Each local authority is expected to design Early Help pathways that reflect local needs, demographics, and service structures. This means that websites must not only be clear and accessible but also tailored to the specific communities they serve. For example, areas with high linguistic diversity may require multilingual resources, while areas with high deprivation may need clearer signposting to financial or housing support.</w:t>
      </w:r>
    </w:p>
    <w:p w14:paraId="73821570" w14:textId="70BBBB6D" w:rsidR="002E155D" w:rsidRPr="00E101F9" w:rsidRDefault="002E155D" w:rsidP="00E101F9">
      <w:pPr>
        <w:spacing w:line="360" w:lineRule="auto"/>
        <w:rPr>
          <w:rFonts w:ascii="Arial" w:hAnsi="Arial" w:cs="Arial"/>
          <w:sz w:val="22"/>
          <w:szCs w:val="22"/>
        </w:rPr>
      </w:pPr>
    </w:p>
    <w:p w14:paraId="607D4F83"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2.2 Multi</w:t>
      </w:r>
      <w:r w:rsidRPr="00E101F9">
        <w:rPr>
          <w:rFonts w:ascii="Arial" w:hAnsi="Arial" w:cs="Arial"/>
          <w:b/>
          <w:bCs/>
          <w:sz w:val="22"/>
          <w:szCs w:val="22"/>
        </w:rPr>
        <w:noBreakHyphen/>
        <w:t>Agency and Interdisciplinary Working</w:t>
      </w:r>
    </w:p>
    <w:p w14:paraId="42604F19" w14:textId="77777777" w:rsidR="002E155D" w:rsidRPr="00E101F9" w:rsidRDefault="002E155D" w:rsidP="00E101F9">
      <w:pPr>
        <w:spacing w:line="360" w:lineRule="auto"/>
        <w:rPr>
          <w:rFonts w:ascii="Arial" w:hAnsi="Arial" w:cs="Arial"/>
          <w:sz w:val="22"/>
          <w:szCs w:val="22"/>
        </w:rPr>
      </w:pPr>
      <w:r w:rsidRPr="00E101F9">
        <w:rPr>
          <w:rFonts w:ascii="Arial" w:hAnsi="Arial" w:cs="Arial"/>
          <w:i/>
          <w:iCs/>
          <w:sz w:val="22"/>
          <w:szCs w:val="22"/>
        </w:rPr>
        <w:t>Working Together to Safeguard Children</w:t>
      </w:r>
      <w:r w:rsidRPr="00E101F9">
        <w:rPr>
          <w:rFonts w:ascii="Arial" w:hAnsi="Arial" w:cs="Arial"/>
          <w:sz w:val="22"/>
          <w:szCs w:val="22"/>
        </w:rPr>
        <w:t xml:space="preserve"> (HM Government, 2023) emphasises that safeguarding is a shared responsibility across agencies. Multi</w:t>
      </w:r>
      <w:r w:rsidRPr="00E101F9">
        <w:rPr>
          <w:rFonts w:ascii="Arial" w:hAnsi="Arial" w:cs="Arial"/>
          <w:sz w:val="22"/>
          <w:szCs w:val="22"/>
        </w:rPr>
        <w:noBreakHyphen/>
        <w:t>agency working involves collaboration between children’s social care, education, health services, police, youth services, voluntary and community organisations, and early years providers. Interdisciplinary working ensures that professionals share information, coordinate interventions, and avoid duplication.</w:t>
      </w:r>
    </w:p>
    <w:p w14:paraId="03C74B40"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Effective Early Help requires:</w:t>
      </w:r>
    </w:p>
    <w:p w14:paraId="0F9E8F93"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Shared assessments</w:t>
      </w:r>
      <w:r w:rsidRPr="00E101F9">
        <w:rPr>
          <w:rFonts w:ascii="Arial" w:hAnsi="Arial" w:cs="Arial"/>
          <w:sz w:val="22"/>
          <w:szCs w:val="22"/>
        </w:rPr>
        <w:t xml:space="preserve"> (such as the Early Help Assessment)</w:t>
      </w:r>
    </w:p>
    <w:p w14:paraId="50F6AC27"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Joint planning and review</w:t>
      </w:r>
    </w:p>
    <w:p w14:paraId="22374563"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Clear referral routes</w:t>
      </w:r>
    </w:p>
    <w:p w14:paraId="3D6DAC0D"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Consistent communication with families</w:t>
      </w:r>
    </w:p>
    <w:p w14:paraId="336E3455"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Understanding of thresholds and escalation pathways</w:t>
      </w:r>
    </w:p>
    <w:p w14:paraId="25DA70E7"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Coordinated multi</w:t>
      </w:r>
      <w:r w:rsidRPr="00E101F9">
        <w:rPr>
          <w:rFonts w:ascii="Arial" w:hAnsi="Arial" w:cs="Arial"/>
          <w:b/>
          <w:bCs/>
          <w:sz w:val="22"/>
          <w:szCs w:val="22"/>
        </w:rPr>
        <w:noBreakHyphen/>
        <w:t>agency meetings</w:t>
      </w:r>
    </w:p>
    <w:p w14:paraId="482A2775" w14:textId="77777777" w:rsidR="002E155D" w:rsidRPr="00E101F9" w:rsidRDefault="002E155D" w:rsidP="00E101F9">
      <w:pPr>
        <w:numPr>
          <w:ilvl w:val="0"/>
          <w:numId w:val="3"/>
        </w:numPr>
        <w:spacing w:line="360" w:lineRule="auto"/>
        <w:rPr>
          <w:rFonts w:ascii="Arial" w:hAnsi="Arial" w:cs="Arial"/>
          <w:sz w:val="22"/>
          <w:szCs w:val="22"/>
        </w:rPr>
      </w:pPr>
      <w:r w:rsidRPr="00E101F9">
        <w:rPr>
          <w:rFonts w:ascii="Arial" w:hAnsi="Arial" w:cs="Arial"/>
          <w:b/>
          <w:bCs/>
          <w:sz w:val="22"/>
          <w:szCs w:val="22"/>
        </w:rPr>
        <w:t>Clear roles and responsibilities</w:t>
      </w:r>
    </w:p>
    <w:p w14:paraId="14388FAB"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Local authority websites play a crucial role in enabling this by providing:</w:t>
      </w:r>
    </w:p>
    <w:p w14:paraId="58EC56A1" w14:textId="77777777" w:rsidR="002E155D" w:rsidRPr="00E101F9" w:rsidRDefault="002E155D" w:rsidP="00E101F9">
      <w:pPr>
        <w:numPr>
          <w:ilvl w:val="0"/>
          <w:numId w:val="4"/>
        </w:numPr>
        <w:spacing w:line="360" w:lineRule="auto"/>
        <w:rPr>
          <w:rFonts w:ascii="Arial" w:hAnsi="Arial" w:cs="Arial"/>
          <w:sz w:val="22"/>
          <w:szCs w:val="22"/>
        </w:rPr>
      </w:pPr>
      <w:r w:rsidRPr="00E101F9">
        <w:rPr>
          <w:rFonts w:ascii="Arial" w:hAnsi="Arial" w:cs="Arial"/>
          <w:sz w:val="22"/>
          <w:szCs w:val="22"/>
        </w:rPr>
        <w:t>Clear explanations of Early Help</w:t>
      </w:r>
    </w:p>
    <w:p w14:paraId="7DC45193" w14:textId="77777777" w:rsidR="002E155D" w:rsidRPr="00E101F9" w:rsidRDefault="002E155D" w:rsidP="00E101F9">
      <w:pPr>
        <w:numPr>
          <w:ilvl w:val="0"/>
          <w:numId w:val="4"/>
        </w:numPr>
        <w:spacing w:line="360" w:lineRule="auto"/>
        <w:rPr>
          <w:rFonts w:ascii="Arial" w:hAnsi="Arial" w:cs="Arial"/>
          <w:sz w:val="22"/>
          <w:szCs w:val="22"/>
        </w:rPr>
      </w:pPr>
      <w:r w:rsidRPr="00E101F9">
        <w:rPr>
          <w:rFonts w:ascii="Arial" w:hAnsi="Arial" w:cs="Arial"/>
          <w:sz w:val="22"/>
          <w:szCs w:val="22"/>
        </w:rPr>
        <w:t>Contact details</w:t>
      </w:r>
    </w:p>
    <w:p w14:paraId="6F7A749A" w14:textId="77777777" w:rsidR="002E155D" w:rsidRPr="00E101F9" w:rsidRDefault="002E155D" w:rsidP="00E101F9">
      <w:pPr>
        <w:numPr>
          <w:ilvl w:val="0"/>
          <w:numId w:val="4"/>
        </w:numPr>
        <w:spacing w:line="360" w:lineRule="auto"/>
        <w:rPr>
          <w:rFonts w:ascii="Arial" w:hAnsi="Arial" w:cs="Arial"/>
          <w:sz w:val="22"/>
          <w:szCs w:val="22"/>
        </w:rPr>
      </w:pPr>
      <w:r w:rsidRPr="00E101F9">
        <w:rPr>
          <w:rFonts w:ascii="Arial" w:hAnsi="Arial" w:cs="Arial"/>
          <w:sz w:val="22"/>
          <w:szCs w:val="22"/>
        </w:rPr>
        <w:t>Referral forms</w:t>
      </w:r>
    </w:p>
    <w:p w14:paraId="47D8300E" w14:textId="77777777" w:rsidR="002E155D" w:rsidRPr="00E101F9" w:rsidRDefault="002E155D" w:rsidP="00E101F9">
      <w:pPr>
        <w:numPr>
          <w:ilvl w:val="0"/>
          <w:numId w:val="4"/>
        </w:numPr>
        <w:spacing w:line="360" w:lineRule="auto"/>
        <w:rPr>
          <w:rFonts w:ascii="Arial" w:hAnsi="Arial" w:cs="Arial"/>
          <w:sz w:val="22"/>
          <w:szCs w:val="22"/>
        </w:rPr>
      </w:pPr>
      <w:r w:rsidRPr="00E101F9">
        <w:rPr>
          <w:rFonts w:ascii="Arial" w:hAnsi="Arial" w:cs="Arial"/>
          <w:sz w:val="22"/>
          <w:szCs w:val="22"/>
        </w:rPr>
        <w:t>Guidance for professionals</w:t>
      </w:r>
    </w:p>
    <w:p w14:paraId="4BB86985" w14:textId="77777777" w:rsidR="002E155D" w:rsidRPr="00E101F9" w:rsidRDefault="002E155D" w:rsidP="00E101F9">
      <w:pPr>
        <w:numPr>
          <w:ilvl w:val="0"/>
          <w:numId w:val="4"/>
        </w:numPr>
        <w:spacing w:line="360" w:lineRule="auto"/>
        <w:rPr>
          <w:rFonts w:ascii="Arial" w:hAnsi="Arial" w:cs="Arial"/>
          <w:sz w:val="22"/>
          <w:szCs w:val="22"/>
        </w:rPr>
      </w:pPr>
      <w:r w:rsidRPr="00E101F9">
        <w:rPr>
          <w:rFonts w:ascii="Arial" w:hAnsi="Arial" w:cs="Arial"/>
          <w:sz w:val="22"/>
          <w:szCs w:val="22"/>
        </w:rPr>
        <w:lastRenderedPageBreak/>
        <w:t>Information for families in accessible language</w:t>
      </w:r>
    </w:p>
    <w:p w14:paraId="7CB4E463"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The clarity of online information directly influences whether professionals and families can engage effectively in Early Help processes. If websites are unclear, overly complex, or poorly structured, families may not understand how to access support, and professionals may struggle to navigate referral pathways.</w:t>
      </w:r>
    </w:p>
    <w:p w14:paraId="42AA9856"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Digital communication also supports multi</w:t>
      </w:r>
      <w:r w:rsidRPr="00E101F9">
        <w:rPr>
          <w:rFonts w:ascii="Arial" w:hAnsi="Arial" w:cs="Arial"/>
          <w:sz w:val="22"/>
          <w:szCs w:val="22"/>
        </w:rPr>
        <w:noBreakHyphen/>
        <w:t>agency working by ensuring that all professionals have access to the same information. When referral forms, thresholds, and guidance documents are easy to find, professionals can work more efficiently and collaboratively. Conversely, when information is hidden, outdated, or inconsistent, it can lead to delays, misunderstandings, and fragmented support.</w:t>
      </w:r>
    </w:p>
    <w:p w14:paraId="25A2E426" w14:textId="4ACF3B73" w:rsidR="002E155D" w:rsidRPr="00E101F9" w:rsidRDefault="002E155D" w:rsidP="00E101F9">
      <w:pPr>
        <w:spacing w:line="360" w:lineRule="auto"/>
        <w:rPr>
          <w:rFonts w:ascii="Arial" w:hAnsi="Arial" w:cs="Arial"/>
          <w:sz w:val="22"/>
          <w:szCs w:val="22"/>
        </w:rPr>
      </w:pPr>
    </w:p>
    <w:p w14:paraId="75175587"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2.3 Evaluation of Local Authority Websites</w:t>
      </w:r>
    </w:p>
    <w:p w14:paraId="1B390013" w14:textId="723733E8" w:rsidR="002E155D" w:rsidRPr="00E101F9" w:rsidRDefault="002E155D" w:rsidP="00E101F9">
      <w:pPr>
        <w:spacing w:line="360" w:lineRule="auto"/>
        <w:rPr>
          <w:rFonts w:ascii="Arial" w:hAnsi="Arial" w:cs="Arial"/>
          <w:sz w:val="22"/>
          <w:szCs w:val="22"/>
        </w:rPr>
      </w:pPr>
    </w:p>
    <w:p w14:paraId="74C49F42"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A. Leeds City Council</w:t>
      </w:r>
    </w:p>
    <w:p w14:paraId="361E9652"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Figure 1. Leeds City Council Early Help webpage showing navigation menu, Early Help definition and contact panel (author’s own, 2024)</w:t>
      </w:r>
    </w:p>
    <w:p w14:paraId="4E799EA1"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Overview</w:t>
      </w:r>
    </w:p>
    <w:p w14:paraId="2AC77456"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Leeds presents Early Help under the “Family support and childcare” section. The webpage uses clear headings, simple language, and a family</w:t>
      </w:r>
      <w:r w:rsidRPr="00E101F9">
        <w:rPr>
          <w:rFonts w:ascii="Arial" w:hAnsi="Arial" w:cs="Arial"/>
          <w:sz w:val="22"/>
          <w:szCs w:val="22"/>
        </w:rPr>
        <w:noBreakHyphen/>
        <w:t>friendly tone. It includes a definition of Early Help, an explanation of what support includes, contact details for locality Early Help Hubs, links to the Family Information Service, and guidance for professionals.</w:t>
      </w:r>
    </w:p>
    <w:p w14:paraId="40C6C5A8"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Strengths</w:t>
      </w:r>
    </w:p>
    <w:p w14:paraId="2499A3A3"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Leeds uses highly accessible language suitable for families with varying literacy levels. The structure is strong, with short paragraphs and bullet points. Contact routes are visible, including phone numbers and locality hubs. The branding is consistent with Leeds’ “Child Friendly City” strategy. The website integrates well with wider family services, making navigation intuitive. Signposting to parenting support, youth services, and SEND information is clear. The tone is warm, supportive, and non</w:t>
      </w:r>
      <w:r w:rsidRPr="00E101F9">
        <w:rPr>
          <w:rFonts w:ascii="Arial" w:hAnsi="Arial" w:cs="Arial"/>
          <w:sz w:val="22"/>
          <w:szCs w:val="22"/>
        </w:rPr>
        <w:noBreakHyphen/>
        <w:t>judgemental, which aligns with Early Help principles.</w:t>
      </w:r>
    </w:p>
    <w:p w14:paraId="35276361"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Leeds also provides clear explanations of what Early Help can support with, such as parenting challenges, emotional wellbeing, and school attendance. This helps families understand whether Early Help is relevant to their situation. The website avoids jargon and </w:t>
      </w:r>
      <w:r w:rsidRPr="00E101F9">
        <w:rPr>
          <w:rFonts w:ascii="Arial" w:hAnsi="Arial" w:cs="Arial"/>
          <w:sz w:val="22"/>
          <w:szCs w:val="22"/>
        </w:rPr>
        <w:lastRenderedPageBreak/>
        <w:t>uses everyday language, which makes it more accessible to families who may be unfamiliar with safeguarding terminology.</w:t>
      </w:r>
    </w:p>
    <w:p w14:paraId="431C5ECC"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Weaknesses</w:t>
      </w:r>
    </w:p>
    <w:p w14:paraId="326D9ACB"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Leeds uses limited visual aids such as flowcharts recommended by the Early Help System Guide. Early Help Assessment forms are available but not prominently signposted. Some key documents require multiple clicks to access. Multilingual options are limited compared to Tower Hamlets. The website could also benefit from more examples or case studies to help families understand how Early Help works in practice. Additionally, the professional guidance section is less detailed than Tower Hamlets, which may limit its usefulness for practitioners.</w:t>
      </w:r>
    </w:p>
    <w:p w14:paraId="31D819B1" w14:textId="6BBDFA46" w:rsidR="002E155D" w:rsidRPr="00E101F9" w:rsidRDefault="002E155D" w:rsidP="00E101F9">
      <w:pPr>
        <w:spacing w:line="360" w:lineRule="auto"/>
        <w:rPr>
          <w:rFonts w:ascii="Arial" w:hAnsi="Arial" w:cs="Arial"/>
          <w:sz w:val="22"/>
          <w:szCs w:val="22"/>
        </w:rPr>
      </w:pPr>
    </w:p>
    <w:p w14:paraId="4A5E5AC4"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B. Tower Hamlets Council</w:t>
      </w:r>
    </w:p>
    <w:p w14:paraId="20CCE546"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Figure 2. Tower Hamlets Early Help webpage showing Early Help Assessment form, referral portal and multilingual support options (author’s own, 2024)</w:t>
      </w:r>
    </w:p>
    <w:p w14:paraId="6F8480A0"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Overview</w:t>
      </w:r>
    </w:p>
    <w:p w14:paraId="49475DEE"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Tower Hamlets presents Early Help within the “Children and Families” section. The page includes a detailed explanation of Early Help, a downloadable Early Help Assessment form, a professional referral portal, information about the Early Help Hub, and links to parenting support and youth services.</w:t>
      </w:r>
    </w:p>
    <w:p w14:paraId="51EB4B34"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Strengths</w:t>
      </w:r>
    </w:p>
    <w:p w14:paraId="4AB0D844"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Tower Hamlets provides comprehensive detail, including thresholds and professional guidance. The referral process is clear, with forms and instructions. Multilingual accessibility reflects local demographics. The website integrates well with SEND and family support services. It aligns strongly with </w:t>
      </w:r>
      <w:r w:rsidRPr="00E101F9">
        <w:rPr>
          <w:rFonts w:ascii="Arial" w:hAnsi="Arial" w:cs="Arial"/>
          <w:i/>
          <w:iCs/>
          <w:sz w:val="22"/>
          <w:szCs w:val="22"/>
        </w:rPr>
        <w:t>Working Together 2023</w:t>
      </w:r>
      <w:r w:rsidRPr="00E101F9">
        <w:rPr>
          <w:rFonts w:ascii="Arial" w:hAnsi="Arial" w:cs="Arial"/>
          <w:sz w:val="22"/>
          <w:szCs w:val="22"/>
        </w:rPr>
        <w:t>, especially regarding professional responsibilities. The level of detail supports professionals who need clarity on thresholds and referral expectations.</w:t>
      </w:r>
    </w:p>
    <w:p w14:paraId="7D658264"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Tower Hamlets also provides detailed information about what happens after a referral, which helps manage expectations for both families and professionals. The website includes links to additional support services, such as youth programmes, parenting courses, and community organisations. This holistic approach aligns with Early Help principles.</w:t>
      </w:r>
    </w:p>
    <w:p w14:paraId="3A48206D"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Weaknesses</w:t>
      </w:r>
    </w:p>
    <w:p w14:paraId="7C10D73A"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The text is dense and may overwhelm families. Some terminology is professional</w:t>
      </w:r>
      <w:r w:rsidRPr="00E101F9">
        <w:rPr>
          <w:rFonts w:ascii="Arial" w:hAnsi="Arial" w:cs="Arial"/>
          <w:sz w:val="22"/>
          <w:szCs w:val="22"/>
        </w:rPr>
        <w:noBreakHyphen/>
        <w:t xml:space="preserve">heavy, such as “thresholds” and “triage”. Navigation requires several steps to reach Early Help </w:t>
      </w:r>
      <w:r w:rsidRPr="00E101F9">
        <w:rPr>
          <w:rFonts w:ascii="Arial" w:hAnsi="Arial" w:cs="Arial"/>
          <w:sz w:val="22"/>
          <w:szCs w:val="22"/>
        </w:rPr>
        <w:lastRenderedPageBreak/>
        <w:t>information. Visuals are limited, and the layout may be challenging for users with low digital literacy. The tone is more formal and procedural, which may discourage families from engaging voluntarily. Additionally, the website could benefit from clearer explanations of Early Help for families, as the current content is more suited to professionals.</w:t>
      </w:r>
    </w:p>
    <w:p w14:paraId="2D1DBFE9" w14:textId="1B32178B" w:rsidR="002E155D" w:rsidRPr="00E101F9" w:rsidRDefault="002E155D" w:rsidP="00E101F9">
      <w:pPr>
        <w:spacing w:line="360" w:lineRule="auto"/>
        <w:rPr>
          <w:rFonts w:ascii="Arial" w:hAnsi="Arial" w:cs="Arial"/>
          <w:sz w:val="22"/>
          <w:szCs w:val="22"/>
        </w:rPr>
      </w:pPr>
    </w:p>
    <w:p w14:paraId="69582097"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C. Southwark Council</w:t>
      </w:r>
    </w:p>
    <w:p w14:paraId="74E71D9D"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Figure 3. Southwark Council Early Help webpage showing service list, duty line contact box and referral form link (author’s own, 2024)</w:t>
      </w:r>
    </w:p>
    <w:p w14:paraId="61680B4A"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Overview</w:t>
      </w:r>
    </w:p>
    <w:p w14:paraId="6F860E71"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Southwark places Early Help within the “Children and Families” section. The webpage includes a definition of Early Help, a list of services, contact details for the Early Help Duty Line, a downloadable referral form, and links to Southwark’s Local Offer.</w:t>
      </w:r>
    </w:p>
    <w:p w14:paraId="04E4E8DC"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Strengths</w:t>
      </w:r>
    </w:p>
    <w:p w14:paraId="5CC5F14C"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Southwark provides a clear, concise explanation of Early Help. Contact information is highly visible. The layout is simple and easy to navigate. Signposting to related services is effective. The tone is family</w:t>
      </w:r>
      <w:r w:rsidRPr="00E101F9">
        <w:rPr>
          <w:rFonts w:ascii="Arial" w:hAnsi="Arial" w:cs="Arial"/>
          <w:sz w:val="22"/>
          <w:szCs w:val="22"/>
        </w:rPr>
        <w:noBreakHyphen/>
        <w:t>friendly and straightforward. The website avoids jargon and is accessible to families with lower literacy levels.</w:t>
      </w:r>
    </w:p>
    <w:p w14:paraId="30C6E559"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Southwark also provides clear information about the types of support available, such as parenting programmes, youth services, and family support. This helps families understand what Early Help can offer. The website is less overwhelming than Tower Hamlets and may be more accessible to families who prefer simple, straightforward information.</w:t>
      </w:r>
    </w:p>
    <w:p w14:paraId="59596105"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Weaknesses</w:t>
      </w:r>
    </w:p>
    <w:p w14:paraId="54EBE6EA"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Southwark offers less detail than Tower Hamlets and may lack depth for professionals. Visual engagement is limited. Referral forms are available but not prominently highlighted. Some pages contain outdated links. Multilingual options are fewer compared to Tower Hamlets. The website could benefit from more detailed explanations of Early Help processes and clearer referral pathways. Additionally, the website does not provide as much information about professional responsibilities or thresholds.</w:t>
      </w:r>
    </w:p>
    <w:p w14:paraId="790680A3" w14:textId="3E09DB62" w:rsidR="002E155D" w:rsidRPr="00E101F9" w:rsidRDefault="002E155D" w:rsidP="00E101F9">
      <w:pPr>
        <w:spacing w:line="360" w:lineRule="auto"/>
        <w:rPr>
          <w:rFonts w:ascii="Arial" w:hAnsi="Arial" w:cs="Arial"/>
          <w:sz w:val="22"/>
          <w:szCs w:val="22"/>
        </w:rPr>
      </w:pPr>
    </w:p>
    <w:p w14:paraId="67237DC0" w14:textId="77777777" w:rsidR="00BF3A5F" w:rsidRPr="00E101F9" w:rsidRDefault="00BF3A5F" w:rsidP="00E101F9">
      <w:pPr>
        <w:spacing w:line="360" w:lineRule="auto"/>
        <w:rPr>
          <w:rFonts w:ascii="Arial" w:hAnsi="Arial" w:cs="Arial"/>
          <w:b/>
          <w:bCs/>
          <w:sz w:val="22"/>
          <w:szCs w:val="22"/>
        </w:rPr>
      </w:pPr>
    </w:p>
    <w:p w14:paraId="4AEE1865" w14:textId="77777777" w:rsidR="008912CF" w:rsidRDefault="008912CF" w:rsidP="00E101F9">
      <w:pPr>
        <w:spacing w:line="360" w:lineRule="auto"/>
        <w:rPr>
          <w:rFonts w:ascii="Arial" w:hAnsi="Arial" w:cs="Arial"/>
          <w:b/>
          <w:bCs/>
          <w:sz w:val="22"/>
          <w:szCs w:val="22"/>
        </w:rPr>
      </w:pPr>
    </w:p>
    <w:p w14:paraId="0981E10F" w14:textId="4E9F28D3"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lastRenderedPageBreak/>
        <w:t>2.4 Comparative Analysis</w:t>
      </w:r>
    </w:p>
    <w:p w14:paraId="56A3A908"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Leeds is the most family</w:t>
      </w:r>
      <w:r w:rsidRPr="00E101F9">
        <w:rPr>
          <w:rFonts w:ascii="Arial" w:hAnsi="Arial" w:cs="Arial"/>
          <w:sz w:val="22"/>
          <w:szCs w:val="22"/>
        </w:rPr>
        <w:noBreakHyphen/>
        <w:t>friendly, using simple language and clear structure. Southwark is also accessible but less detailed. Tower Hamlets is comprehensive but text</w:t>
      </w:r>
      <w:r w:rsidRPr="00E101F9">
        <w:rPr>
          <w:rFonts w:ascii="Arial" w:hAnsi="Arial" w:cs="Arial"/>
          <w:sz w:val="22"/>
          <w:szCs w:val="22"/>
        </w:rPr>
        <w:noBreakHyphen/>
        <w:t>heavy and more suited to professionals. Tower Hamlets provides the clearest professional referral process, while Leeds offers good contact information but fewer explicit referral instructions. Southwark provides clear contact details but less procedural guidance.</w:t>
      </w:r>
    </w:p>
    <w:p w14:paraId="5F9874AA"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In terms of navigation, Leeds is the most intuitive. Southwark is simple but lacks depth. Tower Hamlets is detailed but requires more clicks. All three councils rely heavily on text and lack visual aids such as flowcharts. Tower Hamlets aligns most closely with </w:t>
      </w:r>
      <w:r w:rsidRPr="00E101F9">
        <w:rPr>
          <w:rFonts w:ascii="Arial" w:hAnsi="Arial" w:cs="Arial"/>
          <w:i/>
          <w:iCs/>
          <w:sz w:val="22"/>
          <w:szCs w:val="22"/>
        </w:rPr>
        <w:t>Working Together 2023</w:t>
      </w:r>
      <w:r w:rsidRPr="00E101F9">
        <w:rPr>
          <w:rFonts w:ascii="Arial" w:hAnsi="Arial" w:cs="Arial"/>
          <w:sz w:val="22"/>
          <w:szCs w:val="22"/>
        </w:rPr>
        <w:t>, Leeds aligns well with Early Help principles, and Southwark aligns moderately but lacks depth.</w:t>
      </w:r>
    </w:p>
    <w:p w14:paraId="76C09903"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Leeds is the strongest for families, Tower Hamlets for professionals, and Southwark for simplicity. However, none of the websites fully meet the Early Help System Guide’s recommendations for visual clarity, accessibility, and clear pathways.</w:t>
      </w:r>
    </w:p>
    <w:p w14:paraId="55BB0093" w14:textId="2586C394" w:rsidR="002E155D" w:rsidRPr="00E101F9" w:rsidRDefault="002E155D" w:rsidP="00E101F9">
      <w:pPr>
        <w:spacing w:line="360" w:lineRule="auto"/>
        <w:rPr>
          <w:rFonts w:ascii="Arial" w:hAnsi="Arial" w:cs="Arial"/>
          <w:sz w:val="22"/>
          <w:szCs w:val="22"/>
        </w:rPr>
      </w:pPr>
    </w:p>
    <w:p w14:paraId="0CA4D308" w14:textId="77777777" w:rsidR="0077122F" w:rsidRPr="00E101F9" w:rsidRDefault="0077122F" w:rsidP="00E101F9">
      <w:pPr>
        <w:spacing w:line="360" w:lineRule="auto"/>
        <w:rPr>
          <w:rFonts w:ascii="Arial" w:hAnsi="Arial" w:cs="Arial"/>
          <w:b/>
          <w:bCs/>
          <w:sz w:val="22"/>
          <w:szCs w:val="22"/>
        </w:rPr>
      </w:pPr>
    </w:p>
    <w:p w14:paraId="0C093CEC" w14:textId="77777777" w:rsidR="0077122F" w:rsidRPr="00E101F9" w:rsidRDefault="0077122F" w:rsidP="00E101F9">
      <w:pPr>
        <w:spacing w:line="360" w:lineRule="auto"/>
        <w:rPr>
          <w:rFonts w:ascii="Arial" w:hAnsi="Arial" w:cs="Arial"/>
          <w:b/>
          <w:bCs/>
          <w:sz w:val="22"/>
          <w:szCs w:val="22"/>
        </w:rPr>
      </w:pPr>
    </w:p>
    <w:p w14:paraId="0211E43E" w14:textId="2A409E64"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3. Conclusion</w:t>
      </w:r>
    </w:p>
    <w:p w14:paraId="276BB82F" w14:textId="0C61F87E"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This report examined how Leeds, Tower Hamlets, and Southwark communicate Early Help to families through their websites. All three councils provide essential information, but they differ in accessibility, clarity, and depth. Leeds is the most effective overall due to its accessible language, clear structure, intuitive navigation, and strong integration with wider family services. Tower Hamlets provides the most detailed professional guidance but is less accessible for families. Southwark is clear and simple but lacks depth and visual engagement.</w:t>
      </w:r>
    </w:p>
    <w:p w14:paraId="6A85B0EA" w14:textId="77777777"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4. Recommendations</w:t>
      </w:r>
    </w:p>
    <w:p w14:paraId="401A02E1" w14:textId="30C45DF8"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All three councils should add visual flowcharts showing the Early Help pathway, provide short videos explaining Early Help, improve visibility of referral forms, use plain language consistently, ensure regular updates, and add child</w:t>
      </w:r>
      <w:r w:rsidRPr="00E101F9">
        <w:rPr>
          <w:rFonts w:ascii="Arial" w:hAnsi="Arial" w:cs="Arial"/>
          <w:sz w:val="22"/>
          <w:szCs w:val="22"/>
        </w:rPr>
        <w:noBreakHyphen/>
        <w:t>friendly visuals. Leeds should add more professional</w:t>
      </w:r>
      <w:r w:rsidRPr="00E101F9">
        <w:rPr>
          <w:rFonts w:ascii="Arial" w:hAnsi="Arial" w:cs="Arial"/>
          <w:sz w:val="22"/>
          <w:szCs w:val="22"/>
        </w:rPr>
        <w:noBreakHyphen/>
        <w:t>level detail. Tower Hamlets should simplify language and reduce text density. Southwark should expand professional guidance and improve visibility of forms.</w:t>
      </w:r>
    </w:p>
    <w:p w14:paraId="55536A79" w14:textId="77777777" w:rsidR="001B3DC7" w:rsidRDefault="001B3DC7" w:rsidP="00E101F9">
      <w:pPr>
        <w:spacing w:line="360" w:lineRule="auto"/>
        <w:rPr>
          <w:rFonts w:ascii="Arial" w:hAnsi="Arial" w:cs="Arial"/>
          <w:b/>
          <w:bCs/>
          <w:sz w:val="22"/>
          <w:szCs w:val="22"/>
        </w:rPr>
      </w:pPr>
    </w:p>
    <w:p w14:paraId="3BF2844E" w14:textId="77777777" w:rsidR="001B3DC7" w:rsidRDefault="001B3DC7" w:rsidP="00E101F9">
      <w:pPr>
        <w:spacing w:line="360" w:lineRule="auto"/>
        <w:rPr>
          <w:rFonts w:ascii="Arial" w:hAnsi="Arial" w:cs="Arial"/>
          <w:b/>
          <w:bCs/>
          <w:sz w:val="22"/>
          <w:szCs w:val="22"/>
        </w:rPr>
      </w:pPr>
    </w:p>
    <w:p w14:paraId="2CB3FFEC" w14:textId="77777777" w:rsidR="001B3DC7" w:rsidRDefault="001B3DC7" w:rsidP="00E101F9">
      <w:pPr>
        <w:spacing w:line="360" w:lineRule="auto"/>
        <w:rPr>
          <w:rFonts w:ascii="Arial" w:hAnsi="Arial" w:cs="Arial"/>
          <w:b/>
          <w:bCs/>
          <w:sz w:val="22"/>
          <w:szCs w:val="22"/>
        </w:rPr>
      </w:pPr>
    </w:p>
    <w:p w14:paraId="603658C8" w14:textId="77777777" w:rsidR="001B3DC7" w:rsidRDefault="001B3DC7" w:rsidP="00E101F9">
      <w:pPr>
        <w:spacing w:line="360" w:lineRule="auto"/>
        <w:rPr>
          <w:rFonts w:ascii="Arial" w:hAnsi="Arial" w:cs="Arial"/>
          <w:b/>
          <w:bCs/>
          <w:sz w:val="22"/>
          <w:szCs w:val="22"/>
        </w:rPr>
      </w:pPr>
    </w:p>
    <w:p w14:paraId="28A522FB" w14:textId="77777777" w:rsidR="001B3DC7" w:rsidRDefault="001B3DC7" w:rsidP="00E101F9">
      <w:pPr>
        <w:spacing w:line="360" w:lineRule="auto"/>
        <w:rPr>
          <w:rFonts w:ascii="Arial" w:hAnsi="Arial" w:cs="Arial"/>
          <w:b/>
          <w:bCs/>
          <w:sz w:val="22"/>
          <w:szCs w:val="22"/>
        </w:rPr>
      </w:pPr>
    </w:p>
    <w:p w14:paraId="28258F03" w14:textId="77777777" w:rsidR="001B3DC7" w:rsidRDefault="001B3DC7" w:rsidP="00E101F9">
      <w:pPr>
        <w:spacing w:line="360" w:lineRule="auto"/>
        <w:rPr>
          <w:rFonts w:ascii="Arial" w:hAnsi="Arial" w:cs="Arial"/>
          <w:b/>
          <w:bCs/>
          <w:sz w:val="22"/>
          <w:szCs w:val="22"/>
        </w:rPr>
      </w:pPr>
    </w:p>
    <w:p w14:paraId="40ED4EE0" w14:textId="623BB898" w:rsidR="002E155D" w:rsidRPr="00E101F9" w:rsidRDefault="002E155D" w:rsidP="00E101F9">
      <w:pPr>
        <w:spacing w:line="360" w:lineRule="auto"/>
        <w:rPr>
          <w:rFonts w:ascii="Arial" w:hAnsi="Arial" w:cs="Arial"/>
          <w:b/>
          <w:bCs/>
          <w:sz w:val="22"/>
          <w:szCs w:val="22"/>
        </w:rPr>
      </w:pPr>
      <w:r w:rsidRPr="00E101F9">
        <w:rPr>
          <w:rFonts w:ascii="Arial" w:hAnsi="Arial" w:cs="Arial"/>
          <w:b/>
          <w:bCs/>
          <w:sz w:val="22"/>
          <w:szCs w:val="22"/>
        </w:rPr>
        <w:t>References</w:t>
      </w:r>
    </w:p>
    <w:p w14:paraId="6AF7B8BF" w14:textId="77777777" w:rsidR="002E155D" w:rsidRPr="00E101F9" w:rsidRDefault="002E155D" w:rsidP="00E101F9">
      <w:pPr>
        <w:spacing w:line="360" w:lineRule="auto"/>
        <w:rPr>
          <w:rFonts w:ascii="Arial" w:hAnsi="Arial" w:cs="Arial"/>
          <w:sz w:val="22"/>
          <w:szCs w:val="22"/>
        </w:rPr>
      </w:pPr>
      <w:r w:rsidRPr="00E101F9">
        <w:rPr>
          <w:rFonts w:ascii="Arial" w:hAnsi="Arial" w:cs="Arial"/>
          <w:sz w:val="22"/>
          <w:szCs w:val="22"/>
        </w:rPr>
        <w:t xml:space="preserve">Department for Education (2022) </w:t>
      </w:r>
      <w:r w:rsidRPr="00E101F9">
        <w:rPr>
          <w:rFonts w:ascii="Arial" w:hAnsi="Arial" w:cs="Arial"/>
          <w:i/>
          <w:iCs/>
          <w:sz w:val="22"/>
          <w:szCs w:val="22"/>
        </w:rPr>
        <w:t>Early Help System Guide</w:t>
      </w:r>
      <w:r w:rsidRPr="00E101F9">
        <w:rPr>
          <w:rFonts w:ascii="Arial" w:hAnsi="Arial" w:cs="Arial"/>
          <w:sz w:val="22"/>
          <w:szCs w:val="22"/>
        </w:rPr>
        <w:t>.</w:t>
      </w:r>
      <w:r w:rsidRPr="00E101F9">
        <w:rPr>
          <w:rFonts w:ascii="Arial" w:hAnsi="Arial" w:cs="Arial"/>
          <w:sz w:val="22"/>
          <w:szCs w:val="22"/>
        </w:rPr>
        <w:br/>
        <w:t xml:space="preserve">HM Government (2023) </w:t>
      </w:r>
      <w:r w:rsidRPr="00E101F9">
        <w:rPr>
          <w:rFonts w:ascii="Arial" w:hAnsi="Arial" w:cs="Arial"/>
          <w:i/>
          <w:iCs/>
          <w:sz w:val="22"/>
          <w:szCs w:val="22"/>
        </w:rPr>
        <w:t>Working Together to Safeguard Children</w:t>
      </w:r>
      <w:r w:rsidRPr="00E101F9">
        <w:rPr>
          <w:rFonts w:ascii="Arial" w:hAnsi="Arial" w:cs="Arial"/>
          <w:sz w:val="22"/>
          <w:szCs w:val="22"/>
        </w:rPr>
        <w:t>.</w:t>
      </w:r>
      <w:r w:rsidRPr="00E101F9">
        <w:rPr>
          <w:rFonts w:ascii="Arial" w:hAnsi="Arial" w:cs="Arial"/>
          <w:sz w:val="22"/>
          <w:szCs w:val="22"/>
        </w:rPr>
        <w:br/>
        <w:t xml:space="preserve">Leeds City Council (2024) </w:t>
      </w:r>
      <w:r w:rsidRPr="00E101F9">
        <w:rPr>
          <w:rFonts w:ascii="Arial" w:hAnsi="Arial" w:cs="Arial"/>
          <w:i/>
          <w:iCs/>
          <w:sz w:val="22"/>
          <w:szCs w:val="22"/>
        </w:rPr>
        <w:t>Early Help and Family Support</w:t>
      </w:r>
      <w:r w:rsidRPr="00E101F9">
        <w:rPr>
          <w:rFonts w:ascii="Arial" w:hAnsi="Arial" w:cs="Arial"/>
          <w:sz w:val="22"/>
          <w:szCs w:val="22"/>
        </w:rPr>
        <w:t>.</w:t>
      </w:r>
      <w:r w:rsidRPr="00E101F9">
        <w:rPr>
          <w:rFonts w:ascii="Arial" w:hAnsi="Arial" w:cs="Arial"/>
          <w:sz w:val="22"/>
          <w:szCs w:val="22"/>
        </w:rPr>
        <w:br/>
        <w:t xml:space="preserve">Tower Hamlets Council (2024) </w:t>
      </w:r>
      <w:r w:rsidRPr="00E101F9">
        <w:rPr>
          <w:rFonts w:ascii="Arial" w:hAnsi="Arial" w:cs="Arial"/>
          <w:i/>
          <w:iCs/>
          <w:sz w:val="22"/>
          <w:szCs w:val="22"/>
        </w:rPr>
        <w:t>Early Help Services</w:t>
      </w:r>
      <w:r w:rsidRPr="00E101F9">
        <w:rPr>
          <w:rFonts w:ascii="Arial" w:hAnsi="Arial" w:cs="Arial"/>
          <w:sz w:val="22"/>
          <w:szCs w:val="22"/>
        </w:rPr>
        <w:t>.</w:t>
      </w:r>
      <w:r w:rsidRPr="00E101F9">
        <w:rPr>
          <w:rFonts w:ascii="Arial" w:hAnsi="Arial" w:cs="Arial"/>
          <w:sz w:val="22"/>
          <w:szCs w:val="22"/>
        </w:rPr>
        <w:br/>
        <w:t xml:space="preserve">Southwark Council (2024) </w:t>
      </w:r>
      <w:r w:rsidRPr="00E101F9">
        <w:rPr>
          <w:rFonts w:ascii="Arial" w:hAnsi="Arial" w:cs="Arial"/>
          <w:i/>
          <w:iCs/>
          <w:sz w:val="22"/>
          <w:szCs w:val="22"/>
        </w:rPr>
        <w:t>Early Help and Family Support</w:t>
      </w:r>
      <w:r w:rsidRPr="00E101F9">
        <w:rPr>
          <w:rFonts w:ascii="Arial" w:hAnsi="Arial" w:cs="Arial"/>
          <w:sz w:val="22"/>
          <w:szCs w:val="22"/>
        </w:rPr>
        <w:t>.</w:t>
      </w:r>
      <w:r w:rsidRPr="00E101F9">
        <w:rPr>
          <w:rFonts w:ascii="Arial" w:hAnsi="Arial" w:cs="Arial"/>
          <w:sz w:val="22"/>
          <w:szCs w:val="22"/>
        </w:rPr>
        <w:br/>
        <w:t xml:space="preserve">Munro, E. (2011) </w:t>
      </w:r>
      <w:r w:rsidRPr="00E101F9">
        <w:rPr>
          <w:rFonts w:ascii="Arial" w:hAnsi="Arial" w:cs="Arial"/>
          <w:i/>
          <w:iCs/>
          <w:sz w:val="22"/>
          <w:szCs w:val="22"/>
        </w:rPr>
        <w:t>The Munro Review of Child Protection</w:t>
      </w:r>
      <w:r w:rsidRPr="00E101F9">
        <w:rPr>
          <w:rFonts w:ascii="Arial" w:hAnsi="Arial" w:cs="Arial"/>
          <w:sz w:val="22"/>
          <w:szCs w:val="22"/>
        </w:rPr>
        <w:t>.</w:t>
      </w:r>
      <w:r w:rsidRPr="00E101F9">
        <w:rPr>
          <w:rFonts w:ascii="Arial" w:hAnsi="Arial" w:cs="Arial"/>
          <w:sz w:val="22"/>
          <w:szCs w:val="22"/>
        </w:rPr>
        <w:br/>
        <w:t xml:space="preserve">Brandon, M. et al. (2020) </w:t>
      </w:r>
      <w:r w:rsidRPr="00E101F9">
        <w:rPr>
          <w:rFonts w:ascii="Arial" w:hAnsi="Arial" w:cs="Arial"/>
          <w:i/>
          <w:iCs/>
          <w:sz w:val="22"/>
          <w:szCs w:val="22"/>
        </w:rPr>
        <w:t>Complexity and challenge: a triennial analysis of serious case reviews</w:t>
      </w:r>
      <w:r w:rsidRPr="00E101F9">
        <w:rPr>
          <w:rFonts w:ascii="Arial" w:hAnsi="Arial" w:cs="Arial"/>
          <w:sz w:val="22"/>
          <w:szCs w:val="22"/>
        </w:rPr>
        <w:t>.</w:t>
      </w:r>
      <w:r w:rsidRPr="00E101F9">
        <w:rPr>
          <w:rFonts w:ascii="Arial" w:hAnsi="Arial" w:cs="Arial"/>
          <w:sz w:val="22"/>
          <w:szCs w:val="22"/>
        </w:rPr>
        <w:br/>
        <w:t xml:space="preserve">Featherstone, B., White, S. and Morris, K. (2014) </w:t>
      </w:r>
      <w:r w:rsidRPr="00E101F9">
        <w:rPr>
          <w:rFonts w:ascii="Arial" w:hAnsi="Arial" w:cs="Arial"/>
          <w:i/>
          <w:iCs/>
          <w:sz w:val="22"/>
          <w:szCs w:val="22"/>
        </w:rPr>
        <w:t>Re</w:t>
      </w:r>
      <w:r w:rsidRPr="00E101F9">
        <w:rPr>
          <w:rFonts w:ascii="Arial" w:hAnsi="Arial" w:cs="Arial"/>
          <w:i/>
          <w:iCs/>
          <w:sz w:val="22"/>
          <w:szCs w:val="22"/>
        </w:rPr>
        <w:noBreakHyphen/>
        <w:t>imagining Child Protection</w:t>
      </w:r>
      <w:r w:rsidRPr="00E101F9">
        <w:rPr>
          <w:rFonts w:ascii="Arial" w:hAnsi="Arial" w:cs="Arial"/>
          <w:sz w:val="22"/>
          <w:szCs w:val="22"/>
        </w:rPr>
        <w:t>.</w:t>
      </w:r>
      <w:r w:rsidRPr="00E101F9">
        <w:rPr>
          <w:rFonts w:ascii="Arial" w:hAnsi="Arial" w:cs="Arial"/>
          <w:sz w:val="22"/>
          <w:szCs w:val="22"/>
        </w:rPr>
        <w:br/>
        <w:t xml:space="preserve">Turney, D. (2021) ‘Early intervention and family support’, </w:t>
      </w:r>
      <w:r w:rsidRPr="00E101F9">
        <w:rPr>
          <w:rFonts w:ascii="Arial" w:hAnsi="Arial" w:cs="Arial"/>
          <w:i/>
          <w:iCs/>
          <w:sz w:val="22"/>
          <w:szCs w:val="22"/>
        </w:rPr>
        <w:t>Child &amp; Family Social Work</w:t>
      </w:r>
      <w:r w:rsidRPr="00E101F9">
        <w:rPr>
          <w:rFonts w:ascii="Arial" w:hAnsi="Arial" w:cs="Arial"/>
          <w:sz w:val="22"/>
          <w:szCs w:val="22"/>
        </w:rPr>
        <w:t>.</w:t>
      </w:r>
      <w:r w:rsidRPr="00E101F9">
        <w:rPr>
          <w:rFonts w:ascii="Arial" w:hAnsi="Arial" w:cs="Arial"/>
          <w:sz w:val="22"/>
          <w:szCs w:val="22"/>
        </w:rPr>
        <w:br/>
        <w:t xml:space="preserve">Webb, C. and Bywaters, P. (2018) ‘Austerity, rationing and inequity’, </w:t>
      </w:r>
      <w:r w:rsidRPr="00E101F9">
        <w:rPr>
          <w:rFonts w:ascii="Arial" w:hAnsi="Arial" w:cs="Arial"/>
          <w:i/>
          <w:iCs/>
          <w:sz w:val="22"/>
          <w:szCs w:val="22"/>
        </w:rPr>
        <w:t>British Journal of Social Work</w:t>
      </w:r>
      <w:r w:rsidRPr="00E101F9">
        <w:rPr>
          <w:rFonts w:ascii="Arial" w:hAnsi="Arial" w:cs="Arial"/>
          <w:sz w:val="22"/>
          <w:szCs w:val="22"/>
        </w:rPr>
        <w:t>.</w:t>
      </w:r>
    </w:p>
    <w:p w14:paraId="46458A9F" w14:textId="65AAAF32" w:rsidR="000E1070" w:rsidRPr="00E101F9" w:rsidRDefault="000E1070" w:rsidP="00E101F9">
      <w:pPr>
        <w:spacing w:line="360" w:lineRule="auto"/>
        <w:rPr>
          <w:rFonts w:ascii="Arial" w:hAnsi="Arial" w:cs="Arial"/>
          <w:sz w:val="22"/>
          <w:szCs w:val="22"/>
        </w:rPr>
      </w:pPr>
    </w:p>
    <w:sectPr w:rsidR="000E1070" w:rsidRPr="00E101F9">
      <w:headerReference w:type="default" r:id="rId9"/>
      <w:pgSz w:w="11906" w:h="16838"/>
      <w:pgMar w:top="1417" w:right="1417" w:bottom="1417" w:left="1417"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B89B75B" w14:textId="77777777" w:rsidR="000604D2" w:rsidRDefault="000604D2" w:rsidP="00BF3A5F">
      <w:pPr>
        <w:spacing w:after="0" w:line="240" w:lineRule="auto"/>
      </w:pPr>
      <w:r>
        <w:separator/>
      </w:r>
    </w:p>
  </w:endnote>
  <w:endnote w:type="continuationSeparator" w:id="0">
    <w:p w14:paraId="46EABECB" w14:textId="77777777" w:rsidR="000604D2" w:rsidRDefault="000604D2" w:rsidP="00BF3A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D9B32" w14:textId="77777777" w:rsidR="000604D2" w:rsidRDefault="000604D2" w:rsidP="00BF3A5F">
      <w:pPr>
        <w:spacing w:after="0" w:line="240" w:lineRule="auto"/>
      </w:pPr>
      <w:r>
        <w:separator/>
      </w:r>
    </w:p>
  </w:footnote>
  <w:footnote w:type="continuationSeparator" w:id="0">
    <w:p w14:paraId="37E45420" w14:textId="77777777" w:rsidR="000604D2" w:rsidRDefault="000604D2" w:rsidP="00BF3A5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4680774"/>
      <w:docPartObj>
        <w:docPartGallery w:val="Page Numbers (Top of Page)"/>
        <w:docPartUnique/>
      </w:docPartObj>
    </w:sdtPr>
    <w:sdtContent>
      <w:p w14:paraId="19728DAA" w14:textId="2722CEE6" w:rsidR="00BF3A5F" w:rsidRDefault="00BF3A5F">
        <w:pPr>
          <w:pStyle w:val="Nagwek"/>
        </w:pPr>
        <w:r>
          <w:fldChar w:fldCharType="begin"/>
        </w:r>
        <w:r>
          <w:instrText>PAGE   \* MERGEFORMAT</w:instrText>
        </w:r>
        <w:r>
          <w:fldChar w:fldCharType="separate"/>
        </w:r>
        <w:r>
          <w:t>2</w:t>
        </w:r>
        <w:r>
          <w:fldChar w:fldCharType="end"/>
        </w:r>
      </w:p>
    </w:sdtContent>
  </w:sdt>
  <w:p w14:paraId="79A2954E" w14:textId="77777777" w:rsidR="00BF3A5F" w:rsidRDefault="00BF3A5F">
    <w:pPr>
      <w:pStyle w:val="Nagwek"/>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730EC3"/>
    <w:multiLevelType w:val="multilevel"/>
    <w:tmpl w:val="F13409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AB034D0"/>
    <w:multiLevelType w:val="multilevel"/>
    <w:tmpl w:val="8758D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FC953F5"/>
    <w:multiLevelType w:val="multilevel"/>
    <w:tmpl w:val="542EC1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57397CC1"/>
    <w:multiLevelType w:val="multilevel"/>
    <w:tmpl w:val="74A0A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573E2E01"/>
    <w:multiLevelType w:val="multilevel"/>
    <w:tmpl w:val="4308D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78184645">
    <w:abstractNumId w:val="2"/>
  </w:num>
  <w:num w:numId="2" w16cid:durableId="634529355">
    <w:abstractNumId w:val="1"/>
  </w:num>
  <w:num w:numId="3" w16cid:durableId="1111050241">
    <w:abstractNumId w:val="4"/>
  </w:num>
  <w:num w:numId="4" w16cid:durableId="1182276137">
    <w:abstractNumId w:val="0"/>
  </w:num>
  <w:num w:numId="5" w16cid:durableId="1163856773">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08"/>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69D1"/>
    <w:rsid w:val="0001119F"/>
    <w:rsid w:val="000604D2"/>
    <w:rsid w:val="000B046E"/>
    <w:rsid w:val="000E1070"/>
    <w:rsid w:val="001B3DC7"/>
    <w:rsid w:val="002E155D"/>
    <w:rsid w:val="00327EC5"/>
    <w:rsid w:val="00367EC9"/>
    <w:rsid w:val="00417760"/>
    <w:rsid w:val="004410B2"/>
    <w:rsid w:val="004A23DC"/>
    <w:rsid w:val="004B49D6"/>
    <w:rsid w:val="00590715"/>
    <w:rsid w:val="00634A19"/>
    <w:rsid w:val="00636017"/>
    <w:rsid w:val="007405D6"/>
    <w:rsid w:val="0077122F"/>
    <w:rsid w:val="007B04A3"/>
    <w:rsid w:val="00824809"/>
    <w:rsid w:val="00836707"/>
    <w:rsid w:val="008912CF"/>
    <w:rsid w:val="008B69D1"/>
    <w:rsid w:val="009F36F2"/>
    <w:rsid w:val="00A37F04"/>
    <w:rsid w:val="00A610E2"/>
    <w:rsid w:val="00AA40D0"/>
    <w:rsid w:val="00B26E34"/>
    <w:rsid w:val="00B4581D"/>
    <w:rsid w:val="00BF3A5F"/>
    <w:rsid w:val="00C46792"/>
    <w:rsid w:val="00CD2681"/>
    <w:rsid w:val="00CE29C5"/>
    <w:rsid w:val="00D21940"/>
    <w:rsid w:val="00D67359"/>
    <w:rsid w:val="00E101F9"/>
    <w:rsid w:val="00E20BB4"/>
    <w:rsid w:val="00E90915"/>
    <w:rsid w:val="00F81626"/>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2BA45E"/>
  <w15:chartTrackingRefBased/>
  <w15:docId w15:val="{58AC96FF-2A97-475C-855B-E4872A03D8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pl-PL"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C46792"/>
  </w:style>
  <w:style w:type="paragraph" w:styleId="Nagwek1">
    <w:name w:val="heading 1"/>
    <w:basedOn w:val="Normalny"/>
    <w:next w:val="Normalny"/>
    <w:link w:val="Nagwek1Znak"/>
    <w:uiPriority w:val="9"/>
    <w:qFormat/>
    <w:rsid w:val="008B69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Nagwek2">
    <w:name w:val="heading 2"/>
    <w:basedOn w:val="Normalny"/>
    <w:next w:val="Normalny"/>
    <w:link w:val="Nagwek2Znak"/>
    <w:uiPriority w:val="9"/>
    <w:semiHidden/>
    <w:unhideWhenUsed/>
    <w:qFormat/>
    <w:rsid w:val="008B69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Nagwek3">
    <w:name w:val="heading 3"/>
    <w:basedOn w:val="Normalny"/>
    <w:next w:val="Normalny"/>
    <w:link w:val="Nagwek3Znak"/>
    <w:uiPriority w:val="9"/>
    <w:semiHidden/>
    <w:unhideWhenUsed/>
    <w:qFormat/>
    <w:rsid w:val="008B69D1"/>
    <w:pPr>
      <w:keepNext/>
      <w:keepLines/>
      <w:spacing w:before="160" w:after="80"/>
      <w:outlineLvl w:val="2"/>
    </w:pPr>
    <w:rPr>
      <w:rFonts w:eastAsiaTheme="majorEastAsia" w:cstheme="majorBidi"/>
      <w:color w:val="0F4761" w:themeColor="accent1" w:themeShade="BF"/>
      <w:sz w:val="28"/>
      <w:szCs w:val="28"/>
    </w:rPr>
  </w:style>
  <w:style w:type="paragraph" w:styleId="Nagwek4">
    <w:name w:val="heading 4"/>
    <w:basedOn w:val="Normalny"/>
    <w:next w:val="Normalny"/>
    <w:link w:val="Nagwek4Znak"/>
    <w:uiPriority w:val="9"/>
    <w:semiHidden/>
    <w:unhideWhenUsed/>
    <w:qFormat/>
    <w:rsid w:val="008B69D1"/>
    <w:pPr>
      <w:keepNext/>
      <w:keepLines/>
      <w:spacing w:before="80" w:after="40"/>
      <w:outlineLvl w:val="3"/>
    </w:pPr>
    <w:rPr>
      <w:rFonts w:eastAsiaTheme="majorEastAsia" w:cstheme="majorBidi"/>
      <w:i/>
      <w:iCs/>
      <w:color w:val="0F4761" w:themeColor="accent1" w:themeShade="BF"/>
    </w:rPr>
  </w:style>
  <w:style w:type="paragraph" w:styleId="Nagwek5">
    <w:name w:val="heading 5"/>
    <w:basedOn w:val="Normalny"/>
    <w:next w:val="Normalny"/>
    <w:link w:val="Nagwek5Znak"/>
    <w:uiPriority w:val="9"/>
    <w:semiHidden/>
    <w:unhideWhenUsed/>
    <w:qFormat/>
    <w:rsid w:val="008B69D1"/>
    <w:pPr>
      <w:keepNext/>
      <w:keepLines/>
      <w:spacing w:before="80" w:after="40"/>
      <w:outlineLvl w:val="4"/>
    </w:pPr>
    <w:rPr>
      <w:rFonts w:eastAsiaTheme="majorEastAsia" w:cstheme="majorBidi"/>
      <w:color w:val="0F4761" w:themeColor="accent1" w:themeShade="BF"/>
    </w:rPr>
  </w:style>
  <w:style w:type="paragraph" w:styleId="Nagwek6">
    <w:name w:val="heading 6"/>
    <w:basedOn w:val="Normalny"/>
    <w:next w:val="Normalny"/>
    <w:link w:val="Nagwek6Znak"/>
    <w:uiPriority w:val="9"/>
    <w:semiHidden/>
    <w:unhideWhenUsed/>
    <w:qFormat/>
    <w:rsid w:val="008B69D1"/>
    <w:pPr>
      <w:keepNext/>
      <w:keepLines/>
      <w:spacing w:before="40" w:after="0"/>
      <w:outlineLvl w:val="5"/>
    </w:pPr>
    <w:rPr>
      <w:rFonts w:eastAsiaTheme="majorEastAsia" w:cstheme="majorBidi"/>
      <w:i/>
      <w:iCs/>
      <w:color w:val="595959" w:themeColor="text1" w:themeTint="A6"/>
    </w:rPr>
  </w:style>
  <w:style w:type="paragraph" w:styleId="Nagwek7">
    <w:name w:val="heading 7"/>
    <w:basedOn w:val="Normalny"/>
    <w:next w:val="Normalny"/>
    <w:link w:val="Nagwek7Znak"/>
    <w:uiPriority w:val="9"/>
    <w:semiHidden/>
    <w:unhideWhenUsed/>
    <w:qFormat/>
    <w:rsid w:val="008B69D1"/>
    <w:pPr>
      <w:keepNext/>
      <w:keepLines/>
      <w:spacing w:before="40" w:after="0"/>
      <w:outlineLvl w:val="6"/>
    </w:pPr>
    <w:rPr>
      <w:rFonts w:eastAsiaTheme="majorEastAsia" w:cstheme="majorBidi"/>
      <w:color w:val="595959" w:themeColor="text1" w:themeTint="A6"/>
    </w:rPr>
  </w:style>
  <w:style w:type="paragraph" w:styleId="Nagwek8">
    <w:name w:val="heading 8"/>
    <w:basedOn w:val="Normalny"/>
    <w:next w:val="Normalny"/>
    <w:link w:val="Nagwek8Znak"/>
    <w:uiPriority w:val="9"/>
    <w:semiHidden/>
    <w:unhideWhenUsed/>
    <w:qFormat/>
    <w:rsid w:val="008B69D1"/>
    <w:pPr>
      <w:keepNext/>
      <w:keepLines/>
      <w:spacing w:after="0"/>
      <w:outlineLvl w:val="7"/>
    </w:pPr>
    <w:rPr>
      <w:rFonts w:eastAsiaTheme="majorEastAsia" w:cstheme="majorBidi"/>
      <w:i/>
      <w:iCs/>
      <w:color w:val="272727" w:themeColor="text1" w:themeTint="D8"/>
    </w:rPr>
  </w:style>
  <w:style w:type="paragraph" w:styleId="Nagwek9">
    <w:name w:val="heading 9"/>
    <w:basedOn w:val="Normalny"/>
    <w:next w:val="Normalny"/>
    <w:link w:val="Nagwek9Znak"/>
    <w:uiPriority w:val="9"/>
    <w:semiHidden/>
    <w:unhideWhenUsed/>
    <w:qFormat/>
    <w:rsid w:val="008B69D1"/>
    <w:pPr>
      <w:keepNext/>
      <w:keepLines/>
      <w:spacing w:after="0"/>
      <w:outlineLvl w:val="8"/>
    </w:pPr>
    <w:rPr>
      <w:rFonts w:eastAsiaTheme="majorEastAsia" w:cstheme="majorBidi"/>
      <w:color w:val="272727" w:themeColor="text1" w:themeTint="D8"/>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customStyle="1" w:styleId="Nagwek1Znak">
    <w:name w:val="Nagłówek 1 Znak"/>
    <w:basedOn w:val="Domylnaczcionkaakapitu"/>
    <w:link w:val="Nagwek1"/>
    <w:uiPriority w:val="9"/>
    <w:rsid w:val="008B69D1"/>
    <w:rPr>
      <w:rFonts w:asciiTheme="majorHAnsi" w:eastAsiaTheme="majorEastAsia" w:hAnsiTheme="majorHAnsi" w:cstheme="majorBidi"/>
      <w:color w:val="0F4761" w:themeColor="accent1" w:themeShade="BF"/>
      <w:sz w:val="40"/>
      <w:szCs w:val="40"/>
    </w:rPr>
  </w:style>
  <w:style w:type="character" w:customStyle="1" w:styleId="Nagwek2Znak">
    <w:name w:val="Nagłówek 2 Znak"/>
    <w:basedOn w:val="Domylnaczcionkaakapitu"/>
    <w:link w:val="Nagwek2"/>
    <w:uiPriority w:val="9"/>
    <w:semiHidden/>
    <w:rsid w:val="008B69D1"/>
    <w:rPr>
      <w:rFonts w:asciiTheme="majorHAnsi" w:eastAsiaTheme="majorEastAsia" w:hAnsiTheme="majorHAnsi" w:cstheme="majorBidi"/>
      <w:color w:val="0F4761" w:themeColor="accent1" w:themeShade="BF"/>
      <w:sz w:val="32"/>
      <w:szCs w:val="32"/>
    </w:rPr>
  </w:style>
  <w:style w:type="character" w:customStyle="1" w:styleId="Nagwek3Znak">
    <w:name w:val="Nagłówek 3 Znak"/>
    <w:basedOn w:val="Domylnaczcionkaakapitu"/>
    <w:link w:val="Nagwek3"/>
    <w:uiPriority w:val="9"/>
    <w:semiHidden/>
    <w:rsid w:val="008B69D1"/>
    <w:rPr>
      <w:rFonts w:eastAsiaTheme="majorEastAsia" w:cstheme="majorBidi"/>
      <w:color w:val="0F4761" w:themeColor="accent1" w:themeShade="BF"/>
      <w:sz w:val="28"/>
      <w:szCs w:val="28"/>
    </w:rPr>
  </w:style>
  <w:style w:type="character" w:customStyle="1" w:styleId="Nagwek4Znak">
    <w:name w:val="Nagłówek 4 Znak"/>
    <w:basedOn w:val="Domylnaczcionkaakapitu"/>
    <w:link w:val="Nagwek4"/>
    <w:uiPriority w:val="9"/>
    <w:semiHidden/>
    <w:rsid w:val="008B69D1"/>
    <w:rPr>
      <w:rFonts w:eastAsiaTheme="majorEastAsia" w:cstheme="majorBidi"/>
      <w:i/>
      <w:iCs/>
      <w:color w:val="0F4761" w:themeColor="accent1" w:themeShade="BF"/>
    </w:rPr>
  </w:style>
  <w:style w:type="character" w:customStyle="1" w:styleId="Nagwek5Znak">
    <w:name w:val="Nagłówek 5 Znak"/>
    <w:basedOn w:val="Domylnaczcionkaakapitu"/>
    <w:link w:val="Nagwek5"/>
    <w:uiPriority w:val="9"/>
    <w:semiHidden/>
    <w:rsid w:val="008B69D1"/>
    <w:rPr>
      <w:rFonts w:eastAsiaTheme="majorEastAsia" w:cstheme="majorBidi"/>
      <w:color w:val="0F4761" w:themeColor="accent1" w:themeShade="BF"/>
    </w:rPr>
  </w:style>
  <w:style w:type="character" w:customStyle="1" w:styleId="Nagwek6Znak">
    <w:name w:val="Nagłówek 6 Znak"/>
    <w:basedOn w:val="Domylnaczcionkaakapitu"/>
    <w:link w:val="Nagwek6"/>
    <w:uiPriority w:val="9"/>
    <w:semiHidden/>
    <w:rsid w:val="008B69D1"/>
    <w:rPr>
      <w:rFonts w:eastAsiaTheme="majorEastAsia" w:cstheme="majorBidi"/>
      <w:i/>
      <w:iCs/>
      <w:color w:val="595959" w:themeColor="text1" w:themeTint="A6"/>
    </w:rPr>
  </w:style>
  <w:style w:type="character" w:customStyle="1" w:styleId="Nagwek7Znak">
    <w:name w:val="Nagłówek 7 Znak"/>
    <w:basedOn w:val="Domylnaczcionkaakapitu"/>
    <w:link w:val="Nagwek7"/>
    <w:uiPriority w:val="9"/>
    <w:semiHidden/>
    <w:rsid w:val="008B69D1"/>
    <w:rPr>
      <w:rFonts w:eastAsiaTheme="majorEastAsia" w:cstheme="majorBidi"/>
      <w:color w:val="595959" w:themeColor="text1" w:themeTint="A6"/>
    </w:rPr>
  </w:style>
  <w:style w:type="character" w:customStyle="1" w:styleId="Nagwek8Znak">
    <w:name w:val="Nagłówek 8 Znak"/>
    <w:basedOn w:val="Domylnaczcionkaakapitu"/>
    <w:link w:val="Nagwek8"/>
    <w:uiPriority w:val="9"/>
    <w:semiHidden/>
    <w:rsid w:val="008B69D1"/>
    <w:rPr>
      <w:rFonts w:eastAsiaTheme="majorEastAsia" w:cstheme="majorBidi"/>
      <w:i/>
      <w:iCs/>
      <w:color w:val="272727" w:themeColor="text1" w:themeTint="D8"/>
    </w:rPr>
  </w:style>
  <w:style w:type="character" w:customStyle="1" w:styleId="Nagwek9Znak">
    <w:name w:val="Nagłówek 9 Znak"/>
    <w:basedOn w:val="Domylnaczcionkaakapitu"/>
    <w:link w:val="Nagwek9"/>
    <w:uiPriority w:val="9"/>
    <w:semiHidden/>
    <w:rsid w:val="008B69D1"/>
    <w:rPr>
      <w:rFonts w:eastAsiaTheme="majorEastAsia" w:cstheme="majorBidi"/>
      <w:color w:val="272727" w:themeColor="text1" w:themeTint="D8"/>
    </w:rPr>
  </w:style>
  <w:style w:type="paragraph" w:styleId="Tytu">
    <w:name w:val="Title"/>
    <w:basedOn w:val="Normalny"/>
    <w:next w:val="Normalny"/>
    <w:link w:val="TytuZnak"/>
    <w:uiPriority w:val="10"/>
    <w:qFormat/>
    <w:rsid w:val="008B69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ytuZnak">
    <w:name w:val="Tytuł Znak"/>
    <w:basedOn w:val="Domylnaczcionkaakapitu"/>
    <w:link w:val="Tytu"/>
    <w:uiPriority w:val="10"/>
    <w:rsid w:val="008B69D1"/>
    <w:rPr>
      <w:rFonts w:asciiTheme="majorHAnsi" w:eastAsiaTheme="majorEastAsia" w:hAnsiTheme="majorHAnsi" w:cstheme="majorBidi"/>
      <w:spacing w:val="-10"/>
      <w:kern w:val="28"/>
      <w:sz w:val="56"/>
      <w:szCs w:val="56"/>
    </w:rPr>
  </w:style>
  <w:style w:type="paragraph" w:styleId="Podtytu">
    <w:name w:val="Subtitle"/>
    <w:basedOn w:val="Normalny"/>
    <w:next w:val="Normalny"/>
    <w:link w:val="PodtytuZnak"/>
    <w:uiPriority w:val="11"/>
    <w:qFormat/>
    <w:rsid w:val="008B69D1"/>
    <w:pPr>
      <w:numPr>
        <w:ilvl w:val="1"/>
      </w:numPr>
    </w:pPr>
    <w:rPr>
      <w:rFonts w:eastAsiaTheme="majorEastAsia" w:cstheme="majorBidi"/>
      <w:color w:val="595959" w:themeColor="text1" w:themeTint="A6"/>
      <w:spacing w:val="15"/>
      <w:sz w:val="28"/>
      <w:szCs w:val="28"/>
    </w:rPr>
  </w:style>
  <w:style w:type="character" w:customStyle="1" w:styleId="PodtytuZnak">
    <w:name w:val="Podtytuł Znak"/>
    <w:basedOn w:val="Domylnaczcionkaakapitu"/>
    <w:link w:val="Podtytu"/>
    <w:uiPriority w:val="11"/>
    <w:rsid w:val="008B69D1"/>
    <w:rPr>
      <w:rFonts w:eastAsiaTheme="majorEastAsia" w:cstheme="majorBidi"/>
      <w:color w:val="595959" w:themeColor="text1" w:themeTint="A6"/>
      <w:spacing w:val="15"/>
      <w:sz w:val="28"/>
      <w:szCs w:val="28"/>
    </w:rPr>
  </w:style>
  <w:style w:type="paragraph" w:styleId="Cytat">
    <w:name w:val="Quote"/>
    <w:basedOn w:val="Normalny"/>
    <w:next w:val="Normalny"/>
    <w:link w:val="CytatZnak"/>
    <w:uiPriority w:val="29"/>
    <w:qFormat/>
    <w:rsid w:val="008B69D1"/>
    <w:pPr>
      <w:spacing w:before="160"/>
      <w:jc w:val="center"/>
    </w:pPr>
    <w:rPr>
      <w:i/>
      <w:iCs/>
      <w:color w:val="404040" w:themeColor="text1" w:themeTint="BF"/>
    </w:rPr>
  </w:style>
  <w:style w:type="character" w:customStyle="1" w:styleId="CytatZnak">
    <w:name w:val="Cytat Znak"/>
    <w:basedOn w:val="Domylnaczcionkaakapitu"/>
    <w:link w:val="Cytat"/>
    <w:uiPriority w:val="29"/>
    <w:rsid w:val="008B69D1"/>
    <w:rPr>
      <w:i/>
      <w:iCs/>
      <w:color w:val="404040" w:themeColor="text1" w:themeTint="BF"/>
    </w:rPr>
  </w:style>
  <w:style w:type="paragraph" w:styleId="Akapitzlist">
    <w:name w:val="List Paragraph"/>
    <w:basedOn w:val="Normalny"/>
    <w:uiPriority w:val="34"/>
    <w:qFormat/>
    <w:rsid w:val="008B69D1"/>
    <w:pPr>
      <w:ind w:left="720"/>
      <w:contextualSpacing/>
    </w:pPr>
  </w:style>
  <w:style w:type="character" w:styleId="Wyrnienieintensywne">
    <w:name w:val="Intense Emphasis"/>
    <w:basedOn w:val="Domylnaczcionkaakapitu"/>
    <w:uiPriority w:val="21"/>
    <w:qFormat/>
    <w:rsid w:val="008B69D1"/>
    <w:rPr>
      <w:i/>
      <w:iCs/>
      <w:color w:val="0F4761" w:themeColor="accent1" w:themeShade="BF"/>
    </w:rPr>
  </w:style>
  <w:style w:type="paragraph" w:styleId="Cytatintensywny">
    <w:name w:val="Intense Quote"/>
    <w:basedOn w:val="Normalny"/>
    <w:next w:val="Normalny"/>
    <w:link w:val="CytatintensywnyZnak"/>
    <w:uiPriority w:val="30"/>
    <w:qFormat/>
    <w:rsid w:val="008B69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CytatintensywnyZnak">
    <w:name w:val="Cytat intensywny Znak"/>
    <w:basedOn w:val="Domylnaczcionkaakapitu"/>
    <w:link w:val="Cytatintensywny"/>
    <w:uiPriority w:val="30"/>
    <w:rsid w:val="008B69D1"/>
    <w:rPr>
      <w:i/>
      <w:iCs/>
      <w:color w:val="0F4761" w:themeColor="accent1" w:themeShade="BF"/>
    </w:rPr>
  </w:style>
  <w:style w:type="character" w:styleId="Odwoanieintensywne">
    <w:name w:val="Intense Reference"/>
    <w:basedOn w:val="Domylnaczcionkaakapitu"/>
    <w:uiPriority w:val="32"/>
    <w:qFormat/>
    <w:rsid w:val="008B69D1"/>
    <w:rPr>
      <w:b/>
      <w:bCs/>
      <w:smallCaps/>
      <w:color w:val="0F4761" w:themeColor="accent1" w:themeShade="BF"/>
      <w:spacing w:val="5"/>
    </w:rPr>
  </w:style>
  <w:style w:type="paragraph" w:styleId="Nagwek">
    <w:name w:val="header"/>
    <w:basedOn w:val="Normalny"/>
    <w:link w:val="NagwekZnak"/>
    <w:uiPriority w:val="99"/>
    <w:unhideWhenUsed/>
    <w:rsid w:val="00BF3A5F"/>
    <w:pPr>
      <w:tabs>
        <w:tab w:val="center" w:pos="4536"/>
        <w:tab w:val="right" w:pos="9072"/>
      </w:tabs>
      <w:spacing w:after="0" w:line="240" w:lineRule="auto"/>
    </w:pPr>
  </w:style>
  <w:style w:type="character" w:customStyle="1" w:styleId="NagwekZnak">
    <w:name w:val="Nagłówek Znak"/>
    <w:basedOn w:val="Domylnaczcionkaakapitu"/>
    <w:link w:val="Nagwek"/>
    <w:uiPriority w:val="99"/>
    <w:rsid w:val="00BF3A5F"/>
  </w:style>
  <w:style w:type="paragraph" w:styleId="Stopka">
    <w:name w:val="footer"/>
    <w:basedOn w:val="Normalny"/>
    <w:link w:val="StopkaZnak"/>
    <w:uiPriority w:val="99"/>
    <w:unhideWhenUsed/>
    <w:rsid w:val="00BF3A5F"/>
    <w:pPr>
      <w:tabs>
        <w:tab w:val="center" w:pos="4536"/>
        <w:tab w:val="right" w:pos="9072"/>
      </w:tabs>
      <w:spacing w:after="0" w:line="240" w:lineRule="auto"/>
    </w:pPr>
  </w:style>
  <w:style w:type="character" w:customStyle="1" w:styleId="StopkaZnak">
    <w:name w:val="Stopka Znak"/>
    <w:basedOn w:val="Domylnaczcionkaakapitu"/>
    <w:link w:val="Stopka"/>
    <w:uiPriority w:val="99"/>
    <w:rsid w:val="00BF3A5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Pakiet 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123</TotalTime>
  <Pages>10</Pages>
  <Words>2147</Words>
  <Characters>13978</Characters>
  <Application>Microsoft Office Word</Application>
  <DocSecurity>0</DocSecurity>
  <Lines>517</Lines>
  <Paragraphs>251</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15874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MARZENA ANNA woźniak</dc:creator>
  <cp:keywords/>
  <dc:description/>
  <cp:lastModifiedBy>MARZENA ANNA woźniak</cp:lastModifiedBy>
  <cp:revision>29</cp:revision>
  <dcterms:created xsi:type="dcterms:W3CDTF">2026-04-13T11:16:00Z</dcterms:created>
  <dcterms:modified xsi:type="dcterms:W3CDTF">2026-04-18T08:26:00Z</dcterms:modified>
</cp:coreProperties>
</file>