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CA483" w14:textId="77777777" w:rsidR="00F200C4" w:rsidRDefault="00F200C4" w:rsidP="00424987">
      <w:pPr>
        <w:spacing w:line="360" w:lineRule="auto"/>
      </w:pPr>
    </w:p>
    <w:p w14:paraId="56162889" w14:textId="77777777" w:rsidR="00557E8F" w:rsidRPr="000F6817" w:rsidRDefault="00557E8F" w:rsidP="00557E8F">
      <w:pPr>
        <w:jc w:val="center"/>
        <w:rPr>
          <w:color w:val="000000" w:themeColor="text1"/>
          <w:sz w:val="28"/>
          <w:szCs w:val="28"/>
        </w:rPr>
      </w:pPr>
      <w:r w:rsidRPr="000F6817">
        <w:rPr>
          <w:noProof/>
          <w:color w:val="000000" w:themeColor="text1"/>
          <w:sz w:val="28"/>
          <w:szCs w:val="28"/>
        </w:rPr>
        <w:drawing>
          <wp:inline distT="0" distB="0" distL="0" distR="0" wp14:anchorId="45E0E1B1" wp14:editId="5F3F1FE9">
            <wp:extent cx="5806440" cy="23240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759).png"/>
                    <pic:cNvPicPr/>
                  </pic:nvPicPr>
                  <pic:blipFill>
                    <a:blip r:embed="rId8"/>
                    <a:stretch>
                      <a:fillRect/>
                    </a:stretch>
                  </pic:blipFill>
                  <pic:spPr>
                    <a:xfrm>
                      <a:off x="0" y="0"/>
                      <a:ext cx="5806440" cy="2324052"/>
                    </a:xfrm>
                    <a:prstGeom prst="rect">
                      <a:avLst/>
                    </a:prstGeom>
                  </pic:spPr>
                </pic:pic>
              </a:graphicData>
            </a:graphic>
          </wp:inline>
        </w:drawing>
      </w:r>
      <w:r w:rsidRPr="000F6817">
        <w:rPr>
          <w:rFonts w:ascii="Arial" w:hAnsi="Arial"/>
          <w:b/>
          <w:color w:val="000000" w:themeColor="text1"/>
          <w:sz w:val="28"/>
          <w:szCs w:val="28"/>
        </w:rPr>
        <w:t>MASTER OF BUSINESS ADMINISTRATION</w:t>
      </w:r>
    </w:p>
    <w:p w14:paraId="2B1DFCA4" w14:textId="77777777" w:rsidR="00557E8F" w:rsidRPr="000F6817" w:rsidRDefault="00557E8F" w:rsidP="00557E8F">
      <w:pPr>
        <w:spacing w:before="160"/>
        <w:jc w:val="center"/>
        <w:rPr>
          <w:color w:val="000000" w:themeColor="text1"/>
          <w:sz w:val="28"/>
          <w:szCs w:val="28"/>
        </w:rPr>
      </w:pPr>
      <w:r w:rsidRPr="000F6817">
        <w:rPr>
          <w:rFonts w:ascii="Arial" w:hAnsi="Arial"/>
          <w:b/>
          <w:color w:val="000000" w:themeColor="text1"/>
          <w:sz w:val="28"/>
          <w:szCs w:val="28"/>
        </w:rPr>
        <w:t>CFO FINANCIAL PERFORMANCE REPORT</w:t>
      </w:r>
    </w:p>
    <w:p w14:paraId="3871F67F" w14:textId="77777777" w:rsidR="00557E8F" w:rsidRPr="000F6817" w:rsidRDefault="00557E8F" w:rsidP="00557E8F">
      <w:pPr>
        <w:spacing w:after="560"/>
        <w:jc w:val="center"/>
        <w:rPr>
          <w:color w:val="000000" w:themeColor="text1"/>
          <w:sz w:val="28"/>
          <w:szCs w:val="28"/>
        </w:rPr>
      </w:pPr>
      <w:r w:rsidRPr="000F6817">
        <w:rPr>
          <w:rFonts w:ascii="Arial" w:hAnsi="Arial"/>
          <w:b/>
          <w:color w:val="000000" w:themeColor="text1"/>
          <w:sz w:val="28"/>
          <w:szCs w:val="28"/>
        </w:rPr>
        <w:t>Hilton Worldwide Holdings Inc.</w:t>
      </w:r>
    </w:p>
    <w:tbl>
      <w:tblPr>
        <w:tblStyle w:val="TableGrid"/>
        <w:tblW w:w="0" w:type="auto"/>
        <w:tblLayout w:type="fixed"/>
        <w:tblLook w:val="04A0" w:firstRow="1" w:lastRow="0" w:firstColumn="1" w:lastColumn="0" w:noHBand="0" w:noVBand="1"/>
      </w:tblPr>
      <w:tblGrid>
        <w:gridCol w:w="2761"/>
        <w:gridCol w:w="6403"/>
      </w:tblGrid>
      <w:tr w:rsidR="00557E8F" w:rsidRPr="000F6817" w14:paraId="11D37AC9" w14:textId="77777777" w:rsidTr="00AA5684">
        <w:trPr>
          <w:trHeight w:val="697"/>
        </w:trPr>
        <w:tc>
          <w:tcPr>
            <w:tcW w:w="2761" w:type="dxa"/>
            <w:vAlign w:val="center"/>
          </w:tcPr>
          <w:p w14:paraId="070A3497" w14:textId="77777777" w:rsidR="00557E8F" w:rsidRPr="000F6817" w:rsidRDefault="00557E8F" w:rsidP="00AA5684">
            <w:pPr>
              <w:jc w:val="center"/>
              <w:rPr>
                <w:color w:val="000000" w:themeColor="text1"/>
                <w:sz w:val="28"/>
                <w:szCs w:val="28"/>
              </w:rPr>
            </w:pPr>
            <w:proofErr w:type="spellStart"/>
            <w:r w:rsidRPr="000F6817">
              <w:rPr>
                <w:rFonts w:ascii="Arial" w:hAnsi="Arial"/>
                <w:b/>
                <w:color w:val="000000" w:themeColor="text1"/>
                <w:sz w:val="28"/>
                <w:szCs w:val="28"/>
              </w:rPr>
              <w:t>Programme</w:t>
            </w:r>
            <w:proofErr w:type="spellEnd"/>
            <w:r w:rsidRPr="000F6817">
              <w:rPr>
                <w:rFonts w:ascii="Arial" w:hAnsi="Arial"/>
                <w:b/>
                <w:color w:val="000000" w:themeColor="text1"/>
                <w:sz w:val="28"/>
                <w:szCs w:val="28"/>
              </w:rPr>
              <w:t>:</w:t>
            </w:r>
          </w:p>
        </w:tc>
        <w:tc>
          <w:tcPr>
            <w:tcW w:w="6403" w:type="dxa"/>
            <w:vAlign w:val="center"/>
          </w:tcPr>
          <w:p w14:paraId="2D903F27" w14:textId="77777777" w:rsidR="00557E8F" w:rsidRPr="000F6817" w:rsidRDefault="00557E8F" w:rsidP="00AA5684">
            <w:pPr>
              <w:jc w:val="center"/>
              <w:rPr>
                <w:color w:val="000000" w:themeColor="text1"/>
                <w:sz w:val="28"/>
                <w:szCs w:val="28"/>
              </w:rPr>
            </w:pPr>
            <w:r w:rsidRPr="000F6817">
              <w:rPr>
                <w:rFonts w:ascii="Arial" w:hAnsi="Arial"/>
                <w:color w:val="000000" w:themeColor="text1"/>
                <w:sz w:val="28"/>
                <w:szCs w:val="28"/>
              </w:rPr>
              <w:t>Master of Business Administration</w:t>
            </w:r>
          </w:p>
        </w:tc>
      </w:tr>
      <w:tr w:rsidR="00557E8F" w:rsidRPr="000F6817" w14:paraId="62090DBE" w14:textId="77777777" w:rsidTr="00AA5684">
        <w:trPr>
          <w:trHeight w:val="697"/>
        </w:trPr>
        <w:tc>
          <w:tcPr>
            <w:tcW w:w="2761" w:type="dxa"/>
            <w:vAlign w:val="center"/>
          </w:tcPr>
          <w:p w14:paraId="791A2CA9" w14:textId="77777777" w:rsidR="00557E8F" w:rsidRPr="000F6817" w:rsidRDefault="00557E8F" w:rsidP="00AA5684">
            <w:pPr>
              <w:jc w:val="center"/>
              <w:rPr>
                <w:color w:val="000000" w:themeColor="text1"/>
                <w:sz w:val="28"/>
                <w:szCs w:val="28"/>
              </w:rPr>
            </w:pPr>
            <w:r w:rsidRPr="000F6817">
              <w:rPr>
                <w:rFonts w:ascii="Arial" w:hAnsi="Arial"/>
                <w:b/>
                <w:color w:val="000000" w:themeColor="text1"/>
                <w:sz w:val="28"/>
                <w:szCs w:val="28"/>
              </w:rPr>
              <w:t>Module:</w:t>
            </w:r>
          </w:p>
        </w:tc>
        <w:tc>
          <w:tcPr>
            <w:tcW w:w="6403" w:type="dxa"/>
            <w:vAlign w:val="center"/>
          </w:tcPr>
          <w:p w14:paraId="7C303FB5" w14:textId="77777777" w:rsidR="00557E8F" w:rsidRPr="000F6817" w:rsidRDefault="00557E8F" w:rsidP="00AA5684">
            <w:pPr>
              <w:jc w:val="center"/>
              <w:rPr>
                <w:color w:val="000000" w:themeColor="text1"/>
                <w:sz w:val="28"/>
                <w:szCs w:val="28"/>
              </w:rPr>
            </w:pPr>
            <w:r w:rsidRPr="000F6817">
              <w:rPr>
                <w:rFonts w:ascii="Arial" w:hAnsi="Arial"/>
                <w:color w:val="000000" w:themeColor="text1"/>
                <w:sz w:val="28"/>
                <w:szCs w:val="28"/>
              </w:rPr>
              <w:t>Financial Management</w:t>
            </w:r>
          </w:p>
        </w:tc>
      </w:tr>
      <w:tr w:rsidR="00557E8F" w:rsidRPr="000F6817" w14:paraId="7FCC3979" w14:textId="77777777" w:rsidTr="00AA5684">
        <w:trPr>
          <w:trHeight w:val="697"/>
        </w:trPr>
        <w:tc>
          <w:tcPr>
            <w:tcW w:w="2761" w:type="dxa"/>
            <w:vAlign w:val="center"/>
          </w:tcPr>
          <w:p w14:paraId="10613022" w14:textId="77777777" w:rsidR="00557E8F" w:rsidRPr="000F6817" w:rsidRDefault="00557E8F" w:rsidP="00AA5684">
            <w:pPr>
              <w:jc w:val="center"/>
              <w:rPr>
                <w:color w:val="000000" w:themeColor="text1"/>
                <w:sz w:val="28"/>
                <w:szCs w:val="28"/>
              </w:rPr>
            </w:pPr>
            <w:r w:rsidRPr="000F6817">
              <w:rPr>
                <w:rFonts w:ascii="Arial" w:hAnsi="Arial"/>
                <w:b/>
                <w:color w:val="000000" w:themeColor="text1"/>
                <w:sz w:val="28"/>
                <w:szCs w:val="28"/>
              </w:rPr>
              <w:t>Module Code:</w:t>
            </w:r>
          </w:p>
        </w:tc>
        <w:tc>
          <w:tcPr>
            <w:tcW w:w="6403" w:type="dxa"/>
            <w:vAlign w:val="center"/>
          </w:tcPr>
          <w:p w14:paraId="7B80305C" w14:textId="77777777" w:rsidR="00557E8F" w:rsidRPr="000F6817" w:rsidRDefault="00557E8F" w:rsidP="00AA5684">
            <w:pPr>
              <w:jc w:val="center"/>
              <w:rPr>
                <w:color w:val="000000" w:themeColor="text1"/>
                <w:sz w:val="28"/>
                <w:szCs w:val="28"/>
              </w:rPr>
            </w:pPr>
            <w:r w:rsidRPr="000F6817">
              <w:rPr>
                <w:rFonts w:ascii="Arial" w:hAnsi="Arial"/>
                <w:color w:val="000000" w:themeColor="text1"/>
                <w:sz w:val="28"/>
                <w:szCs w:val="28"/>
              </w:rPr>
              <w:t>LCMB7002</w:t>
            </w:r>
          </w:p>
        </w:tc>
      </w:tr>
      <w:tr w:rsidR="00557E8F" w:rsidRPr="000F6817" w14:paraId="48C00515" w14:textId="77777777" w:rsidTr="00AA5684">
        <w:trPr>
          <w:trHeight w:val="697"/>
        </w:trPr>
        <w:tc>
          <w:tcPr>
            <w:tcW w:w="2761" w:type="dxa"/>
            <w:vAlign w:val="center"/>
          </w:tcPr>
          <w:p w14:paraId="58C5C121" w14:textId="77777777" w:rsidR="00557E8F" w:rsidRPr="000F6817" w:rsidRDefault="00557E8F" w:rsidP="00AA5684">
            <w:pPr>
              <w:jc w:val="center"/>
              <w:rPr>
                <w:color w:val="000000" w:themeColor="text1"/>
                <w:sz w:val="28"/>
                <w:szCs w:val="28"/>
              </w:rPr>
            </w:pPr>
            <w:r w:rsidRPr="000F6817">
              <w:rPr>
                <w:rFonts w:ascii="Arial" w:hAnsi="Arial"/>
                <w:b/>
                <w:color w:val="000000" w:themeColor="text1"/>
                <w:sz w:val="28"/>
                <w:szCs w:val="28"/>
              </w:rPr>
              <w:t>Assessment Title:</w:t>
            </w:r>
          </w:p>
        </w:tc>
        <w:tc>
          <w:tcPr>
            <w:tcW w:w="6403" w:type="dxa"/>
            <w:vAlign w:val="center"/>
          </w:tcPr>
          <w:p w14:paraId="358EF7AA" w14:textId="77777777" w:rsidR="00557E8F" w:rsidRPr="000F6817" w:rsidRDefault="00557E8F" w:rsidP="00AA5684">
            <w:pPr>
              <w:jc w:val="center"/>
              <w:rPr>
                <w:color w:val="000000" w:themeColor="text1"/>
                <w:sz w:val="28"/>
                <w:szCs w:val="28"/>
              </w:rPr>
            </w:pPr>
            <w:r w:rsidRPr="000F6817">
              <w:rPr>
                <w:rFonts w:ascii="Arial" w:hAnsi="Arial"/>
                <w:color w:val="000000" w:themeColor="text1"/>
                <w:sz w:val="28"/>
                <w:szCs w:val="28"/>
              </w:rPr>
              <w:t>Financial Performance and Management</w:t>
            </w:r>
          </w:p>
        </w:tc>
      </w:tr>
      <w:tr w:rsidR="00557E8F" w:rsidRPr="000F6817" w14:paraId="5E9442D6" w14:textId="77777777" w:rsidTr="00AA5684">
        <w:trPr>
          <w:trHeight w:val="697"/>
        </w:trPr>
        <w:tc>
          <w:tcPr>
            <w:tcW w:w="2761" w:type="dxa"/>
            <w:vAlign w:val="center"/>
          </w:tcPr>
          <w:p w14:paraId="098FC5AF" w14:textId="77777777" w:rsidR="00557E8F" w:rsidRPr="000F6817" w:rsidRDefault="00557E8F" w:rsidP="00AA5684">
            <w:pPr>
              <w:jc w:val="center"/>
              <w:rPr>
                <w:color w:val="000000" w:themeColor="text1"/>
                <w:sz w:val="28"/>
                <w:szCs w:val="28"/>
              </w:rPr>
            </w:pPr>
            <w:r w:rsidRPr="000F6817">
              <w:rPr>
                <w:rFonts w:ascii="Arial" w:hAnsi="Arial"/>
                <w:b/>
                <w:color w:val="000000" w:themeColor="text1"/>
                <w:sz w:val="28"/>
                <w:szCs w:val="28"/>
              </w:rPr>
              <w:t>Lecturers:</w:t>
            </w:r>
          </w:p>
        </w:tc>
        <w:tc>
          <w:tcPr>
            <w:tcW w:w="6403" w:type="dxa"/>
            <w:vAlign w:val="center"/>
          </w:tcPr>
          <w:p w14:paraId="6B9F6FE3" w14:textId="77777777" w:rsidR="00557E8F" w:rsidRPr="000F6817" w:rsidRDefault="00557E8F" w:rsidP="00AA5684">
            <w:pPr>
              <w:jc w:val="center"/>
              <w:rPr>
                <w:color w:val="000000" w:themeColor="text1"/>
                <w:sz w:val="28"/>
                <w:szCs w:val="28"/>
              </w:rPr>
            </w:pPr>
            <w:proofErr w:type="spellStart"/>
            <w:r w:rsidRPr="000F6817">
              <w:rPr>
                <w:rFonts w:ascii="Arial" w:hAnsi="Arial"/>
                <w:color w:val="000000" w:themeColor="text1"/>
                <w:sz w:val="28"/>
                <w:szCs w:val="28"/>
              </w:rPr>
              <w:t>Shengfeng</w:t>
            </w:r>
            <w:proofErr w:type="spellEnd"/>
            <w:r w:rsidRPr="000F6817">
              <w:rPr>
                <w:rFonts w:ascii="Arial" w:hAnsi="Arial"/>
                <w:color w:val="000000" w:themeColor="text1"/>
                <w:sz w:val="28"/>
                <w:szCs w:val="28"/>
              </w:rPr>
              <w:t xml:space="preserve"> Mei (London)</w:t>
            </w:r>
            <w:r w:rsidRPr="000F6817">
              <w:rPr>
                <w:color w:val="000000" w:themeColor="text1"/>
                <w:sz w:val="28"/>
                <w:szCs w:val="28"/>
              </w:rPr>
              <w:br/>
            </w:r>
            <w:r w:rsidRPr="000F6817">
              <w:rPr>
                <w:rFonts w:ascii="Arial" w:hAnsi="Arial"/>
                <w:color w:val="000000" w:themeColor="text1"/>
                <w:sz w:val="28"/>
                <w:szCs w:val="28"/>
              </w:rPr>
              <w:t>Patrick Yeboah (Birmingham)</w:t>
            </w:r>
          </w:p>
        </w:tc>
      </w:tr>
    </w:tbl>
    <w:p w14:paraId="78D4F0D1" w14:textId="77777777" w:rsidR="00557E8F" w:rsidRPr="000F6817" w:rsidRDefault="00557E8F" w:rsidP="00557E8F">
      <w:pPr>
        <w:spacing w:before="360"/>
        <w:rPr>
          <w:color w:val="000000" w:themeColor="text1"/>
          <w:sz w:val="28"/>
          <w:szCs w:val="28"/>
        </w:rPr>
      </w:pPr>
    </w:p>
    <w:p w14:paraId="1C278368" w14:textId="77777777" w:rsidR="00557E8F" w:rsidRPr="000F6817" w:rsidRDefault="00557E8F" w:rsidP="00557E8F">
      <w:pPr>
        <w:jc w:val="center"/>
        <w:rPr>
          <w:color w:val="000000" w:themeColor="text1"/>
          <w:sz w:val="28"/>
          <w:szCs w:val="28"/>
        </w:rPr>
      </w:pPr>
      <w:r w:rsidRPr="000F6817">
        <w:rPr>
          <w:rFonts w:ascii="Arial" w:hAnsi="Arial"/>
          <w:b/>
          <w:color w:val="000000" w:themeColor="text1"/>
          <w:sz w:val="28"/>
          <w:szCs w:val="28"/>
        </w:rPr>
        <w:t>Student Name:</w:t>
      </w:r>
      <w:r>
        <w:rPr>
          <w:b/>
          <w:color w:val="000000" w:themeColor="text1"/>
          <w:sz w:val="28"/>
          <w:szCs w:val="28"/>
        </w:rPr>
        <w:t xml:space="preserve"> </w:t>
      </w:r>
      <w:r w:rsidRPr="000F6817">
        <w:rPr>
          <w:b/>
          <w:color w:val="000000" w:themeColor="text1"/>
          <w:sz w:val="28"/>
          <w:szCs w:val="28"/>
        </w:rPr>
        <w:t xml:space="preserve">Yaatri Ramesh </w:t>
      </w:r>
      <w:r>
        <w:rPr>
          <w:b/>
          <w:color w:val="000000" w:themeColor="text1"/>
          <w:sz w:val="28"/>
          <w:szCs w:val="28"/>
        </w:rPr>
        <w:t>B</w:t>
      </w:r>
      <w:r w:rsidRPr="000F6817">
        <w:rPr>
          <w:b/>
          <w:color w:val="000000" w:themeColor="text1"/>
          <w:sz w:val="28"/>
          <w:szCs w:val="28"/>
        </w:rPr>
        <w:t>apodra</w:t>
      </w:r>
    </w:p>
    <w:p w14:paraId="32E8DB76" w14:textId="77777777" w:rsidR="00557E8F" w:rsidRPr="000F6817" w:rsidRDefault="00557E8F" w:rsidP="00557E8F">
      <w:pPr>
        <w:jc w:val="center"/>
        <w:rPr>
          <w:color w:val="000000" w:themeColor="text1"/>
          <w:sz w:val="28"/>
          <w:szCs w:val="28"/>
        </w:rPr>
      </w:pPr>
      <w:r w:rsidRPr="000F6817">
        <w:rPr>
          <w:rFonts w:ascii="Arial" w:hAnsi="Arial"/>
          <w:b/>
          <w:color w:val="000000" w:themeColor="text1"/>
          <w:sz w:val="28"/>
          <w:szCs w:val="28"/>
        </w:rPr>
        <w:t>Student ID:</w:t>
      </w:r>
      <w:r>
        <w:rPr>
          <w:b/>
          <w:color w:val="000000" w:themeColor="text1"/>
          <w:sz w:val="28"/>
          <w:szCs w:val="28"/>
        </w:rPr>
        <w:t xml:space="preserve"> </w:t>
      </w:r>
      <w:r w:rsidRPr="000F6817">
        <w:rPr>
          <w:b/>
          <w:color w:val="000000" w:themeColor="text1"/>
          <w:sz w:val="28"/>
          <w:szCs w:val="28"/>
        </w:rPr>
        <w:t>2536592</w:t>
      </w:r>
    </w:p>
    <w:p w14:paraId="2A381DED" w14:textId="77777777" w:rsidR="00557E8F" w:rsidRPr="000F6817" w:rsidRDefault="00557E8F" w:rsidP="00557E8F">
      <w:pPr>
        <w:jc w:val="center"/>
        <w:rPr>
          <w:color w:val="000000" w:themeColor="text1"/>
          <w:sz w:val="28"/>
          <w:szCs w:val="28"/>
        </w:rPr>
      </w:pPr>
      <w:r w:rsidRPr="000F6817">
        <w:rPr>
          <w:rFonts w:ascii="Arial" w:hAnsi="Arial"/>
          <w:b/>
          <w:color w:val="000000" w:themeColor="text1"/>
          <w:sz w:val="28"/>
          <w:szCs w:val="28"/>
        </w:rPr>
        <w:t xml:space="preserve">Submission Date: </w:t>
      </w:r>
      <w:r w:rsidRPr="000F6817">
        <w:rPr>
          <w:color w:val="000000" w:themeColor="text1"/>
          <w:sz w:val="28"/>
          <w:szCs w:val="28"/>
        </w:rPr>
        <w:t>24</w:t>
      </w:r>
      <w:r w:rsidRPr="000F6817">
        <w:rPr>
          <w:color w:val="000000" w:themeColor="text1"/>
          <w:sz w:val="28"/>
          <w:szCs w:val="28"/>
          <w:vertAlign w:val="superscript"/>
        </w:rPr>
        <w:t>th</w:t>
      </w:r>
      <w:r w:rsidRPr="000F6817">
        <w:rPr>
          <w:color w:val="000000" w:themeColor="text1"/>
          <w:sz w:val="28"/>
          <w:szCs w:val="28"/>
        </w:rPr>
        <w:t xml:space="preserve"> July 2026</w:t>
      </w:r>
    </w:p>
    <w:p w14:paraId="3BC7836C" w14:textId="77777777" w:rsidR="00F200C4" w:rsidRDefault="00F200C4" w:rsidP="00424987">
      <w:pPr>
        <w:spacing w:line="360" w:lineRule="auto"/>
      </w:pPr>
    </w:p>
    <w:p w14:paraId="6CEB4DAD" w14:textId="77777777" w:rsidR="00F200C4" w:rsidRDefault="00F200C4" w:rsidP="00424987">
      <w:pPr>
        <w:spacing w:line="360" w:lineRule="auto"/>
      </w:pPr>
    </w:p>
    <w:sdt>
      <w:sdtPr>
        <w:rPr>
          <w:rFonts w:ascii="Arial" w:hAnsi="Arial" w:cs="Arial"/>
          <w:sz w:val="24"/>
          <w:szCs w:val="24"/>
        </w:rPr>
        <w:id w:val="-424259017"/>
        <w:docPartObj>
          <w:docPartGallery w:val="Table of Contents"/>
          <w:docPartUnique/>
        </w:docPartObj>
      </w:sdtPr>
      <w:sdtEndPr>
        <w:rPr>
          <w:rFonts w:eastAsiaTheme="minorEastAsia"/>
          <w:smallCaps w:val="0"/>
          <w:noProof/>
          <w:color w:val="auto"/>
        </w:rPr>
      </w:sdtEndPr>
      <w:sdtContent>
        <w:p w14:paraId="0945748F" w14:textId="3770899C" w:rsidR="00171244" w:rsidRPr="00164C53" w:rsidRDefault="00171244" w:rsidP="00171244">
          <w:pPr>
            <w:pStyle w:val="TOCHeading"/>
            <w:numPr>
              <w:ilvl w:val="0"/>
              <w:numId w:val="0"/>
            </w:numPr>
            <w:ind w:left="432" w:hanging="432"/>
            <w:rPr>
              <w:rFonts w:ascii="Arial" w:hAnsi="Arial" w:cs="Arial"/>
              <w:sz w:val="24"/>
              <w:szCs w:val="24"/>
            </w:rPr>
          </w:pPr>
          <w:r w:rsidRPr="00164C53">
            <w:rPr>
              <w:rFonts w:ascii="Arial" w:hAnsi="Arial" w:cs="Arial"/>
              <w:sz w:val="24"/>
              <w:szCs w:val="24"/>
            </w:rPr>
            <w:t>Table of Contents</w:t>
          </w:r>
        </w:p>
        <w:p w14:paraId="29F5A8CA" w14:textId="46480E9E" w:rsidR="00557E8F" w:rsidRDefault="00171244">
          <w:pPr>
            <w:pStyle w:val="TOC1"/>
            <w:tabs>
              <w:tab w:val="left" w:pos="480"/>
              <w:tab w:val="right" w:leader="dot" w:pos="9016"/>
            </w:tabs>
            <w:rPr>
              <w:noProof/>
              <w:kern w:val="2"/>
              <w:sz w:val="24"/>
              <w:szCs w:val="24"/>
              <w14:ligatures w14:val="standardContextual"/>
            </w:rPr>
          </w:pPr>
          <w:r w:rsidRPr="00164C53">
            <w:rPr>
              <w:rFonts w:ascii="Arial" w:hAnsi="Arial" w:cs="Arial"/>
              <w:sz w:val="24"/>
              <w:szCs w:val="24"/>
            </w:rPr>
            <w:fldChar w:fldCharType="begin"/>
          </w:r>
          <w:r w:rsidRPr="00164C53">
            <w:rPr>
              <w:rFonts w:ascii="Arial" w:hAnsi="Arial" w:cs="Arial"/>
              <w:sz w:val="24"/>
              <w:szCs w:val="24"/>
            </w:rPr>
            <w:instrText xml:space="preserve"> TOC \o "1-3" \h \z \u </w:instrText>
          </w:r>
          <w:r w:rsidRPr="00164C53">
            <w:rPr>
              <w:rFonts w:ascii="Arial" w:hAnsi="Arial" w:cs="Arial"/>
              <w:sz w:val="24"/>
              <w:szCs w:val="24"/>
            </w:rPr>
            <w:fldChar w:fldCharType="separate"/>
          </w:r>
          <w:hyperlink w:anchor="_Toc235694609" w:history="1">
            <w:r w:rsidR="00557E8F" w:rsidRPr="00D55CA6">
              <w:rPr>
                <w:rStyle w:val="Hyperlink"/>
                <w:rFonts w:ascii="Arial" w:hAnsi="Arial" w:cs="Arial"/>
                <w:noProof/>
              </w:rPr>
              <w:t>1</w:t>
            </w:r>
            <w:r w:rsidR="00557E8F">
              <w:rPr>
                <w:noProof/>
                <w:kern w:val="2"/>
                <w:sz w:val="24"/>
                <w:szCs w:val="24"/>
                <w14:ligatures w14:val="standardContextual"/>
              </w:rPr>
              <w:tab/>
            </w:r>
            <w:r w:rsidR="00557E8F" w:rsidRPr="00D55CA6">
              <w:rPr>
                <w:rStyle w:val="Hyperlink"/>
                <w:rFonts w:ascii="Arial" w:hAnsi="Arial" w:cs="Arial"/>
                <w:noProof/>
              </w:rPr>
              <w:t>CFO Financial Performance Report: Hilton Worldwide Holdings Inc.</w:t>
            </w:r>
            <w:r w:rsidR="00557E8F">
              <w:rPr>
                <w:noProof/>
                <w:webHidden/>
              </w:rPr>
              <w:tab/>
            </w:r>
            <w:r w:rsidR="00557E8F">
              <w:rPr>
                <w:noProof/>
                <w:webHidden/>
              </w:rPr>
              <w:fldChar w:fldCharType="begin"/>
            </w:r>
            <w:r w:rsidR="00557E8F">
              <w:rPr>
                <w:noProof/>
                <w:webHidden/>
              </w:rPr>
              <w:instrText xml:space="preserve"> PAGEREF _Toc235694609 \h </w:instrText>
            </w:r>
            <w:r w:rsidR="00557E8F">
              <w:rPr>
                <w:noProof/>
                <w:webHidden/>
              </w:rPr>
            </w:r>
            <w:r w:rsidR="00557E8F">
              <w:rPr>
                <w:noProof/>
                <w:webHidden/>
              </w:rPr>
              <w:fldChar w:fldCharType="separate"/>
            </w:r>
            <w:r w:rsidR="00557E8F">
              <w:rPr>
                <w:noProof/>
                <w:webHidden/>
              </w:rPr>
              <w:t>4</w:t>
            </w:r>
            <w:r w:rsidR="00557E8F">
              <w:rPr>
                <w:noProof/>
                <w:webHidden/>
              </w:rPr>
              <w:fldChar w:fldCharType="end"/>
            </w:r>
          </w:hyperlink>
        </w:p>
        <w:p w14:paraId="50590E45" w14:textId="3584C7E3" w:rsidR="00557E8F" w:rsidRDefault="00557E8F">
          <w:pPr>
            <w:pStyle w:val="TOC2"/>
            <w:tabs>
              <w:tab w:val="left" w:pos="960"/>
              <w:tab w:val="right" w:leader="dot" w:pos="9016"/>
            </w:tabs>
            <w:rPr>
              <w:noProof/>
              <w:kern w:val="2"/>
              <w:sz w:val="24"/>
              <w:szCs w:val="24"/>
              <w14:ligatures w14:val="standardContextual"/>
            </w:rPr>
          </w:pPr>
          <w:hyperlink w:anchor="_Toc235694610" w:history="1">
            <w:r w:rsidRPr="00D55CA6">
              <w:rPr>
                <w:rStyle w:val="Hyperlink"/>
                <w:rFonts w:ascii="Arial" w:hAnsi="Arial" w:cs="Arial"/>
                <w:noProof/>
              </w:rPr>
              <w:t>1.1</w:t>
            </w:r>
            <w:r>
              <w:rPr>
                <w:noProof/>
                <w:kern w:val="2"/>
                <w:sz w:val="24"/>
                <w:szCs w:val="24"/>
                <w14:ligatures w14:val="standardContextual"/>
              </w:rPr>
              <w:tab/>
            </w:r>
            <w:r w:rsidRPr="00D55CA6">
              <w:rPr>
                <w:rStyle w:val="Hyperlink"/>
                <w:rFonts w:ascii="Arial" w:hAnsi="Arial" w:cs="Arial"/>
                <w:noProof/>
              </w:rPr>
              <w:t>Scope and Analytical Basis</w:t>
            </w:r>
            <w:r>
              <w:rPr>
                <w:noProof/>
                <w:webHidden/>
              </w:rPr>
              <w:tab/>
            </w:r>
            <w:r>
              <w:rPr>
                <w:noProof/>
                <w:webHidden/>
              </w:rPr>
              <w:fldChar w:fldCharType="begin"/>
            </w:r>
            <w:r>
              <w:rPr>
                <w:noProof/>
                <w:webHidden/>
              </w:rPr>
              <w:instrText xml:space="preserve"> PAGEREF _Toc235694610 \h </w:instrText>
            </w:r>
            <w:r>
              <w:rPr>
                <w:noProof/>
                <w:webHidden/>
              </w:rPr>
            </w:r>
            <w:r>
              <w:rPr>
                <w:noProof/>
                <w:webHidden/>
              </w:rPr>
              <w:fldChar w:fldCharType="separate"/>
            </w:r>
            <w:r>
              <w:rPr>
                <w:noProof/>
                <w:webHidden/>
              </w:rPr>
              <w:t>4</w:t>
            </w:r>
            <w:r>
              <w:rPr>
                <w:noProof/>
                <w:webHidden/>
              </w:rPr>
              <w:fldChar w:fldCharType="end"/>
            </w:r>
          </w:hyperlink>
        </w:p>
        <w:p w14:paraId="03855273" w14:textId="726A0798" w:rsidR="00557E8F" w:rsidRDefault="00557E8F">
          <w:pPr>
            <w:pStyle w:val="TOC2"/>
            <w:tabs>
              <w:tab w:val="left" w:pos="960"/>
              <w:tab w:val="right" w:leader="dot" w:pos="9016"/>
            </w:tabs>
            <w:rPr>
              <w:noProof/>
              <w:kern w:val="2"/>
              <w:sz w:val="24"/>
              <w:szCs w:val="24"/>
              <w14:ligatures w14:val="standardContextual"/>
            </w:rPr>
          </w:pPr>
          <w:hyperlink w:anchor="_Toc235694611" w:history="1">
            <w:r w:rsidRPr="00D55CA6">
              <w:rPr>
                <w:rStyle w:val="Hyperlink"/>
                <w:rFonts w:ascii="Arial" w:hAnsi="Arial" w:cs="Arial"/>
                <w:noProof/>
              </w:rPr>
              <w:t>1.2</w:t>
            </w:r>
            <w:r>
              <w:rPr>
                <w:noProof/>
                <w:kern w:val="2"/>
                <w:sz w:val="24"/>
                <w:szCs w:val="24"/>
                <w14:ligatures w14:val="standardContextual"/>
              </w:rPr>
              <w:tab/>
            </w:r>
            <w:r w:rsidRPr="00D55CA6">
              <w:rPr>
                <w:rStyle w:val="Hyperlink"/>
                <w:rFonts w:ascii="Arial" w:hAnsi="Arial" w:cs="Arial"/>
                <w:noProof/>
              </w:rPr>
              <w:t>Executive Assessment</w:t>
            </w:r>
            <w:r>
              <w:rPr>
                <w:noProof/>
                <w:webHidden/>
              </w:rPr>
              <w:tab/>
            </w:r>
            <w:r>
              <w:rPr>
                <w:noProof/>
                <w:webHidden/>
              </w:rPr>
              <w:fldChar w:fldCharType="begin"/>
            </w:r>
            <w:r>
              <w:rPr>
                <w:noProof/>
                <w:webHidden/>
              </w:rPr>
              <w:instrText xml:space="preserve"> PAGEREF _Toc235694611 \h </w:instrText>
            </w:r>
            <w:r>
              <w:rPr>
                <w:noProof/>
                <w:webHidden/>
              </w:rPr>
            </w:r>
            <w:r>
              <w:rPr>
                <w:noProof/>
                <w:webHidden/>
              </w:rPr>
              <w:fldChar w:fldCharType="separate"/>
            </w:r>
            <w:r>
              <w:rPr>
                <w:noProof/>
                <w:webHidden/>
              </w:rPr>
              <w:t>4</w:t>
            </w:r>
            <w:r>
              <w:rPr>
                <w:noProof/>
                <w:webHidden/>
              </w:rPr>
              <w:fldChar w:fldCharType="end"/>
            </w:r>
          </w:hyperlink>
        </w:p>
        <w:p w14:paraId="2CB8B00A" w14:textId="1C67071B" w:rsidR="00557E8F" w:rsidRDefault="00557E8F">
          <w:pPr>
            <w:pStyle w:val="TOC2"/>
            <w:tabs>
              <w:tab w:val="left" w:pos="960"/>
              <w:tab w:val="right" w:leader="dot" w:pos="9016"/>
            </w:tabs>
            <w:rPr>
              <w:noProof/>
              <w:kern w:val="2"/>
              <w:sz w:val="24"/>
              <w:szCs w:val="24"/>
              <w14:ligatures w14:val="standardContextual"/>
            </w:rPr>
          </w:pPr>
          <w:hyperlink w:anchor="_Toc235694612" w:history="1">
            <w:r w:rsidRPr="00D55CA6">
              <w:rPr>
                <w:rStyle w:val="Hyperlink"/>
                <w:noProof/>
              </w:rPr>
              <w:t>1.3</w:t>
            </w:r>
            <w:r>
              <w:rPr>
                <w:noProof/>
                <w:kern w:val="2"/>
                <w:sz w:val="24"/>
                <w:szCs w:val="24"/>
                <w14:ligatures w14:val="standardContextual"/>
              </w:rPr>
              <w:tab/>
            </w:r>
            <w:r w:rsidRPr="00D55CA6">
              <w:rPr>
                <w:rStyle w:val="Hyperlink"/>
                <w:noProof/>
              </w:rPr>
              <w:t>Financial-Statement and Profitability Analysis</w:t>
            </w:r>
            <w:r>
              <w:rPr>
                <w:noProof/>
                <w:webHidden/>
              </w:rPr>
              <w:tab/>
            </w:r>
            <w:r>
              <w:rPr>
                <w:noProof/>
                <w:webHidden/>
              </w:rPr>
              <w:fldChar w:fldCharType="begin"/>
            </w:r>
            <w:r>
              <w:rPr>
                <w:noProof/>
                <w:webHidden/>
              </w:rPr>
              <w:instrText xml:space="preserve"> PAGEREF _Toc235694612 \h </w:instrText>
            </w:r>
            <w:r>
              <w:rPr>
                <w:noProof/>
                <w:webHidden/>
              </w:rPr>
            </w:r>
            <w:r>
              <w:rPr>
                <w:noProof/>
                <w:webHidden/>
              </w:rPr>
              <w:fldChar w:fldCharType="separate"/>
            </w:r>
            <w:r>
              <w:rPr>
                <w:noProof/>
                <w:webHidden/>
              </w:rPr>
              <w:t>5</w:t>
            </w:r>
            <w:r>
              <w:rPr>
                <w:noProof/>
                <w:webHidden/>
              </w:rPr>
              <w:fldChar w:fldCharType="end"/>
            </w:r>
          </w:hyperlink>
        </w:p>
        <w:p w14:paraId="44463431" w14:textId="024907B0" w:rsidR="00557E8F" w:rsidRDefault="00557E8F">
          <w:pPr>
            <w:pStyle w:val="TOC2"/>
            <w:tabs>
              <w:tab w:val="left" w:pos="960"/>
              <w:tab w:val="right" w:leader="dot" w:pos="9016"/>
            </w:tabs>
            <w:rPr>
              <w:noProof/>
              <w:kern w:val="2"/>
              <w:sz w:val="24"/>
              <w:szCs w:val="24"/>
              <w14:ligatures w14:val="standardContextual"/>
            </w:rPr>
          </w:pPr>
          <w:hyperlink w:anchor="_Toc235694613" w:history="1">
            <w:r w:rsidRPr="00D55CA6">
              <w:rPr>
                <w:rStyle w:val="Hyperlink"/>
                <w:rFonts w:ascii="Arial" w:hAnsi="Arial" w:cs="Arial"/>
                <w:noProof/>
              </w:rPr>
              <w:t>1.4</w:t>
            </w:r>
            <w:r>
              <w:rPr>
                <w:noProof/>
                <w:kern w:val="2"/>
                <w:sz w:val="24"/>
                <w:szCs w:val="24"/>
                <w14:ligatures w14:val="standardContextual"/>
              </w:rPr>
              <w:tab/>
            </w:r>
            <w:r w:rsidRPr="00D55CA6">
              <w:rPr>
                <w:rStyle w:val="Hyperlink"/>
                <w:rFonts w:ascii="Arial" w:hAnsi="Arial" w:cs="Arial"/>
                <w:noProof/>
              </w:rPr>
              <w:t>Liquidity and Working-Capital Management</w:t>
            </w:r>
            <w:r>
              <w:rPr>
                <w:noProof/>
                <w:webHidden/>
              </w:rPr>
              <w:tab/>
            </w:r>
            <w:r>
              <w:rPr>
                <w:noProof/>
                <w:webHidden/>
              </w:rPr>
              <w:fldChar w:fldCharType="begin"/>
            </w:r>
            <w:r>
              <w:rPr>
                <w:noProof/>
                <w:webHidden/>
              </w:rPr>
              <w:instrText xml:space="preserve"> PAGEREF _Toc235694613 \h </w:instrText>
            </w:r>
            <w:r>
              <w:rPr>
                <w:noProof/>
                <w:webHidden/>
              </w:rPr>
            </w:r>
            <w:r>
              <w:rPr>
                <w:noProof/>
                <w:webHidden/>
              </w:rPr>
              <w:fldChar w:fldCharType="separate"/>
            </w:r>
            <w:r>
              <w:rPr>
                <w:noProof/>
                <w:webHidden/>
              </w:rPr>
              <w:t>6</w:t>
            </w:r>
            <w:r>
              <w:rPr>
                <w:noProof/>
                <w:webHidden/>
              </w:rPr>
              <w:fldChar w:fldCharType="end"/>
            </w:r>
          </w:hyperlink>
        </w:p>
        <w:p w14:paraId="544D1D5B" w14:textId="32FE418E" w:rsidR="00557E8F" w:rsidRDefault="00557E8F">
          <w:pPr>
            <w:pStyle w:val="TOC2"/>
            <w:tabs>
              <w:tab w:val="left" w:pos="960"/>
              <w:tab w:val="right" w:leader="dot" w:pos="9016"/>
            </w:tabs>
            <w:rPr>
              <w:noProof/>
              <w:kern w:val="2"/>
              <w:sz w:val="24"/>
              <w:szCs w:val="24"/>
              <w14:ligatures w14:val="standardContextual"/>
            </w:rPr>
          </w:pPr>
          <w:hyperlink w:anchor="_Toc235694614" w:history="1">
            <w:r w:rsidRPr="00D55CA6">
              <w:rPr>
                <w:rStyle w:val="Hyperlink"/>
                <w:rFonts w:ascii="Arial" w:hAnsi="Arial" w:cs="Arial"/>
                <w:noProof/>
              </w:rPr>
              <w:t>1.5</w:t>
            </w:r>
            <w:r>
              <w:rPr>
                <w:noProof/>
                <w:kern w:val="2"/>
                <w:sz w:val="24"/>
                <w:szCs w:val="24"/>
                <w14:ligatures w14:val="standardContextual"/>
              </w:rPr>
              <w:tab/>
            </w:r>
            <w:r w:rsidRPr="00D55CA6">
              <w:rPr>
                <w:rStyle w:val="Hyperlink"/>
                <w:rFonts w:ascii="Arial" w:hAnsi="Arial" w:cs="Arial"/>
                <w:noProof/>
              </w:rPr>
              <w:t>Efficiency Analysis</w:t>
            </w:r>
            <w:r>
              <w:rPr>
                <w:noProof/>
                <w:webHidden/>
              </w:rPr>
              <w:tab/>
            </w:r>
            <w:r>
              <w:rPr>
                <w:noProof/>
                <w:webHidden/>
              </w:rPr>
              <w:fldChar w:fldCharType="begin"/>
            </w:r>
            <w:r>
              <w:rPr>
                <w:noProof/>
                <w:webHidden/>
              </w:rPr>
              <w:instrText xml:space="preserve"> PAGEREF _Toc235694614 \h </w:instrText>
            </w:r>
            <w:r>
              <w:rPr>
                <w:noProof/>
                <w:webHidden/>
              </w:rPr>
            </w:r>
            <w:r>
              <w:rPr>
                <w:noProof/>
                <w:webHidden/>
              </w:rPr>
              <w:fldChar w:fldCharType="separate"/>
            </w:r>
            <w:r>
              <w:rPr>
                <w:noProof/>
                <w:webHidden/>
              </w:rPr>
              <w:t>6</w:t>
            </w:r>
            <w:r>
              <w:rPr>
                <w:noProof/>
                <w:webHidden/>
              </w:rPr>
              <w:fldChar w:fldCharType="end"/>
            </w:r>
          </w:hyperlink>
        </w:p>
        <w:p w14:paraId="2D6C18EE" w14:textId="445DC069" w:rsidR="00557E8F" w:rsidRDefault="00557E8F">
          <w:pPr>
            <w:pStyle w:val="TOC2"/>
            <w:tabs>
              <w:tab w:val="left" w:pos="960"/>
              <w:tab w:val="right" w:leader="dot" w:pos="9016"/>
            </w:tabs>
            <w:rPr>
              <w:noProof/>
              <w:kern w:val="2"/>
              <w:sz w:val="24"/>
              <w:szCs w:val="24"/>
              <w14:ligatures w14:val="standardContextual"/>
            </w:rPr>
          </w:pPr>
          <w:hyperlink w:anchor="_Toc235694615" w:history="1">
            <w:r w:rsidRPr="00D55CA6">
              <w:rPr>
                <w:rStyle w:val="Hyperlink"/>
                <w:rFonts w:ascii="Arial" w:hAnsi="Arial" w:cs="Arial"/>
                <w:noProof/>
              </w:rPr>
              <w:t>1.6</w:t>
            </w:r>
            <w:r>
              <w:rPr>
                <w:noProof/>
                <w:kern w:val="2"/>
                <w:sz w:val="24"/>
                <w:szCs w:val="24"/>
                <w14:ligatures w14:val="standardContextual"/>
              </w:rPr>
              <w:tab/>
            </w:r>
            <w:r w:rsidRPr="00D55CA6">
              <w:rPr>
                <w:rStyle w:val="Hyperlink"/>
                <w:rFonts w:ascii="Arial" w:hAnsi="Arial" w:cs="Arial"/>
                <w:noProof/>
              </w:rPr>
              <w:t>Gearing, Investment and Cash-Flow Analysis</w:t>
            </w:r>
            <w:r>
              <w:rPr>
                <w:noProof/>
                <w:webHidden/>
              </w:rPr>
              <w:tab/>
            </w:r>
            <w:r>
              <w:rPr>
                <w:noProof/>
                <w:webHidden/>
              </w:rPr>
              <w:fldChar w:fldCharType="begin"/>
            </w:r>
            <w:r>
              <w:rPr>
                <w:noProof/>
                <w:webHidden/>
              </w:rPr>
              <w:instrText xml:space="preserve"> PAGEREF _Toc235694615 \h </w:instrText>
            </w:r>
            <w:r>
              <w:rPr>
                <w:noProof/>
                <w:webHidden/>
              </w:rPr>
            </w:r>
            <w:r>
              <w:rPr>
                <w:noProof/>
                <w:webHidden/>
              </w:rPr>
              <w:fldChar w:fldCharType="separate"/>
            </w:r>
            <w:r>
              <w:rPr>
                <w:noProof/>
                <w:webHidden/>
              </w:rPr>
              <w:t>6</w:t>
            </w:r>
            <w:r>
              <w:rPr>
                <w:noProof/>
                <w:webHidden/>
              </w:rPr>
              <w:fldChar w:fldCharType="end"/>
            </w:r>
          </w:hyperlink>
        </w:p>
        <w:p w14:paraId="27053961" w14:textId="5667BDB8" w:rsidR="00557E8F" w:rsidRDefault="00557E8F">
          <w:pPr>
            <w:pStyle w:val="TOC2"/>
            <w:tabs>
              <w:tab w:val="left" w:pos="960"/>
              <w:tab w:val="right" w:leader="dot" w:pos="9016"/>
            </w:tabs>
            <w:rPr>
              <w:noProof/>
              <w:kern w:val="2"/>
              <w:sz w:val="24"/>
              <w:szCs w:val="24"/>
              <w14:ligatures w14:val="standardContextual"/>
            </w:rPr>
          </w:pPr>
          <w:hyperlink w:anchor="_Toc235694616" w:history="1">
            <w:r w:rsidRPr="00D55CA6">
              <w:rPr>
                <w:rStyle w:val="Hyperlink"/>
                <w:rFonts w:ascii="Arial" w:hAnsi="Arial" w:cs="Arial"/>
                <w:noProof/>
              </w:rPr>
              <w:t>1.7</w:t>
            </w:r>
            <w:r>
              <w:rPr>
                <w:noProof/>
                <w:kern w:val="2"/>
                <w:sz w:val="24"/>
                <w:szCs w:val="24"/>
                <w14:ligatures w14:val="standardContextual"/>
              </w:rPr>
              <w:tab/>
            </w:r>
            <w:r w:rsidRPr="00D55CA6">
              <w:rPr>
                <w:rStyle w:val="Hyperlink"/>
                <w:rFonts w:ascii="Arial" w:hAnsi="Arial" w:cs="Arial"/>
                <w:noProof/>
              </w:rPr>
              <w:t>Liquidity Comparison with Sector Benchmarks</w:t>
            </w:r>
            <w:r>
              <w:rPr>
                <w:noProof/>
                <w:webHidden/>
              </w:rPr>
              <w:tab/>
            </w:r>
            <w:r>
              <w:rPr>
                <w:noProof/>
                <w:webHidden/>
              </w:rPr>
              <w:fldChar w:fldCharType="begin"/>
            </w:r>
            <w:r>
              <w:rPr>
                <w:noProof/>
                <w:webHidden/>
              </w:rPr>
              <w:instrText xml:space="preserve"> PAGEREF _Toc235694616 \h </w:instrText>
            </w:r>
            <w:r>
              <w:rPr>
                <w:noProof/>
                <w:webHidden/>
              </w:rPr>
            </w:r>
            <w:r>
              <w:rPr>
                <w:noProof/>
                <w:webHidden/>
              </w:rPr>
              <w:fldChar w:fldCharType="separate"/>
            </w:r>
            <w:r>
              <w:rPr>
                <w:noProof/>
                <w:webHidden/>
              </w:rPr>
              <w:t>8</w:t>
            </w:r>
            <w:r>
              <w:rPr>
                <w:noProof/>
                <w:webHidden/>
              </w:rPr>
              <w:fldChar w:fldCharType="end"/>
            </w:r>
          </w:hyperlink>
        </w:p>
        <w:p w14:paraId="0E770CB1" w14:textId="6B1C9DC2" w:rsidR="00557E8F" w:rsidRDefault="00557E8F">
          <w:pPr>
            <w:pStyle w:val="TOC2"/>
            <w:tabs>
              <w:tab w:val="left" w:pos="960"/>
              <w:tab w:val="right" w:leader="dot" w:pos="9016"/>
            </w:tabs>
            <w:rPr>
              <w:noProof/>
              <w:kern w:val="2"/>
              <w:sz w:val="24"/>
              <w:szCs w:val="24"/>
              <w14:ligatures w14:val="standardContextual"/>
            </w:rPr>
          </w:pPr>
          <w:hyperlink w:anchor="_Toc235694617" w:history="1">
            <w:r w:rsidRPr="00D55CA6">
              <w:rPr>
                <w:rStyle w:val="Hyperlink"/>
                <w:rFonts w:ascii="Arial" w:hAnsi="Arial" w:cs="Arial"/>
                <w:noProof/>
              </w:rPr>
              <w:t>1.8</w:t>
            </w:r>
            <w:r>
              <w:rPr>
                <w:noProof/>
                <w:kern w:val="2"/>
                <w:sz w:val="24"/>
                <w:szCs w:val="24"/>
                <w14:ligatures w14:val="standardContextual"/>
              </w:rPr>
              <w:tab/>
            </w:r>
            <w:r w:rsidRPr="00D55CA6">
              <w:rPr>
                <w:rStyle w:val="Hyperlink"/>
                <w:rFonts w:ascii="Arial" w:hAnsi="Arial" w:cs="Arial"/>
                <w:noProof/>
              </w:rPr>
              <w:t>Trends, Threats and Recommended CFO Strategy</w:t>
            </w:r>
            <w:r>
              <w:rPr>
                <w:noProof/>
                <w:webHidden/>
              </w:rPr>
              <w:tab/>
            </w:r>
            <w:r>
              <w:rPr>
                <w:noProof/>
                <w:webHidden/>
              </w:rPr>
              <w:fldChar w:fldCharType="begin"/>
            </w:r>
            <w:r>
              <w:rPr>
                <w:noProof/>
                <w:webHidden/>
              </w:rPr>
              <w:instrText xml:space="preserve"> PAGEREF _Toc235694617 \h </w:instrText>
            </w:r>
            <w:r>
              <w:rPr>
                <w:noProof/>
                <w:webHidden/>
              </w:rPr>
            </w:r>
            <w:r>
              <w:rPr>
                <w:noProof/>
                <w:webHidden/>
              </w:rPr>
              <w:fldChar w:fldCharType="separate"/>
            </w:r>
            <w:r>
              <w:rPr>
                <w:noProof/>
                <w:webHidden/>
              </w:rPr>
              <w:t>9</w:t>
            </w:r>
            <w:r>
              <w:rPr>
                <w:noProof/>
                <w:webHidden/>
              </w:rPr>
              <w:fldChar w:fldCharType="end"/>
            </w:r>
          </w:hyperlink>
        </w:p>
        <w:p w14:paraId="082E9C99" w14:textId="143C76CE" w:rsidR="00557E8F" w:rsidRDefault="00557E8F">
          <w:pPr>
            <w:pStyle w:val="TOC1"/>
            <w:tabs>
              <w:tab w:val="left" w:pos="480"/>
              <w:tab w:val="right" w:leader="dot" w:pos="9016"/>
            </w:tabs>
            <w:rPr>
              <w:noProof/>
              <w:kern w:val="2"/>
              <w:sz w:val="24"/>
              <w:szCs w:val="24"/>
              <w14:ligatures w14:val="standardContextual"/>
            </w:rPr>
          </w:pPr>
          <w:hyperlink w:anchor="_Toc235694618" w:history="1">
            <w:r w:rsidRPr="00D55CA6">
              <w:rPr>
                <w:rStyle w:val="Hyperlink"/>
                <w:rFonts w:ascii="Arial" w:hAnsi="Arial" w:cs="Arial"/>
                <w:noProof/>
              </w:rPr>
              <w:t>2</w:t>
            </w:r>
            <w:r>
              <w:rPr>
                <w:noProof/>
                <w:kern w:val="2"/>
                <w:sz w:val="24"/>
                <w:szCs w:val="24"/>
                <w14:ligatures w14:val="standardContextual"/>
              </w:rPr>
              <w:tab/>
            </w:r>
            <w:r w:rsidRPr="00D55CA6">
              <w:rPr>
                <w:rStyle w:val="Hyperlink"/>
                <w:rFonts w:ascii="Arial" w:hAnsi="Arial" w:cs="Arial"/>
                <w:noProof/>
              </w:rPr>
              <w:t>Working Capital Management Analysis</w:t>
            </w:r>
            <w:r>
              <w:rPr>
                <w:noProof/>
                <w:webHidden/>
              </w:rPr>
              <w:tab/>
            </w:r>
            <w:r>
              <w:rPr>
                <w:noProof/>
                <w:webHidden/>
              </w:rPr>
              <w:fldChar w:fldCharType="begin"/>
            </w:r>
            <w:r>
              <w:rPr>
                <w:noProof/>
                <w:webHidden/>
              </w:rPr>
              <w:instrText xml:space="preserve"> PAGEREF _Toc235694618 \h </w:instrText>
            </w:r>
            <w:r>
              <w:rPr>
                <w:noProof/>
                <w:webHidden/>
              </w:rPr>
            </w:r>
            <w:r>
              <w:rPr>
                <w:noProof/>
                <w:webHidden/>
              </w:rPr>
              <w:fldChar w:fldCharType="separate"/>
            </w:r>
            <w:r>
              <w:rPr>
                <w:noProof/>
                <w:webHidden/>
              </w:rPr>
              <w:t>10</w:t>
            </w:r>
            <w:r>
              <w:rPr>
                <w:noProof/>
                <w:webHidden/>
              </w:rPr>
              <w:fldChar w:fldCharType="end"/>
            </w:r>
          </w:hyperlink>
        </w:p>
        <w:p w14:paraId="7F3A5931" w14:textId="05403B6F" w:rsidR="00557E8F" w:rsidRDefault="00557E8F">
          <w:pPr>
            <w:pStyle w:val="TOC2"/>
            <w:tabs>
              <w:tab w:val="left" w:pos="960"/>
              <w:tab w:val="right" w:leader="dot" w:pos="9016"/>
            </w:tabs>
            <w:rPr>
              <w:noProof/>
              <w:kern w:val="2"/>
              <w:sz w:val="24"/>
              <w:szCs w:val="24"/>
              <w14:ligatures w14:val="standardContextual"/>
            </w:rPr>
          </w:pPr>
          <w:hyperlink w:anchor="_Toc235694619" w:history="1">
            <w:r w:rsidRPr="00D55CA6">
              <w:rPr>
                <w:rStyle w:val="Hyperlink"/>
                <w:rFonts w:ascii="Arial" w:hAnsi="Arial" w:cs="Arial"/>
                <w:noProof/>
              </w:rPr>
              <w:t>2.1</w:t>
            </w:r>
            <w:r>
              <w:rPr>
                <w:noProof/>
                <w:kern w:val="2"/>
                <w:sz w:val="24"/>
                <w:szCs w:val="24"/>
                <w14:ligatures w14:val="standardContextual"/>
              </w:rPr>
              <w:tab/>
            </w:r>
            <w:r w:rsidRPr="00D55CA6">
              <w:rPr>
                <w:rStyle w:val="Hyperlink"/>
                <w:rFonts w:ascii="Arial" w:hAnsi="Arial" w:cs="Arial"/>
                <w:noProof/>
              </w:rPr>
              <w:t>Cash Operating Cycle</w:t>
            </w:r>
            <w:r>
              <w:rPr>
                <w:noProof/>
                <w:webHidden/>
              </w:rPr>
              <w:tab/>
            </w:r>
            <w:r>
              <w:rPr>
                <w:noProof/>
                <w:webHidden/>
              </w:rPr>
              <w:fldChar w:fldCharType="begin"/>
            </w:r>
            <w:r>
              <w:rPr>
                <w:noProof/>
                <w:webHidden/>
              </w:rPr>
              <w:instrText xml:space="preserve"> PAGEREF _Toc235694619 \h </w:instrText>
            </w:r>
            <w:r>
              <w:rPr>
                <w:noProof/>
                <w:webHidden/>
              </w:rPr>
            </w:r>
            <w:r>
              <w:rPr>
                <w:noProof/>
                <w:webHidden/>
              </w:rPr>
              <w:fldChar w:fldCharType="separate"/>
            </w:r>
            <w:r>
              <w:rPr>
                <w:noProof/>
                <w:webHidden/>
              </w:rPr>
              <w:t>10</w:t>
            </w:r>
            <w:r>
              <w:rPr>
                <w:noProof/>
                <w:webHidden/>
              </w:rPr>
              <w:fldChar w:fldCharType="end"/>
            </w:r>
          </w:hyperlink>
        </w:p>
        <w:p w14:paraId="7C7CB52B" w14:textId="5D805463" w:rsidR="00557E8F" w:rsidRDefault="00557E8F">
          <w:pPr>
            <w:pStyle w:val="TOC2"/>
            <w:tabs>
              <w:tab w:val="left" w:pos="960"/>
              <w:tab w:val="right" w:leader="dot" w:pos="9016"/>
            </w:tabs>
            <w:rPr>
              <w:noProof/>
              <w:kern w:val="2"/>
              <w:sz w:val="24"/>
              <w:szCs w:val="24"/>
              <w14:ligatures w14:val="standardContextual"/>
            </w:rPr>
          </w:pPr>
          <w:hyperlink w:anchor="_Toc235694620" w:history="1">
            <w:r w:rsidRPr="00D55CA6">
              <w:rPr>
                <w:rStyle w:val="Hyperlink"/>
                <w:rFonts w:ascii="Arial" w:hAnsi="Arial" w:cs="Arial"/>
                <w:noProof/>
              </w:rPr>
              <w:t>2.2</w:t>
            </w:r>
            <w:r>
              <w:rPr>
                <w:noProof/>
                <w:kern w:val="2"/>
                <w:sz w:val="24"/>
                <w:szCs w:val="24"/>
                <w14:ligatures w14:val="standardContextual"/>
              </w:rPr>
              <w:tab/>
            </w:r>
            <w:r w:rsidRPr="00D55CA6">
              <w:rPr>
                <w:rStyle w:val="Hyperlink"/>
                <w:rFonts w:ascii="Arial" w:hAnsi="Arial" w:cs="Arial"/>
                <w:noProof/>
              </w:rPr>
              <w:t>Working Capital Reforms</w:t>
            </w:r>
            <w:r>
              <w:rPr>
                <w:noProof/>
                <w:webHidden/>
              </w:rPr>
              <w:tab/>
            </w:r>
            <w:r>
              <w:rPr>
                <w:noProof/>
                <w:webHidden/>
              </w:rPr>
              <w:fldChar w:fldCharType="begin"/>
            </w:r>
            <w:r>
              <w:rPr>
                <w:noProof/>
                <w:webHidden/>
              </w:rPr>
              <w:instrText xml:space="preserve"> PAGEREF _Toc235694620 \h </w:instrText>
            </w:r>
            <w:r>
              <w:rPr>
                <w:noProof/>
                <w:webHidden/>
              </w:rPr>
            </w:r>
            <w:r>
              <w:rPr>
                <w:noProof/>
                <w:webHidden/>
              </w:rPr>
              <w:fldChar w:fldCharType="separate"/>
            </w:r>
            <w:r>
              <w:rPr>
                <w:noProof/>
                <w:webHidden/>
              </w:rPr>
              <w:t>10</w:t>
            </w:r>
            <w:r>
              <w:rPr>
                <w:noProof/>
                <w:webHidden/>
              </w:rPr>
              <w:fldChar w:fldCharType="end"/>
            </w:r>
          </w:hyperlink>
        </w:p>
        <w:p w14:paraId="573F22F0" w14:textId="66A658BA" w:rsidR="00557E8F" w:rsidRDefault="00557E8F">
          <w:pPr>
            <w:pStyle w:val="TOC2"/>
            <w:tabs>
              <w:tab w:val="left" w:pos="960"/>
              <w:tab w:val="right" w:leader="dot" w:pos="9016"/>
            </w:tabs>
            <w:rPr>
              <w:noProof/>
              <w:kern w:val="2"/>
              <w:sz w:val="24"/>
              <w:szCs w:val="24"/>
              <w14:ligatures w14:val="standardContextual"/>
            </w:rPr>
          </w:pPr>
          <w:hyperlink w:anchor="_Toc235694621" w:history="1">
            <w:r w:rsidRPr="00D55CA6">
              <w:rPr>
                <w:rStyle w:val="Hyperlink"/>
                <w:rFonts w:ascii="Arial" w:hAnsi="Arial" w:cs="Arial"/>
                <w:noProof/>
              </w:rPr>
              <w:t>2.3</w:t>
            </w:r>
            <w:r>
              <w:rPr>
                <w:noProof/>
                <w:kern w:val="2"/>
                <w:sz w:val="24"/>
                <w:szCs w:val="24"/>
                <w14:ligatures w14:val="standardContextual"/>
              </w:rPr>
              <w:tab/>
            </w:r>
            <w:r w:rsidRPr="00D55CA6">
              <w:rPr>
                <w:rStyle w:val="Hyperlink"/>
                <w:rFonts w:ascii="Arial" w:hAnsi="Arial" w:cs="Arial"/>
                <w:noProof/>
              </w:rPr>
              <w:t>Short-Term versus Long-Term Financing</w:t>
            </w:r>
            <w:r>
              <w:rPr>
                <w:noProof/>
                <w:webHidden/>
              </w:rPr>
              <w:tab/>
            </w:r>
            <w:r>
              <w:rPr>
                <w:noProof/>
                <w:webHidden/>
              </w:rPr>
              <w:fldChar w:fldCharType="begin"/>
            </w:r>
            <w:r>
              <w:rPr>
                <w:noProof/>
                <w:webHidden/>
              </w:rPr>
              <w:instrText xml:space="preserve"> PAGEREF _Toc235694621 \h </w:instrText>
            </w:r>
            <w:r>
              <w:rPr>
                <w:noProof/>
                <w:webHidden/>
              </w:rPr>
            </w:r>
            <w:r>
              <w:rPr>
                <w:noProof/>
                <w:webHidden/>
              </w:rPr>
              <w:fldChar w:fldCharType="separate"/>
            </w:r>
            <w:r>
              <w:rPr>
                <w:noProof/>
                <w:webHidden/>
              </w:rPr>
              <w:t>11</w:t>
            </w:r>
            <w:r>
              <w:rPr>
                <w:noProof/>
                <w:webHidden/>
              </w:rPr>
              <w:fldChar w:fldCharType="end"/>
            </w:r>
          </w:hyperlink>
        </w:p>
        <w:p w14:paraId="2C2C35D1" w14:textId="165DBEE3" w:rsidR="00557E8F" w:rsidRDefault="00557E8F">
          <w:pPr>
            <w:pStyle w:val="TOC1"/>
            <w:tabs>
              <w:tab w:val="left" w:pos="480"/>
              <w:tab w:val="right" w:leader="dot" w:pos="9016"/>
            </w:tabs>
            <w:rPr>
              <w:noProof/>
              <w:kern w:val="2"/>
              <w:sz w:val="24"/>
              <w:szCs w:val="24"/>
              <w14:ligatures w14:val="standardContextual"/>
            </w:rPr>
          </w:pPr>
          <w:hyperlink w:anchor="_Toc235694622" w:history="1">
            <w:r w:rsidRPr="00D55CA6">
              <w:rPr>
                <w:rStyle w:val="Hyperlink"/>
                <w:rFonts w:ascii="Arial" w:hAnsi="Arial" w:cs="Arial"/>
                <w:noProof/>
              </w:rPr>
              <w:t>3</w:t>
            </w:r>
            <w:r>
              <w:rPr>
                <w:noProof/>
                <w:kern w:val="2"/>
                <w:sz w:val="24"/>
                <w:szCs w:val="24"/>
                <w14:ligatures w14:val="standardContextual"/>
              </w:rPr>
              <w:tab/>
            </w:r>
            <w:r w:rsidRPr="00D55CA6">
              <w:rPr>
                <w:rStyle w:val="Hyperlink"/>
                <w:rFonts w:ascii="Arial" w:hAnsi="Arial" w:cs="Arial"/>
                <w:noProof/>
              </w:rPr>
              <w:t>Strategic Financial Restructuring Plan</w:t>
            </w:r>
            <w:r>
              <w:rPr>
                <w:noProof/>
                <w:webHidden/>
              </w:rPr>
              <w:tab/>
            </w:r>
            <w:r>
              <w:rPr>
                <w:noProof/>
                <w:webHidden/>
              </w:rPr>
              <w:fldChar w:fldCharType="begin"/>
            </w:r>
            <w:r>
              <w:rPr>
                <w:noProof/>
                <w:webHidden/>
              </w:rPr>
              <w:instrText xml:space="preserve"> PAGEREF _Toc235694622 \h </w:instrText>
            </w:r>
            <w:r>
              <w:rPr>
                <w:noProof/>
                <w:webHidden/>
              </w:rPr>
            </w:r>
            <w:r>
              <w:rPr>
                <w:noProof/>
                <w:webHidden/>
              </w:rPr>
              <w:fldChar w:fldCharType="separate"/>
            </w:r>
            <w:r>
              <w:rPr>
                <w:noProof/>
                <w:webHidden/>
              </w:rPr>
              <w:t>12</w:t>
            </w:r>
            <w:r>
              <w:rPr>
                <w:noProof/>
                <w:webHidden/>
              </w:rPr>
              <w:fldChar w:fldCharType="end"/>
            </w:r>
          </w:hyperlink>
        </w:p>
        <w:p w14:paraId="37196A98" w14:textId="6FF76672" w:rsidR="00557E8F" w:rsidRDefault="00557E8F">
          <w:pPr>
            <w:pStyle w:val="TOC2"/>
            <w:tabs>
              <w:tab w:val="left" w:pos="960"/>
              <w:tab w:val="right" w:leader="dot" w:pos="9016"/>
            </w:tabs>
            <w:rPr>
              <w:noProof/>
              <w:kern w:val="2"/>
              <w:sz w:val="24"/>
              <w:szCs w:val="24"/>
              <w14:ligatures w14:val="standardContextual"/>
            </w:rPr>
          </w:pPr>
          <w:hyperlink w:anchor="_Toc235694623" w:history="1">
            <w:r w:rsidRPr="00D55CA6">
              <w:rPr>
                <w:rStyle w:val="Hyperlink"/>
                <w:rFonts w:ascii="Arial" w:hAnsi="Arial" w:cs="Arial"/>
                <w:noProof/>
              </w:rPr>
              <w:t>3.1</w:t>
            </w:r>
            <w:r>
              <w:rPr>
                <w:noProof/>
                <w:kern w:val="2"/>
                <w:sz w:val="24"/>
                <w:szCs w:val="24"/>
                <w14:ligatures w14:val="standardContextual"/>
              </w:rPr>
              <w:tab/>
            </w:r>
            <w:r w:rsidRPr="00D55CA6">
              <w:rPr>
                <w:rStyle w:val="Hyperlink"/>
                <w:rFonts w:ascii="Arial" w:hAnsi="Arial" w:cs="Arial"/>
                <w:noProof/>
              </w:rPr>
              <w:t>Restructuring Objective</w:t>
            </w:r>
            <w:r>
              <w:rPr>
                <w:noProof/>
                <w:webHidden/>
              </w:rPr>
              <w:tab/>
            </w:r>
            <w:r>
              <w:rPr>
                <w:noProof/>
                <w:webHidden/>
              </w:rPr>
              <w:fldChar w:fldCharType="begin"/>
            </w:r>
            <w:r>
              <w:rPr>
                <w:noProof/>
                <w:webHidden/>
              </w:rPr>
              <w:instrText xml:space="preserve"> PAGEREF _Toc235694623 \h </w:instrText>
            </w:r>
            <w:r>
              <w:rPr>
                <w:noProof/>
                <w:webHidden/>
              </w:rPr>
            </w:r>
            <w:r>
              <w:rPr>
                <w:noProof/>
                <w:webHidden/>
              </w:rPr>
              <w:fldChar w:fldCharType="separate"/>
            </w:r>
            <w:r>
              <w:rPr>
                <w:noProof/>
                <w:webHidden/>
              </w:rPr>
              <w:t>12</w:t>
            </w:r>
            <w:r>
              <w:rPr>
                <w:noProof/>
                <w:webHidden/>
              </w:rPr>
              <w:fldChar w:fldCharType="end"/>
            </w:r>
          </w:hyperlink>
        </w:p>
        <w:p w14:paraId="651B10A0" w14:textId="149DC315" w:rsidR="00557E8F" w:rsidRDefault="00557E8F">
          <w:pPr>
            <w:pStyle w:val="TOC2"/>
            <w:tabs>
              <w:tab w:val="left" w:pos="960"/>
              <w:tab w:val="right" w:leader="dot" w:pos="9016"/>
            </w:tabs>
            <w:rPr>
              <w:noProof/>
              <w:kern w:val="2"/>
              <w:sz w:val="24"/>
              <w:szCs w:val="24"/>
              <w14:ligatures w14:val="standardContextual"/>
            </w:rPr>
          </w:pPr>
          <w:hyperlink w:anchor="_Toc235694624" w:history="1">
            <w:r w:rsidRPr="00D55CA6">
              <w:rPr>
                <w:rStyle w:val="Hyperlink"/>
                <w:rFonts w:ascii="Arial" w:hAnsi="Arial" w:cs="Arial"/>
                <w:noProof/>
              </w:rPr>
              <w:t>3.2</w:t>
            </w:r>
            <w:r>
              <w:rPr>
                <w:noProof/>
                <w:kern w:val="2"/>
                <w:sz w:val="24"/>
                <w:szCs w:val="24"/>
                <w14:ligatures w14:val="standardContextual"/>
              </w:rPr>
              <w:tab/>
            </w:r>
            <w:r w:rsidRPr="00D55CA6">
              <w:rPr>
                <w:rStyle w:val="Hyperlink"/>
                <w:rFonts w:ascii="Arial" w:hAnsi="Arial" w:cs="Arial"/>
                <w:noProof/>
              </w:rPr>
              <w:t>Recommended Restructuring Options</w:t>
            </w:r>
            <w:r>
              <w:rPr>
                <w:noProof/>
                <w:webHidden/>
              </w:rPr>
              <w:tab/>
            </w:r>
            <w:r>
              <w:rPr>
                <w:noProof/>
                <w:webHidden/>
              </w:rPr>
              <w:fldChar w:fldCharType="begin"/>
            </w:r>
            <w:r>
              <w:rPr>
                <w:noProof/>
                <w:webHidden/>
              </w:rPr>
              <w:instrText xml:space="preserve"> PAGEREF _Toc235694624 \h </w:instrText>
            </w:r>
            <w:r>
              <w:rPr>
                <w:noProof/>
                <w:webHidden/>
              </w:rPr>
            </w:r>
            <w:r>
              <w:rPr>
                <w:noProof/>
                <w:webHidden/>
              </w:rPr>
              <w:fldChar w:fldCharType="separate"/>
            </w:r>
            <w:r>
              <w:rPr>
                <w:noProof/>
                <w:webHidden/>
              </w:rPr>
              <w:t>12</w:t>
            </w:r>
            <w:r>
              <w:rPr>
                <w:noProof/>
                <w:webHidden/>
              </w:rPr>
              <w:fldChar w:fldCharType="end"/>
            </w:r>
          </w:hyperlink>
        </w:p>
        <w:p w14:paraId="5A59A7EF" w14:textId="6F5C7ECD" w:rsidR="00557E8F" w:rsidRDefault="00557E8F">
          <w:pPr>
            <w:pStyle w:val="TOC2"/>
            <w:tabs>
              <w:tab w:val="left" w:pos="960"/>
              <w:tab w:val="right" w:leader="dot" w:pos="9016"/>
            </w:tabs>
            <w:rPr>
              <w:noProof/>
              <w:kern w:val="2"/>
              <w:sz w:val="24"/>
              <w:szCs w:val="24"/>
              <w14:ligatures w14:val="standardContextual"/>
            </w:rPr>
          </w:pPr>
          <w:hyperlink w:anchor="_Toc235694625" w:history="1">
            <w:r w:rsidRPr="00D55CA6">
              <w:rPr>
                <w:rStyle w:val="Hyperlink"/>
                <w:rFonts w:ascii="Arial" w:hAnsi="Arial" w:cs="Arial"/>
                <w:noProof/>
              </w:rPr>
              <w:t>3.3</w:t>
            </w:r>
            <w:r>
              <w:rPr>
                <w:noProof/>
                <w:kern w:val="2"/>
                <w:sz w:val="24"/>
                <w:szCs w:val="24"/>
                <w14:ligatures w14:val="standardContextual"/>
              </w:rPr>
              <w:tab/>
            </w:r>
            <w:r w:rsidRPr="00D55CA6">
              <w:rPr>
                <w:rStyle w:val="Hyperlink"/>
                <w:rFonts w:ascii="Arial" w:hAnsi="Arial" w:cs="Arial"/>
                <w:noProof/>
              </w:rPr>
              <w:t>Impact on Shareholder Value, Debt and Flexibility</w:t>
            </w:r>
            <w:r>
              <w:rPr>
                <w:noProof/>
                <w:webHidden/>
              </w:rPr>
              <w:tab/>
            </w:r>
            <w:r>
              <w:rPr>
                <w:noProof/>
                <w:webHidden/>
              </w:rPr>
              <w:fldChar w:fldCharType="begin"/>
            </w:r>
            <w:r>
              <w:rPr>
                <w:noProof/>
                <w:webHidden/>
              </w:rPr>
              <w:instrText xml:space="preserve"> PAGEREF _Toc235694625 \h </w:instrText>
            </w:r>
            <w:r>
              <w:rPr>
                <w:noProof/>
                <w:webHidden/>
              </w:rPr>
            </w:r>
            <w:r>
              <w:rPr>
                <w:noProof/>
                <w:webHidden/>
              </w:rPr>
              <w:fldChar w:fldCharType="separate"/>
            </w:r>
            <w:r>
              <w:rPr>
                <w:noProof/>
                <w:webHidden/>
              </w:rPr>
              <w:t>13</w:t>
            </w:r>
            <w:r>
              <w:rPr>
                <w:noProof/>
                <w:webHidden/>
              </w:rPr>
              <w:fldChar w:fldCharType="end"/>
            </w:r>
          </w:hyperlink>
        </w:p>
        <w:p w14:paraId="3C8C658C" w14:textId="2D6A4056" w:rsidR="00557E8F" w:rsidRDefault="00557E8F">
          <w:pPr>
            <w:pStyle w:val="TOC2"/>
            <w:tabs>
              <w:tab w:val="left" w:pos="960"/>
              <w:tab w:val="right" w:leader="dot" w:pos="9016"/>
            </w:tabs>
            <w:rPr>
              <w:noProof/>
              <w:kern w:val="2"/>
              <w:sz w:val="24"/>
              <w:szCs w:val="24"/>
              <w14:ligatures w14:val="standardContextual"/>
            </w:rPr>
          </w:pPr>
          <w:hyperlink w:anchor="_Toc235694626" w:history="1">
            <w:r w:rsidRPr="00D55CA6">
              <w:rPr>
                <w:rStyle w:val="Hyperlink"/>
                <w:rFonts w:ascii="Arial" w:hAnsi="Arial" w:cs="Arial"/>
                <w:noProof/>
              </w:rPr>
              <w:t>3.4</w:t>
            </w:r>
            <w:r>
              <w:rPr>
                <w:noProof/>
                <w:kern w:val="2"/>
                <w:sz w:val="24"/>
                <w:szCs w:val="24"/>
                <w14:ligatures w14:val="standardContextual"/>
              </w:rPr>
              <w:tab/>
            </w:r>
            <w:r w:rsidRPr="00D55CA6">
              <w:rPr>
                <w:rStyle w:val="Hyperlink"/>
                <w:rFonts w:ascii="Arial" w:hAnsi="Arial" w:cs="Arial"/>
                <w:noProof/>
              </w:rPr>
              <w:t>International and Ethical Considerations</w:t>
            </w:r>
            <w:r>
              <w:rPr>
                <w:noProof/>
                <w:webHidden/>
              </w:rPr>
              <w:tab/>
            </w:r>
            <w:r>
              <w:rPr>
                <w:noProof/>
                <w:webHidden/>
              </w:rPr>
              <w:fldChar w:fldCharType="begin"/>
            </w:r>
            <w:r>
              <w:rPr>
                <w:noProof/>
                <w:webHidden/>
              </w:rPr>
              <w:instrText xml:space="preserve"> PAGEREF _Toc235694626 \h </w:instrText>
            </w:r>
            <w:r>
              <w:rPr>
                <w:noProof/>
                <w:webHidden/>
              </w:rPr>
            </w:r>
            <w:r>
              <w:rPr>
                <w:noProof/>
                <w:webHidden/>
              </w:rPr>
              <w:fldChar w:fldCharType="separate"/>
            </w:r>
            <w:r>
              <w:rPr>
                <w:noProof/>
                <w:webHidden/>
              </w:rPr>
              <w:t>13</w:t>
            </w:r>
            <w:r>
              <w:rPr>
                <w:noProof/>
                <w:webHidden/>
              </w:rPr>
              <w:fldChar w:fldCharType="end"/>
            </w:r>
          </w:hyperlink>
        </w:p>
        <w:p w14:paraId="71209103" w14:textId="1DFBCDA0" w:rsidR="00557E8F" w:rsidRDefault="00557E8F">
          <w:pPr>
            <w:pStyle w:val="TOC1"/>
            <w:tabs>
              <w:tab w:val="left" w:pos="480"/>
              <w:tab w:val="right" w:leader="dot" w:pos="9016"/>
            </w:tabs>
            <w:rPr>
              <w:noProof/>
              <w:kern w:val="2"/>
              <w:sz w:val="24"/>
              <w:szCs w:val="24"/>
              <w14:ligatures w14:val="standardContextual"/>
            </w:rPr>
          </w:pPr>
          <w:hyperlink w:anchor="_Toc235694627" w:history="1">
            <w:r w:rsidRPr="00D55CA6">
              <w:rPr>
                <w:rStyle w:val="Hyperlink"/>
                <w:rFonts w:ascii="Arial" w:hAnsi="Arial" w:cs="Arial"/>
                <w:noProof/>
              </w:rPr>
              <w:t>4</w:t>
            </w:r>
            <w:r>
              <w:rPr>
                <w:noProof/>
                <w:kern w:val="2"/>
                <w:sz w:val="24"/>
                <w:szCs w:val="24"/>
                <w14:ligatures w14:val="standardContextual"/>
              </w:rPr>
              <w:tab/>
            </w:r>
            <w:r w:rsidRPr="00D55CA6">
              <w:rPr>
                <w:rStyle w:val="Hyperlink"/>
                <w:rFonts w:ascii="Arial" w:hAnsi="Arial" w:cs="Arial"/>
                <w:noProof/>
              </w:rPr>
              <w:t>Investment Decision Summary</w:t>
            </w:r>
            <w:r>
              <w:rPr>
                <w:noProof/>
                <w:webHidden/>
              </w:rPr>
              <w:tab/>
            </w:r>
            <w:r>
              <w:rPr>
                <w:noProof/>
                <w:webHidden/>
              </w:rPr>
              <w:fldChar w:fldCharType="begin"/>
            </w:r>
            <w:r>
              <w:rPr>
                <w:noProof/>
                <w:webHidden/>
              </w:rPr>
              <w:instrText xml:space="preserve"> PAGEREF _Toc235694627 \h </w:instrText>
            </w:r>
            <w:r>
              <w:rPr>
                <w:noProof/>
                <w:webHidden/>
              </w:rPr>
            </w:r>
            <w:r>
              <w:rPr>
                <w:noProof/>
                <w:webHidden/>
              </w:rPr>
              <w:fldChar w:fldCharType="separate"/>
            </w:r>
            <w:r>
              <w:rPr>
                <w:noProof/>
                <w:webHidden/>
              </w:rPr>
              <w:t>14</w:t>
            </w:r>
            <w:r>
              <w:rPr>
                <w:noProof/>
                <w:webHidden/>
              </w:rPr>
              <w:fldChar w:fldCharType="end"/>
            </w:r>
          </w:hyperlink>
        </w:p>
        <w:p w14:paraId="0968022D" w14:textId="4D7F5020" w:rsidR="00557E8F" w:rsidRDefault="00557E8F">
          <w:pPr>
            <w:pStyle w:val="TOC2"/>
            <w:tabs>
              <w:tab w:val="left" w:pos="960"/>
              <w:tab w:val="right" w:leader="dot" w:pos="9016"/>
            </w:tabs>
            <w:rPr>
              <w:noProof/>
              <w:kern w:val="2"/>
              <w:sz w:val="24"/>
              <w:szCs w:val="24"/>
              <w14:ligatures w14:val="standardContextual"/>
            </w:rPr>
          </w:pPr>
          <w:hyperlink w:anchor="_Toc235694628" w:history="1">
            <w:r w:rsidRPr="00D55CA6">
              <w:rPr>
                <w:rStyle w:val="Hyperlink"/>
                <w:rFonts w:ascii="Arial" w:hAnsi="Arial" w:cs="Arial"/>
                <w:noProof/>
              </w:rPr>
              <w:t>4.1</w:t>
            </w:r>
            <w:r>
              <w:rPr>
                <w:noProof/>
                <w:kern w:val="2"/>
                <w:sz w:val="24"/>
                <w:szCs w:val="24"/>
                <w14:ligatures w14:val="standardContextual"/>
              </w:rPr>
              <w:tab/>
            </w:r>
            <w:r w:rsidRPr="00D55CA6">
              <w:rPr>
                <w:rStyle w:val="Hyperlink"/>
                <w:rFonts w:ascii="Arial" w:hAnsi="Arial" w:cs="Arial"/>
                <w:noProof/>
              </w:rPr>
              <w:t>Appraisal framework</w:t>
            </w:r>
            <w:r>
              <w:rPr>
                <w:noProof/>
                <w:webHidden/>
              </w:rPr>
              <w:tab/>
            </w:r>
            <w:r>
              <w:rPr>
                <w:noProof/>
                <w:webHidden/>
              </w:rPr>
              <w:fldChar w:fldCharType="begin"/>
            </w:r>
            <w:r>
              <w:rPr>
                <w:noProof/>
                <w:webHidden/>
              </w:rPr>
              <w:instrText xml:space="preserve"> PAGEREF _Toc235694628 \h </w:instrText>
            </w:r>
            <w:r>
              <w:rPr>
                <w:noProof/>
                <w:webHidden/>
              </w:rPr>
            </w:r>
            <w:r>
              <w:rPr>
                <w:noProof/>
                <w:webHidden/>
              </w:rPr>
              <w:fldChar w:fldCharType="separate"/>
            </w:r>
            <w:r>
              <w:rPr>
                <w:noProof/>
                <w:webHidden/>
              </w:rPr>
              <w:t>15</w:t>
            </w:r>
            <w:r>
              <w:rPr>
                <w:noProof/>
                <w:webHidden/>
              </w:rPr>
              <w:fldChar w:fldCharType="end"/>
            </w:r>
          </w:hyperlink>
        </w:p>
        <w:p w14:paraId="762822FB" w14:textId="168CC216" w:rsidR="00557E8F" w:rsidRDefault="00557E8F">
          <w:pPr>
            <w:pStyle w:val="TOC2"/>
            <w:tabs>
              <w:tab w:val="left" w:pos="960"/>
              <w:tab w:val="right" w:leader="dot" w:pos="9016"/>
            </w:tabs>
            <w:rPr>
              <w:noProof/>
              <w:kern w:val="2"/>
              <w:sz w:val="24"/>
              <w:szCs w:val="24"/>
              <w14:ligatures w14:val="standardContextual"/>
            </w:rPr>
          </w:pPr>
          <w:hyperlink w:anchor="_Toc235694629" w:history="1">
            <w:r w:rsidRPr="00D55CA6">
              <w:rPr>
                <w:rStyle w:val="Hyperlink"/>
                <w:rFonts w:ascii="Arial" w:hAnsi="Arial" w:cs="Arial"/>
                <w:noProof/>
              </w:rPr>
              <w:t>4.2</w:t>
            </w:r>
            <w:r>
              <w:rPr>
                <w:noProof/>
                <w:kern w:val="2"/>
                <w:sz w:val="24"/>
                <w:szCs w:val="24"/>
                <w14:ligatures w14:val="standardContextual"/>
              </w:rPr>
              <w:tab/>
            </w:r>
            <w:r w:rsidRPr="00D55CA6">
              <w:rPr>
                <w:rStyle w:val="Hyperlink"/>
                <w:rFonts w:ascii="Arial" w:hAnsi="Arial" w:cs="Arial"/>
                <w:noProof/>
              </w:rPr>
              <w:t>Payback and accounting return</w:t>
            </w:r>
            <w:r>
              <w:rPr>
                <w:noProof/>
                <w:webHidden/>
              </w:rPr>
              <w:tab/>
            </w:r>
            <w:r>
              <w:rPr>
                <w:noProof/>
                <w:webHidden/>
              </w:rPr>
              <w:fldChar w:fldCharType="begin"/>
            </w:r>
            <w:r>
              <w:rPr>
                <w:noProof/>
                <w:webHidden/>
              </w:rPr>
              <w:instrText xml:space="preserve"> PAGEREF _Toc235694629 \h </w:instrText>
            </w:r>
            <w:r>
              <w:rPr>
                <w:noProof/>
                <w:webHidden/>
              </w:rPr>
            </w:r>
            <w:r>
              <w:rPr>
                <w:noProof/>
                <w:webHidden/>
              </w:rPr>
              <w:fldChar w:fldCharType="separate"/>
            </w:r>
            <w:r>
              <w:rPr>
                <w:noProof/>
                <w:webHidden/>
              </w:rPr>
              <w:t>15</w:t>
            </w:r>
            <w:r>
              <w:rPr>
                <w:noProof/>
                <w:webHidden/>
              </w:rPr>
              <w:fldChar w:fldCharType="end"/>
            </w:r>
          </w:hyperlink>
        </w:p>
        <w:p w14:paraId="7CD2DE95" w14:textId="2E69D80D" w:rsidR="00557E8F" w:rsidRDefault="00557E8F">
          <w:pPr>
            <w:pStyle w:val="TOC2"/>
            <w:tabs>
              <w:tab w:val="left" w:pos="960"/>
              <w:tab w:val="right" w:leader="dot" w:pos="9016"/>
            </w:tabs>
            <w:rPr>
              <w:noProof/>
              <w:kern w:val="2"/>
              <w:sz w:val="24"/>
              <w:szCs w:val="24"/>
              <w14:ligatures w14:val="standardContextual"/>
            </w:rPr>
          </w:pPr>
          <w:hyperlink w:anchor="_Toc235694630" w:history="1">
            <w:r w:rsidRPr="00D55CA6">
              <w:rPr>
                <w:rStyle w:val="Hyperlink"/>
                <w:rFonts w:ascii="Arial" w:hAnsi="Arial" w:cs="Arial"/>
                <w:noProof/>
              </w:rPr>
              <w:t>4.3</w:t>
            </w:r>
            <w:r>
              <w:rPr>
                <w:noProof/>
                <w:kern w:val="2"/>
                <w:sz w:val="24"/>
                <w:szCs w:val="24"/>
                <w14:ligatures w14:val="standardContextual"/>
              </w:rPr>
              <w:tab/>
            </w:r>
            <w:r w:rsidRPr="00D55CA6">
              <w:rPr>
                <w:rStyle w:val="Hyperlink"/>
                <w:rFonts w:ascii="Arial" w:hAnsi="Arial" w:cs="Arial"/>
                <w:noProof/>
              </w:rPr>
              <w:t>Discounted cash-flow evaluation</w:t>
            </w:r>
            <w:r>
              <w:rPr>
                <w:noProof/>
                <w:webHidden/>
              </w:rPr>
              <w:tab/>
            </w:r>
            <w:r>
              <w:rPr>
                <w:noProof/>
                <w:webHidden/>
              </w:rPr>
              <w:fldChar w:fldCharType="begin"/>
            </w:r>
            <w:r>
              <w:rPr>
                <w:noProof/>
                <w:webHidden/>
              </w:rPr>
              <w:instrText xml:space="preserve"> PAGEREF _Toc235694630 \h </w:instrText>
            </w:r>
            <w:r>
              <w:rPr>
                <w:noProof/>
                <w:webHidden/>
              </w:rPr>
            </w:r>
            <w:r>
              <w:rPr>
                <w:noProof/>
                <w:webHidden/>
              </w:rPr>
              <w:fldChar w:fldCharType="separate"/>
            </w:r>
            <w:r>
              <w:rPr>
                <w:noProof/>
                <w:webHidden/>
              </w:rPr>
              <w:t>16</w:t>
            </w:r>
            <w:r>
              <w:rPr>
                <w:noProof/>
                <w:webHidden/>
              </w:rPr>
              <w:fldChar w:fldCharType="end"/>
            </w:r>
          </w:hyperlink>
        </w:p>
        <w:p w14:paraId="40B1ED72" w14:textId="5C801AF6" w:rsidR="00557E8F" w:rsidRDefault="00557E8F">
          <w:pPr>
            <w:pStyle w:val="TOC2"/>
            <w:tabs>
              <w:tab w:val="left" w:pos="960"/>
              <w:tab w:val="right" w:leader="dot" w:pos="9016"/>
            </w:tabs>
            <w:rPr>
              <w:noProof/>
              <w:kern w:val="2"/>
              <w:sz w:val="24"/>
              <w:szCs w:val="24"/>
              <w14:ligatures w14:val="standardContextual"/>
            </w:rPr>
          </w:pPr>
          <w:hyperlink w:anchor="_Toc235694631" w:history="1">
            <w:r w:rsidRPr="00D55CA6">
              <w:rPr>
                <w:rStyle w:val="Hyperlink"/>
                <w:rFonts w:ascii="Arial" w:hAnsi="Arial" w:cs="Arial"/>
                <w:noProof/>
              </w:rPr>
              <w:t>4.4</w:t>
            </w:r>
            <w:r>
              <w:rPr>
                <w:noProof/>
                <w:kern w:val="2"/>
                <w:sz w:val="24"/>
                <w:szCs w:val="24"/>
                <w14:ligatures w14:val="standardContextual"/>
              </w:rPr>
              <w:tab/>
            </w:r>
            <w:r w:rsidRPr="00D55CA6">
              <w:rPr>
                <w:rStyle w:val="Hyperlink"/>
                <w:rFonts w:ascii="Arial" w:hAnsi="Arial" w:cs="Arial"/>
                <w:noProof/>
              </w:rPr>
              <w:t>Recommended project and Hilton affordability</w:t>
            </w:r>
            <w:r>
              <w:rPr>
                <w:noProof/>
                <w:webHidden/>
              </w:rPr>
              <w:tab/>
            </w:r>
            <w:r>
              <w:rPr>
                <w:noProof/>
                <w:webHidden/>
              </w:rPr>
              <w:fldChar w:fldCharType="begin"/>
            </w:r>
            <w:r>
              <w:rPr>
                <w:noProof/>
                <w:webHidden/>
              </w:rPr>
              <w:instrText xml:space="preserve"> PAGEREF _Toc235694631 \h </w:instrText>
            </w:r>
            <w:r>
              <w:rPr>
                <w:noProof/>
                <w:webHidden/>
              </w:rPr>
            </w:r>
            <w:r>
              <w:rPr>
                <w:noProof/>
                <w:webHidden/>
              </w:rPr>
              <w:fldChar w:fldCharType="separate"/>
            </w:r>
            <w:r>
              <w:rPr>
                <w:noProof/>
                <w:webHidden/>
              </w:rPr>
              <w:t>17</w:t>
            </w:r>
            <w:r>
              <w:rPr>
                <w:noProof/>
                <w:webHidden/>
              </w:rPr>
              <w:fldChar w:fldCharType="end"/>
            </w:r>
          </w:hyperlink>
        </w:p>
        <w:p w14:paraId="04EEF6E0" w14:textId="79452EB4" w:rsidR="00557E8F" w:rsidRDefault="00557E8F">
          <w:pPr>
            <w:pStyle w:val="TOC2"/>
            <w:tabs>
              <w:tab w:val="left" w:pos="960"/>
              <w:tab w:val="right" w:leader="dot" w:pos="9016"/>
            </w:tabs>
            <w:rPr>
              <w:noProof/>
              <w:kern w:val="2"/>
              <w:sz w:val="24"/>
              <w:szCs w:val="24"/>
              <w14:ligatures w14:val="standardContextual"/>
            </w:rPr>
          </w:pPr>
          <w:hyperlink w:anchor="_Toc235694632" w:history="1">
            <w:r w:rsidRPr="00D55CA6">
              <w:rPr>
                <w:rStyle w:val="Hyperlink"/>
                <w:rFonts w:ascii="Arial" w:hAnsi="Arial" w:cs="Arial"/>
                <w:noProof/>
              </w:rPr>
              <w:t>4.5</w:t>
            </w:r>
            <w:r>
              <w:rPr>
                <w:noProof/>
                <w:kern w:val="2"/>
                <w:sz w:val="24"/>
                <w:szCs w:val="24"/>
                <w14:ligatures w14:val="standardContextual"/>
              </w:rPr>
              <w:tab/>
            </w:r>
            <w:r w:rsidRPr="00D55CA6">
              <w:rPr>
                <w:rStyle w:val="Hyperlink"/>
                <w:rFonts w:ascii="Arial" w:hAnsi="Arial" w:cs="Arial"/>
                <w:noProof/>
              </w:rPr>
              <w:t>Non-financial risk assessment</w:t>
            </w:r>
            <w:r>
              <w:rPr>
                <w:noProof/>
                <w:webHidden/>
              </w:rPr>
              <w:tab/>
            </w:r>
            <w:r>
              <w:rPr>
                <w:noProof/>
                <w:webHidden/>
              </w:rPr>
              <w:fldChar w:fldCharType="begin"/>
            </w:r>
            <w:r>
              <w:rPr>
                <w:noProof/>
                <w:webHidden/>
              </w:rPr>
              <w:instrText xml:space="preserve"> PAGEREF _Toc235694632 \h </w:instrText>
            </w:r>
            <w:r>
              <w:rPr>
                <w:noProof/>
                <w:webHidden/>
              </w:rPr>
            </w:r>
            <w:r>
              <w:rPr>
                <w:noProof/>
                <w:webHidden/>
              </w:rPr>
              <w:fldChar w:fldCharType="separate"/>
            </w:r>
            <w:r>
              <w:rPr>
                <w:noProof/>
                <w:webHidden/>
              </w:rPr>
              <w:t>18</w:t>
            </w:r>
            <w:r>
              <w:rPr>
                <w:noProof/>
                <w:webHidden/>
              </w:rPr>
              <w:fldChar w:fldCharType="end"/>
            </w:r>
          </w:hyperlink>
        </w:p>
        <w:p w14:paraId="5E81954A" w14:textId="0422892E" w:rsidR="00557E8F" w:rsidRDefault="00557E8F">
          <w:pPr>
            <w:pStyle w:val="TOC2"/>
            <w:tabs>
              <w:tab w:val="left" w:pos="960"/>
              <w:tab w:val="right" w:leader="dot" w:pos="9016"/>
            </w:tabs>
            <w:rPr>
              <w:noProof/>
              <w:kern w:val="2"/>
              <w:sz w:val="24"/>
              <w:szCs w:val="24"/>
              <w14:ligatures w14:val="standardContextual"/>
            </w:rPr>
          </w:pPr>
          <w:hyperlink w:anchor="_Toc235694633" w:history="1">
            <w:r w:rsidRPr="00D55CA6">
              <w:rPr>
                <w:rStyle w:val="Hyperlink"/>
                <w:rFonts w:ascii="Arial" w:hAnsi="Arial" w:cs="Arial"/>
                <w:noProof/>
              </w:rPr>
              <w:t>4.6</w:t>
            </w:r>
            <w:r>
              <w:rPr>
                <w:noProof/>
                <w:kern w:val="2"/>
                <w:sz w:val="24"/>
                <w:szCs w:val="24"/>
                <w14:ligatures w14:val="standardContextual"/>
              </w:rPr>
              <w:tab/>
            </w:r>
            <w:r w:rsidRPr="00D55CA6">
              <w:rPr>
                <w:rStyle w:val="Hyperlink"/>
                <w:rFonts w:ascii="Arial" w:hAnsi="Arial" w:cs="Arial"/>
                <w:noProof/>
              </w:rPr>
              <w:t>Capital rationing</w:t>
            </w:r>
            <w:r>
              <w:rPr>
                <w:noProof/>
                <w:webHidden/>
              </w:rPr>
              <w:tab/>
            </w:r>
            <w:r>
              <w:rPr>
                <w:noProof/>
                <w:webHidden/>
              </w:rPr>
              <w:fldChar w:fldCharType="begin"/>
            </w:r>
            <w:r>
              <w:rPr>
                <w:noProof/>
                <w:webHidden/>
              </w:rPr>
              <w:instrText xml:space="preserve"> PAGEREF _Toc235694633 \h </w:instrText>
            </w:r>
            <w:r>
              <w:rPr>
                <w:noProof/>
                <w:webHidden/>
              </w:rPr>
            </w:r>
            <w:r>
              <w:rPr>
                <w:noProof/>
                <w:webHidden/>
              </w:rPr>
              <w:fldChar w:fldCharType="separate"/>
            </w:r>
            <w:r>
              <w:rPr>
                <w:noProof/>
                <w:webHidden/>
              </w:rPr>
              <w:t>19</w:t>
            </w:r>
            <w:r>
              <w:rPr>
                <w:noProof/>
                <w:webHidden/>
              </w:rPr>
              <w:fldChar w:fldCharType="end"/>
            </w:r>
          </w:hyperlink>
        </w:p>
        <w:p w14:paraId="2C490E47" w14:textId="4D7DDDB2" w:rsidR="00557E8F" w:rsidRDefault="00557E8F">
          <w:pPr>
            <w:pStyle w:val="TOC2"/>
            <w:tabs>
              <w:tab w:val="left" w:pos="960"/>
              <w:tab w:val="right" w:leader="dot" w:pos="9016"/>
            </w:tabs>
            <w:rPr>
              <w:noProof/>
              <w:kern w:val="2"/>
              <w:sz w:val="24"/>
              <w:szCs w:val="24"/>
              <w14:ligatures w14:val="standardContextual"/>
            </w:rPr>
          </w:pPr>
          <w:hyperlink w:anchor="_Toc235694634" w:history="1">
            <w:r w:rsidRPr="00D55CA6">
              <w:rPr>
                <w:rStyle w:val="Hyperlink"/>
                <w:rFonts w:ascii="Arial" w:hAnsi="Arial" w:cs="Arial"/>
                <w:noProof/>
              </w:rPr>
              <w:t>4.7</w:t>
            </w:r>
            <w:r>
              <w:rPr>
                <w:noProof/>
                <w:kern w:val="2"/>
                <w:sz w:val="24"/>
                <w:szCs w:val="24"/>
                <w14:ligatures w14:val="standardContextual"/>
              </w:rPr>
              <w:tab/>
            </w:r>
            <w:r w:rsidRPr="00D55CA6">
              <w:rPr>
                <w:rStyle w:val="Hyperlink"/>
                <w:rFonts w:ascii="Arial" w:hAnsi="Arial" w:cs="Arial"/>
                <w:noProof/>
              </w:rPr>
              <w:t>4.7 Conclusion</w:t>
            </w:r>
            <w:r>
              <w:rPr>
                <w:noProof/>
                <w:webHidden/>
              </w:rPr>
              <w:tab/>
            </w:r>
            <w:r>
              <w:rPr>
                <w:noProof/>
                <w:webHidden/>
              </w:rPr>
              <w:fldChar w:fldCharType="begin"/>
            </w:r>
            <w:r>
              <w:rPr>
                <w:noProof/>
                <w:webHidden/>
              </w:rPr>
              <w:instrText xml:space="preserve"> PAGEREF _Toc235694634 \h </w:instrText>
            </w:r>
            <w:r>
              <w:rPr>
                <w:noProof/>
                <w:webHidden/>
              </w:rPr>
            </w:r>
            <w:r>
              <w:rPr>
                <w:noProof/>
                <w:webHidden/>
              </w:rPr>
              <w:fldChar w:fldCharType="separate"/>
            </w:r>
            <w:r>
              <w:rPr>
                <w:noProof/>
                <w:webHidden/>
              </w:rPr>
              <w:t>20</w:t>
            </w:r>
            <w:r>
              <w:rPr>
                <w:noProof/>
                <w:webHidden/>
              </w:rPr>
              <w:fldChar w:fldCharType="end"/>
            </w:r>
          </w:hyperlink>
        </w:p>
        <w:p w14:paraId="09B57DD5" w14:textId="00CAF1F7" w:rsidR="00557E8F" w:rsidRDefault="00557E8F">
          <w:pPr>
            <w:pStyle w:val="TOC1"/>
            <w:tabs>
              <w:tab w:val="left" w:pos="480"/>
              <w:tab w:val="right" w:leader="dot" w:pos="9016"/>
            </w:tabs>
            <w:rPr>
              <w:noProof/>
              <w:kern w:val="2"/>
              <w:sz w:val="24"/>
              <w:szCs w:val="24"/>
              <w14:ligatures w14:val="standardContextual"/>
            </w:rPr>
          </w:pPr>
          <w:hyperlink w:anchor="_Toc235694635" w:history="1">
            <w:r w:rsidRPr="00D55CA6">
              <w:rPr>
                <w:rStyle w:val="Hyperlink"/>
                <w:rFonts w:ascii="Arial" w:hAnsi="Arial" w:cs="Arial"/>
                <w:noProof/>
              </w:rPr>
              <w:t>5</w:t>
            </w:r>
            <w:r>
              <w:rPr>
                <w:noProof/>
                <w:kern w:val="2"/>
                <w:sz w:val="24"/>
                <w:szCs w:val="24"/>
                <w14:ligatures w14:val="standardContextual"/>
              </w:rPr>
              <w:tab/>
            </w:r>
            <w:r w:rsidRPr="00D55CA6">
              <w:rPr>
                <w:rStyle w:val="Hyperlink"/>
                <w:rFonts w:ascii="Arial" w:hAnsi="Arial" w:cs="Arial"/>
                <w:noProof/>
              </w:rPr>
              <w:t>Critical Reflection on AI Usage</w:t>
            </w:r>
            <w:r>
              <w:rPr>
                <w:noProof/>
                <w:webHidden/>
              </w:rPr>
              <w:tab/>
            </w:r>
            <w:r>
              <w:rPr>
                <w:noProof/>
                <w:webHidden/>
              </w:rPr>
              <w:fldChar w:fldCharType="begin"/>
            </w:r>
            <w:r>
              <w:rPr>
                <w:noProof/>
                <w:webHidden/>
              </w:rPr>
              <w:instrText xml:space="preserve"> PAGEREF _Toc235694635 \h </w:instrText>
            </w:r>
            <w:r>
              <w:rPr>
                <w:noProof/>
                <w:webHidden/>
              </w:rPr>
            </w:r>
            <w:r>
              <w:rPr>
                <w:noProof/>
                <w:webHidden/>
              </w:rPr>
              <w:fldChar w:fldCharType="separate"/>
            </w:r>
            <w:r>
              <w:rPr>
                <w:noProof/>
                <w:webHidden/>
              </w:rPr>
              <w:t>21</w:t>
            </w:r>
            <w:r>
              <w:rPr>
                <w:noProof/>
                <w:webHidden/>
              </w:rPr>
              <w:fldChar w:fldCharType="end"/>
            </w:r>
          </w:hyperlink>
        </w:p>
        <w:p w14:paraId="12A90529" w14:textId="203EEF2B" w:rsidR="00557E8F" w:rsidRDefault="00557E8F">
          <w:pPr>
            <w:pStyle w:val="TOC2"/>
            <w:tabs>
              <w:tab w:val="left" w:pos="960"/>
              <w:tab w:val="right" w:leader="dot" w:pos="9016"/>
            </w:tabs>
            <w:rPr>
              <w:noProof/>
              <w:kern w:val="2"/>
              <w:sz w:val="24"/>
              <w:szCs w:val="24"/>
              <w14:ligatures w14:val="standardContextual"/>
            </w:rPr>
          </w:pPr>
          <w:hyperlink w:anchor="_Toc235694636" w:history="1">
            <w:r w:rsidRPr="00D55CA6">
              <w:rPr>
                <w:rStyle w:val="Hyperlink"/>
                <w:rFonts w:ascii="Arial" w:hAnsi="Arial" w:cs="Arial"/>
                <w:noProof/>
              </w:rPr>
              <w:t>5.1</w:t>
            </w:r>
            <w:r>
              <w:rPr>
                <w:noProof/>
                <w:kern w:val="2"/>
                <w:sz w:val="24"/>
                <w:szCs w:val="24"/>
                <w14:ligatures w14:val="standardContextual"/>
              </w:rPr>
              <w:tab/>
            </w:r>
            <w:r w:rsidRPr="00D55CA6">
              <w:rPr>
                <w:rStyle w:val="Hyperlink"/>
                <w:rFonts w:ascii="Arial" w:hAnsi="Arial" w:cs="Arial"/>
                <w:noProof/>
              </w:rPr>
              <w:t>Tool Disclosure</w:t>
            </w:r>
            <w:r>
              <w:rPr>
                <w:noProof/>
                <w:webHidden/>
              </w:rPr>
              <w:tab/>
            </w:r>
            <w:r>
              <w:rPr>
                <w:noProof/>
                <w:webHidden/>
              </w:rPr>
              <w:fldChar w:fldCharType="begin"/>
            </w:r>
            <w:r>
              <w:rPr>
                <w:noProof/>
                <w:webHidden/>
              </w:rPr>
              <w:instrText xml:space="preserve"> PAGEREF _Toc235694636 \h </w:instrText>
            </w:r>
            <w:r>
              <w:rPr>
                <w:noProof/>
                <w:webHidden/>
              </w:rPr>
            </w:r>
            <w:r>
              <w:rPr>
                <w:noProof/>
                <w:webHidden/>
              </w:rPr>
              <w:fldChar w:fldCharType="separate"/>
            </w:r>
            <w:r>
              <w:rPr>
                <w:noProof/>
                <w:webHidden/>
              </w:rPr>
              <w:t>21</w:t>
            </w:r>
            <w:r>
              <w:rPr>
                <w:noProof/>
                <w:webHidden/>
              </w:rPr>
              <w:fldChar w:fldCharType="end"/>
            </w:r>
          </w:hyperlink>
        </w:p>
        <w:p w14:paraId="7937B2E2" w14:textId="6637D2F1" w:rsidR="00557E8F" w:rsidRDefault="00557E8F">
          <w:pPr>
            <w:pStyle w:val="TOC2"/>
            <w:tabs>
              <w:tab w:val="left" w:pos="960"/>
              <w:tab w:val="right" w:leader="dot" w:pos="9016"/>
            </w:tabs>
            <w:rPr>
              <w:noProof/>
              <w:kern w:val="2"/>
              <w:sz w:val="24"/>
              <w:szCs w:val="24"/>
              <w14:ligatures w14:val="standardContextual"/>
            </w:rPr>
          </w:pPr>
          <w:hyperlink w:anchor="_Toc235694637" w:history="1">
            <w:r w:rsidRPr="00D55CA6">
              <w:rPr>
                <w:rStyle w:val="Hyperlink"/>
                <w:rFonts w:ascii="Arial" w:hAnsi="Arial" w:cs="Arial"/>
                <w:noProof/>
              </w:rPr>
              <w:t>5.2</w:t>
            </w:r>
            <w:r>
              <w:rPr>
                <w:noProof/>
                <w:kern w:val="2"/>
                <w:sz w:val="24"/>
                <w:szCs w:val="24"/>
                <w14:ligatures w14:val="standardContextual"/>
              </w:rPr>
              <w:tab/>
            </w:r>
            <w:r w:rsidRPr="00D55CA6">
              <w:rPr>
                <w:rStyle w:val="Hyperlink"/>
                <w:rFonts w:ascii="Arial" w:hAnsi="Arial" w:cs="Arial"/>
                <w:noProof/>
              </w:rPr>
              <w:t>Critical Evaluation of AI Output</w:t>
            </w:r>
            <w:r>
              <w:rPr>
                <w:noProof/>
                <w:webHidden/>
              </w:rPr>
              <w:tab/>
            </w:r>
            <w:r>
              <w:rPr>
                <w:noProof/>
                <w:webHidden/>
              </w:rPr>
              <w:fldChar w:fldCharType="begin"/>
            </w:r>
            <w:r>
              <w:rPr>
                <w:noProof/>
                <w:webHidden/>
              </w:rPr>
              <w:instrText xml:space="preserve"> PAGEREF _Toc235694637 \h </w:instrText>
            </w:r>
            <w:r>
              <w:rPr>
                <w:noProof/>
                <w:webHidden/>
              </w:rPr>
            </w:r>
            <w:r>
              <w:rPr>
                <w:noProof/>
                <w:webHidden/>
              </w:rPr>
              <w:fldChar w:fldCharType="separate"/>
            </w:r>
            <w:r>
              <w:rPr>
                <w:noProof/>
                <w:webHidden/>
              </w:rPr>
              <w:t>21</w:t>
            </w:r>
            <w:r>
              <w:rPr>
                <w:noProof/>
                <w:webHidden/>
              </w:rPr>
              <w:fldChar w:fldCharType="end"/>
            </w:r>
          </w:hyperlink>
        </w:p>
        <w:p w14:paraId="68D682C2" w14:textId="69ECD2C0" w:rsidR="00557E8F" w:rsidRDefault="00557E8F">
          <w:pPr>
            <w:pStyle w:val="TOC2"/>
            <w:tabs>
              <w:tab w:val="left" w:pos="960"/>
              <w:tab w:val="right" w:leader="dot" w:pos="9016"/>
            </w:tabs>
            <w:rPr>
              <w:noProof/>
              <w:kern w:val="2"/>
              <w:sz w:val="24"/>
              <w:szCs w:val="24"/>
              <w14:ligatures w14:val="standardContextual"/>
            </w:rPr>
          </w:pPr>
          <w:hyperlink w:anchor="_Toc235694638" w:history="1">
            <w:r w:rsidRPr="00D55CA6">
              <w:rPr>
                <w:rStyle w:val="Hyperlink"/>
                <w:rFonts w:ascii="Arial" w:hAnsi="Arial" w:cs="Arial"/>
                <w:noProof/>
              </w:rPr>
              <w:t>5.3</w:t>
            </w:r>
            <w:r>
              <w:rPr>
                <w:noProof/>
                <w:kern w:val="2"/>
                <w:sz w:val="24"/>
                <w:szCs w:val="24"/>
                <w14:ligatures w14:val="standardContextual"/>
              </w:rPr>
              <w:tab/>
            </w:r>
            <w:r w:rsidRPr="00D55CA6">
              <w:rPr>
                <w:rStyle w:val="Hyperlink"/>
                <w:rFonts w:ascii="Arial" w:hAnsi="Arial" w:cs="Arial"/>
                <w:noProof/>
              </w:rPr>
              <w:t>Contribution Analysis</w:t>
            </w:r>
            <w:r>
              <w:rPr>
                <w:noProof/>
                <w:webHidden/>
              </w:rPr>
              <w:tab/>
            </w:r>
            <w:r>
              <w:rPr>
                <w:noProof/>
                <w:webHidden/>
              </w:rPr>
              <w:fldChar w:fldCharType="begin"/>
            </w:r>
            <w:r>
              <w:rPr>
                <w:noProof/>
                <w:webHidden/>
              </w:rPr>
              <w:instrText xml:space="preserve"> PAGEREF _Toc235694638 \h </w:instrText>
            </w:r>
            <w:r>
              <w:rPr>
                <w:noProof/>
                <w:webHidden/>
              </w:rPr>
            </w:r>
            <w:r>
              <w:rPr>
                <w:noProof/>
                <w:webHidden/>
              </w:rPr>
              <w:fldChar w:fldCharType="separate"/>
            </w:r>
            <w:r>
              <w:rPr>
                <w:noProof/>
                <w:webHidden/>
              </w:rPr>
              <w:t>21</w:t>
            </w:r>
            <w:r>
              <w:rPr>
                <w:noProof/>
                <w:webHidden/>
              </w:rPr>
              <w:fldChar w:fldCharType="end"/>
            </w:r>
          </w:hyperlink>
        </w:p>
        <w:p w14:paraId="086333A8" w14:textId="5A636EA9" w:rsidR="00557E8F" w:rsidRDefault="00557E8F">
          <w:pPr>
            <w:pStyle w:val="TOC2"/>
            <w:tabs>
              <w:tab w:val="left" w:pos="960"/>
              <w:tab w:val="right" w:leader="dot" w:pos="9016"/>
            </w:tabs>
            <w:rPr>
              <w:noProof/>
              <w:kern w:val="2"/>
              <w:sz w:val="24"/>
              <w:szCs w:val="24"/>
              <w14:ligatures w14:val="standardContextual"/>
            </w:rPr>
          </w:pPr>
          <w:hyperlink w:anchor="_Toc235694639" w:history="1">
            <w:r w:rsidRPr="00D55CA6">
              <w:rPr>
                <w:rStyle w:val="Hyperlink"/>
                <w:rFonts w:ascii="Arial" w:hAnsi="Arial" w:cs="Arial"/>
                <w:noProof/>
              </w:rPr>
              <w:t>5.4</w:t>
            </w:r>
            <w:r>
              <w:rPr>
                <w:noProof/>
                <w:kern w:val="2"/>
                <w:sz w:val="24"/>
                <w:szCs w:val="24"/>
                <w14:ligatures w14:val="standardContextual"/>
              </w:rPr>
              <w:tab/>
            </w:r>
            <w:r w:rsidRPr="00D55CA6">
              <w:rPr>
                <w:rStyle w:val="Hyperlink"/>
                <w:rFonts w:ascii="Arial" w:hAnsi="Arial" w:cs="Arial"/>
                <w:noProof/>
              </w:rPr>
              <w:t>Ethical and Professional Reflection</w:t>
            </w:r>
            <w:r>
              <w:rPr>
                <w:noProof/>
                <w:webHidden/>
              </w:rPr>
              <w:tab/>
            </w:r>
            <w:r>
              <w:rPr>
                <w:noProof/>
                <w:webHidden/>
              </w:rPr>
              <w:fldChar w:fldCharType="begin"/>
            </w:r>
            <w:r>
              <w:rPr>
                <w:noProof/>
                <w:webHidden/>
              </w:rPr>
              <w:instrText xml:space="preserve"> PAGEREF _Toc235694639 \h </w:instrText>
            </w:r>
            <w:r>
              <w:rPr>
                <w:noProof/>
                <w:webHidden/>
              </w:rPr>
            </w:r>
            <w:r>
              <w:rPr>
                <w:noProof/>
                <w:webHidden/>
              </w:rPr>
              <w:fldChar w:fldCharType="separate"/>
            </w:r>
            <w:r>
              <w:rPr>
                <w:noProof/>
                <w:webHidden/>
              </w:rPr>
              <w:t>22</w:t>
            </w:r>
            <w:r>
              <w:rPr>
                <w:noProof/>
                <w:webHidden/>
              </w:rPr>
              <w:fldChar w:fldCharType="end"/>
            </w:r>
          </w:hyperlink>
        </w:p>
        <w:p w14:paraId="60C16C13" w14:textId="1528C3A0" w:rsidR="00557E8F" w:rsidRDefault="00557E8F">
          <w:pPr>
            <w:pStyle w:val="TOC1"/>
            <w:tabs>
              <w:tab w:val="left" w:pos="480"/>
              <w:tab w:val="right" w:leader="dot" w:pos="9016"/>
            </w:tabs>
            <w:rPr>
              <w:noProof/>
              <w:kern w:val="2"/>
              <w:sz w:val="24"/>
              <w:szCs w:val="24"/>
              <w14:ligatures w14:val="standardContextual"/>
            </w:rPr>
          </w:pPr>
          <w:hyperlink w:anchor="_Toc235694640" w:history="1">
            <w:r w:rsidRPr="00D55CA6">
              <w:rPr>
                <w:rStyle w:val="Hyperlink"/>
                <w:rFonts w:ascii="Arial" w:hAnsi="Arial" w:cs="Arial"/>
                <w:noProof/>
              </w:rPr>
              <w:t>6</w:t>
            </w:r>
            <w:r>
              <w:rPr>
                <w:noProof/>
                <w:kern w:val="2"/>
                <w:sz w:val="24"/>
                <w:szCs w:val="24"/>
                <w14:ligatures w14:val="standardContextual"/>
              </w:rPr>
              <w:tab/>
            </w:r>
            <w:r w:rsidRPr="00D55CA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_Toc235694640 \h </w:instrText>
            </w:r>
            <w:r>
              <w:rPr>
                <w:noProof/>
                <w:webHidden/>
              </w:rPr>
            </w:r>
            <w:r>
              <w:rPr>
                <w:noProof/>
                <w:webHidden/>
              </w:rPr>
              <w:fldChar w:fldCharType="separate"/>
            </w:r>
            <w:r>
              <w:rPr>
                <w:noProof/>
                <w:webHidden/>
              </w:rPr>
              <w:t>23</w:t>
            </w:r>
            <w:r>
              <w:rPr>
                <w:noProof/>
                <w:webHidden/>
              </w:rPr>
              <w:fldChar w:fldCharType="end"/>
            </w:r>
          </w:hyperlink>
        </w:p>
        <w:p w14:paraId="775C1002" w14:textId="1EB4B03C" w:rsidR="00557E8F" w:rsidRDefault="00557E8F">
          <w:pPr>
            <w:pStyle w:val="TOC1"/>
            <w:tabs>
              <w:tab w:val="left" w:pos="480"/>
              <w:tab w:val="right" w:leader="dot" w:pos="9016"/>
            </w:tabs>
            <w:rPr>
              <w:noProof/>
              <w:kern w:val="2"/>
              <w:sz w:val="24"/>
              <w:szCs w:val="24"/>
              <w14:ligatures w14:val="standardContextual"/>
            </w:rPr>
          </w:pPr>
          <w:hyperlink w:anchor="_Toc235694641" w:history="1">
            <w:r w:rsidRPr="00D55CA6">
              <w:rPr>
                <w:rStyle w:val="Hyperlink"/>
                <w:rFonts w:ascii="Arial" w:hAnsi="Arial" w:cs="Arial"/>
                <w:noProof/>
              </w:rPr>
              <w:t>7</w:t>
            </w:r>
            <w:r>
              <w:rPr>
                <w:noProof/>
                <w:kern w:val="2"/>
                <w:sz w:val="24"/>
                <w:szCs w:val="24"/>
                <w14:ligatures w14:val="standardContextual"/>
              </w:rPr>
              <w:tab/>
            </w:r>
            <w:r w:rsidRPr="00D55CA6">
              <w:rPr>
                <w:rStyle w:val="Hyperlink"/>
                <w:rFonts w:ascii="Arial" w:hAnsi="Arial" w:cs="Arial"/>
                <w:noProof/>
              </w:rPr>
              <w:t>Appendices</w:t>
            </w:r>
            <w:r>
              <w:rPr>
                <w:noProof/>
                <w:webHidden/>
              </w:rPr>
              <w:tab/>
            </w:r>
            <w:r>
              <w:rPr>
                <w:noProof/>
                <w:webHidden/>
              </w:rPr>
              <w:fldChar w:fldCharType="begin"/>
            </w:r>
            <w:r>
              <w:rPr>
                <w:noProof/>
                <w:webHidden/>
              </w:rPr>
              <w:instrText xml:space="preserve"> PAGEREF _Toc235694641 \h </w:instrText>
            </w:r>
            <w:r>
              <w:rPr>
                <w:noProof/>
                <w:webHidden/>
              </w:rPr>
            </w:r>
            <w:r>
              <w:rPr>
                <w:noProof/>
                <w:webHidden/>
              </w:rPr>
              <w:fldChar w:fldCharType="separate"/>
            </w:r>
            <w:r>
              <w:rPr>
                <w:noProof/>
                <w:webHidden/>
              </w:rPr>
              <w:t>25</w:t>
            </w:r>
            <w:r>
              <w:rPr>
                <w:noProof/>
                <w:webHidden/>
              </w:rPr>
              <w:fldChar w:fldCharType="end"/>
            </w:r>
          </w:hyperlink>
        </w:p>
        <w:p w14:paraId="21DF0747" w14:textId="7F93637D" w:rsidR="00557E8F" w:rsidRDefault="00557E8F">
          <w:pPr>
            <w:pStyle w:val="TOC2"/>
            <w:tabs>
              <w:tab w:val="left" w:pos="960"/>
              <w:tab w:val="right" w:leader="dot" w:pos="9016"/>
            </w:tabs>
            <w:rPr>
              <w:noProof/>
              <w:kern w:val="2"/>
              <w:sz w:val="24"/>
              <w:szCs w:val="24"/>
              <w14:ligatures w14:val="standardContextual"/>
            </w:rPr>
          </w:pPr>
          <w:hyperlink w:anchor="_Toc235694642" w:history="1">
            <w:r w:rsidRPr="00D55CA6">
              <w:rPr>
                <w:rStyle w:val="Hyperlink"/>
                <w:rFonts w:ascii="Arial" w:hAnsi="Arial" w:cs="Arial"/>
                <w:noProof/>
              </w:rPr>
              <w:t>7.1</w:t>
            </w:r>
            <w:r>
              <w:rPr>
                <w:noProof/>
                <w:kern w:val="2"/>
                <w:sz w:val="24"/>
                <w:szCs w:val="24"/>
                <w14:ligatures w14:val="standardContextual"/>
              </w:rPr>
              <w:tab/>
            </w:r>
            <w:r w:rsidRPr="00D55CA6">
              <w:rPr>
                <w:rStyle w:val="Hyperlink"/>
                <w:rFonts w:ascii="Arial" w:hAnsi="Arial" w:cs="Arial"/>
                <w:noProof/>
              </w:rPr>
              <w:t>Appendix A: Selected Five-Year Financial Statements</w:t>
            </w:r>
            <w:r>
              <w:rPr>
                <w:noProof/>
                <w:webHidden/>
              </w:rPr>
              <w:tab/>
            </w:r>
            <w:r>
              <w:rPr>
                <w:noProof/>
                <w:webHidden/>
              </w:rPr>
              <w:fldChar w:fldCharType="begin"/>
            </w:r>
            <w:r>
              <w:rPr>
                <w:noProof/>
                <w:webHidden/>
              </w:rPr>
              <w:instrText xml:space="preserve"> PAGEREF _Toc235694642 \h </w:instrText>
            </w:r>
            <w:r>
              <w:rPr>
                <w:noProof/>
                <w:webHidden/>
              </w:rPr>
            </w:r>
            <w:r>
              <w:rPr>
                <w:noProof/>
                <w:webHidden/>
              </w:rPr>
              <w:fldChar w:fldCharType="separate"/>
            </w:r>
            <w:r>
              <w:rPr>
                <w:noProof/>
                <w:webHidden/>
              </w:rPr>
              <w:t>25</w:t>
            </w:r>
            <w:r>
              <w:rPr>
                <w:noProof/>
                <w:webHidden/>
              </w:rPr>
              <w:fldChar w:fldCharType="end"/>
            </w:r>
          </w:hyperlink>
        </w:p>
        <w:p w14:paraId="0426EDA9" w14:textId="04B871B7" w:rsidR="00557E8F" w:rsidRDefault="00557E8F">
          <w:pPr>
            <w:pStyle w:val="TOC2"/>
            <w:tabs>
              <w:tab w:val="left" w:pos="960"/>
              <w:tab w:val="right" w:leader="dot" w:pos="9016"/>
            </w:tabs>
            <w:rPr>
              <w:noProof/>
              <w:kern w:val="2"/>
              <w:sz w:val="24"/>
              <w:szCs w:val="24"/>
              <w14:ligatures w14:val="standardContextual"/>
            </w:rPr>
          </w:pPr>
          <w:hyperlink w:anchor="_Toc235694643" w:history="1">
            <w:r w:rsidRPr="00D55CA6">
              <w:rPr>
                <w:rStyle w:val="Hyperlink"/>
                <w:rFonts w:ascii="Arial" w:hAnsi="Arial" w:cs="Arial"/>
                <w:noProof/>
              </w:rPr>
              <w:t>7.2</w:t>
            </w:r>
            <w:r>
              <w:rPr>
                <w:noProof/>
                <w:kern w:val="2"/>
                <w:sz w:val="24"/>
                <w:szCs w:val="24"/>
                <w14:ligatures w14:val="standardContextual"/>
              </w:rPr>
              <w:tab/>
            </w:r>
            <w:r w:rsidRPr="00D55CA6">
              <w:rPr>
                <w:rStyle w:val="Hyperlink"/>
                <w:rFonts w:ascii="Arial" w:hAnsi="Arial" w:cs="Arial"/>
                <w:noProof/>
              </w:rPr>
              <w:t>Appendix B: Comprehensive Ratio Summary</w:t>
            </w:r>
            <w:r>
              <w:rPr>
                <w:noProof/>
                <w:webHidden/>
              </w:rPr>
              <w:tab/>
            </w:r>
            <w:r>
              <w:rPr>
                <w:noProof/>
                <w:webHidden/>
              </w:rPr>
              <w:fldChar w:fldCharType="begin"/>
            </w:r>
            <w:r>
              <w:rPr>
                <w:noProof/>
                <w:webHidden/>
              </w:rPr>
              <w:instrText xml:space="preserve"> PAGEREF _Toc235694643 \h </w:instrText>
            </w:r>
            <w:r>
              <w:rPr>
                <w:noProof/>
                <w:webHidden/>
              </w:rPr>
            </w:r>
            <w:r>
              <w:rPr>
                <w:noProof/>
                <w:webHidden/>
              </w:rPr>
              <w:fldChar w:fldCharType="separate"/>
            </w:r>
            <w:r>
              <w:rPr>
                <w:noProof/>
                <w:webHidden/>
              </w:rPr>
              <w:t>28</w:t>
            </w:r>
            <w:r>
              <w:rPr>
                <w:noProof/>
                <w:webHidden/>
              </w:rPr>
              <w:fldChar w:fldCharType="end"/>
            </w:r>
          </w:hyperlink>
        </w:p>
        <w:p w14:paraId="64782F14" w14:textId="1C8E2553" w:rsidR="00557E8F" w:rsidRDefault="00557E8F">
          <w:pPr>
            <w:pStyle w:val="TOC2"/>
            <w:tabs>
              <w:tab w:val="left" w:pos="960"/>
              <w:tab w:val="right" w:leader="dot" w:pos="9016"/>
            </w:tabs>
            <w:rPr>
              <w:noProof/>
              <w:kern w:val="2"/>
              <w:sz w:val="24"/>
              <w:szCs w:val="24"/>
              <w14:ligatures w14:val="standardContextual"/>
            </w:rPr>
          </w:pPr>
          <w:hyperlink w:anchor="_Toc235694644" w:history="1">
            <w:r w:rsidRPr="00D55CA6">
              <w:rPr>
                <w:rStyle w:val="Hyperlink"/>
                <w:rFonts w:ascii="Arial" w:hAnsi="Arial" w:cs="Arial"/>
                <w:noProof/>
              </w:rPr>
              <w:t>7.3</w:t>
            </w:r>
            <w:r>
              <w:rPr>
                <w:noProof/>
                <w:kern w:val="2"/>
                <w:sz w:val="24"/>
                <w:szCs w:val="24"/>
                <w14:ligatures w14:val="standardContextual"/>
              </w:rPr>
              <w:tab/>
            </w:r>
            <w:r w:rsidRPr="00D55CA6">
              <w:rPr>
                <w:rStyle w:val="Hyperlink"/>
                <w:rFonts w:ascii="Arial" w:hAnsi="Arial" w:cs="Arial"/>
                <w:noProof/>
              </w:rPr>
              <w:t>Appendix C: 2025 Liquidity Benchmark</w:t>
            </w:r>
            <w:r>
              <w:rPr>
                <w:noProof/>
                <w:webHidden/>
              </w:rPr>
              <w:tab/>
            </w:r>
            <w:r>
              <w:rPr>
                <w:noProof/>
                <w:webHidden/>
              </w:rPr>
              <w:fldChar w:fldCharType="begin"/>
            </w:r>
            <w:r>
              <w:rPr>
                <w:noProof/>
                <w:webHidden/>
              </w:rPr>
              <w:instrText xml:space="preserve"> PAGEREF _Toc235694644 \h </w:instrText>
            </w:r>
            <w:r>
              <w:rPr>
                <w:noProof/>
                <w:webHidden/>
              </w:rPr>
            </w:r>
            <w:r>
              <w:rPr>
                <w:noProof/>
                <w:webHidden/>
              </w:rPr>
              <w:fldChar w:fldCharType="separate"/>
            </w:r>
            <w:r>
              <w:rPr>
                <w:noProof/>
                <w:webHidden/>
              </w:rPr>
              <w:t>29</w:t>
            </w:r>
            <w:r>
              <w:rPr>
                <w:noProof/>
                <w:webHidden/>
              </w:rPr>
              <w:fldChar w:fldCharType="end"/>
            </w:r>
          </w:hyperlink>
        </w:p>
        <w:p w14:paraId="71B3056D" w14:textId="2969F360" w:rsidR="00557E8F" w:rsidRDefault="00557E8F">
          <w:pPr>
            <w:pStyle w:val="TOC2"/>
            <w:tabs>
              <w:tab w:val="left" w:pos="960"/>
              <w:tab w:val="right" w:leader="dot" w:pos="9016"/>
            </w:tabs>
            <w:rPr>
              <w:noProof/>
              <w:kern w:val="2"/>
              <w:sz w:val="24"/>
              <w:szCs w:val="24"/>
              <w14:ligatures w14:val="standardContextual"/>
            </w:rPr>
          </w:pPr>
          <w:hyperlink w:anchor="_Toc235694645" w:history="1">
            <w:r w:rsidRPr="00D55CA6">
              <w:rPr>
                <w:rStyle w:val="Hyperlink"/>
                <w:noProof/>
              </w:rPr>
              <w:t>7.4</w:t>
            </w:r>
            <w:r>
              <w:rPr>
                <w:noProof/>
                <w:kern w:val="2"/>
                <w:sz w:val="24"/>
                <w:szCs w:val="24"/>
                <w14:ligatures w14:val="standardContextual"/>
              </w:rPr>
              <w:tab/>
            </w:r>
            <w:r w:rsidRPr="00D55CA6">
              <w:rPr>
                <w:rStyle w:val="Hyperlink"/>
                <w:noProof/>
              </w:rPr>
              <w:t>Appendix D: Graphical Representations</w:t>
            </w:r>
            <w:r>
              <w:rPr>
                <w:noProof/>
                <w:webHidden/>
              </w:rPr>
              <w:tab/>
            </w:r>
            <w:r>
              <w:rPr>
                <w:noProof/>
                <w:webHidden/>
              </w:rPr>
              <w:fldChar w:fldCharType="begin"/>
            </w:r>
            <w:r>
              <w:rPr>
                <w:noProof/>
                <w:webHidden/>
              </w:rPr>
              <w:instrText xml:space="preserve"> PAGEREF _Toc235694645 \h </w:instrText>
            </w:r>
            <w:r>
              <w:rPr>
                <w:noProof/>
                <w:webHidden/>
              </w:rPr>
            </w:r>
            <w:r>
              <w:rPr>
                <w:noProof/>
                <w:webHidden/>
              </w:rPr>
              <w:fldChar w:fldCharType="separate"/>
            </w:r>
            <w:r>
              <w:rPr>
                <w:noProof/>
                <w:webHidden/>
              </w:rPr>
              <w:t>30</w:t>
            </w:r>
            <w:r>
              <w:rPr>
                <w:noProof/>
                <w:webHidden/>
              </w:rPr>
              <w:fldChar w:fldCharType="end"/>
            </w:r>
          </w:hyperlink>
        </w:p>
        <w:p w14:paraId="7BE42DC4" w14:textId="0353314B" w:rsidR="00557E8F" w:rsidRDefault="00557E8F">
          <w:pPr>
            <w:pStyle w:val="TOC2"/>
            <w:tabs>
              <w:tab w:val="left" w:pos="960"/>
              <w:tab w:val="right" w:leader="dot" w:pos="9016"/>
            </w:tabs>
            <w:rPr>
              <w:noProof/>
              <w:kern w:val="2"/>
              <w:sz w:val="24"/>
              <w:szCs w:val="24"/>
              <w14:ligatures w14:val="standardContextual"/>
            </w:rPr>
          </w:pPr>
          <w:hyperlink w:anchor="_Toc235694646" w:history="1">
            <w:r w:rsidRPr="00D55CA6">
              <w:rPr>
                <w:rStyle w:val="Hyperlink"/>
                <w:rFonts w:ascii="Arial" w:hAnsi="Arial" w:cs="Arial"/>
                <w:noProof/>
              </w:rPr>
              <w:t>7.5</w:t>
            </w:r>
            <w:r>
              <w:rPr>
                <w:noProof/>
                <w:kern w:val="2"/>
                <w:sz w:val="24"/>
                <w:szCs w:val="24"/>
                <w14:ligatures w14:val="standardContextual"/>
              </w:rPr>
              <w:tab/>
            </w:r>
            <w:r w:rsidRPr="00D55CA6">
              <w:rPr>
                <w:rStyle w:val="Hyperlink"/>
                <w:rFonts w:ascii="Arial" w:hAnsi="Arial" w:cs="Arial"/>
                <w:noProof/>
              </w:rPr>
              <w:t>Appendix E: Detailed Project Appraisal</w:t>
            </w:r>
            <w:r>
              <w:rPr>
                <w:noProof/>
                <w:webHidden/>
              </w:rPr>
              <w:tab/>
            </w:r>
            <w:r>
              <w:rPr>
                <w:noProof/>
                <w:webHidden/>
              </w:rPr>
              <w:fldChar w:fldCharType="begin"/>
            </w:r>
            <w:r>
              <w:rPr>
                <w:noProof/>
                <w:webHidden/>
              </w:rPr>
              <w:instrText xml:space="preserve"> PAGEREF _Toc235694646 \h </w:instrText>
            </w:r>
            <w:r>
              <w:rPr>
                <w:noProof/>
                <w:webHidden/>
              </w:rPr>
            </w:r>
            <w:r>
              <w:rPr>
                <w:noProof/>
                <w:webHidden/>
              </w:rPr>
              <w:fldChar w:fldCharType="separate"/>
            </w:r>
            <w:r>
              <w:rPr>
                <w:noProof/>
                <w:webHidden/>
              </w:rPr>
              <w:t>33</w:t>
            </w:r>
            <w:r>
              <w:rPr>
                <w:noProof/>
                <w:webHidden/>
              </w:rPr>
              <w:fldChar w:fldCharType="end"/>
            </w:r>
          </w:hyperlink>
        </w:p>
        <w:p w14:paraId="7BBCAC1D" w14:textId="16A017E5" w:rsidR="00557E8F" w:rsidRDefault="00557E8F">
          <w:pPr>
            <w:pStyle w:val="TOC2"/>
            <w:tabs>
              <w:tab w:val="left" w:pos="960"/>
              <w:tab w:val="right" w:leader="dot" w:pos="9016"/>
            </w:tabs>
            <w:rPr>
              <w:noProof/>
              <w:kern w:val="2"/>
              <w:sz w:val="24"/>
              <w:szCs w:val="24"/>
              <w14:ligatures w14:val="standardContextual"/>
            </w:rPr>
          </w:pPr>
          <w:hyperlink w:anchor="_Toc235694647" w:history="1">
            <w:r w:rsidRPr="00D55CA6">
              <w:rPr>
                <w:rStyle w:val="Hyperlink"/>
                <w:rFonts w:ascii="Arial" w:hAnsi="Arial" w:cs="Arial"/>
                <w:noProof/>
              </w:rPr>
              <w:t>7.6</w:t>
            </w:r>
            <w:r>
              <w:rPr>
                <w:noProof/>
                <w:kern w:val="2"/>
                <w:sz w:val="24"/>
                <w:szCs w:val="24"/>
                <w14:ligatures w14:val="standardContextual"/>
              </w:rPr>
              <w:tab/>
            </w:r>
            <w:r w:rsidRPr="00D55CA6">
              <w:rPr>
                <w:rStyle w:val="Hyperlink"/>
                <w:rFonts w:ascii="Arial" w:hAnsi="Arial" w:cs="Arial"/>
                <w:noProof/>
              </w:rPr>
              <w:t>Appendix F: Capital-Rationing Analysis</w:t>
            </w:r>
            <w:r>
              <w:rPr>
                <w:noProof/>
                <w:webHidden/>
              </w:rPr>
              <w:tab/>
            </w:r>
            <w:r>
              <w:rPr>
                <w:noProof/>
                <w:webHidden/>
              </w:rPr>
              <w:fldChar w:fldCharType="begin"/>
            </w:r>
            <w:r>
              <w:rPr>
                <w:noProof/>
                <w:webHidden/>
              </w:rPr>
              <w:instrText xml:space="preserve"> PAGEREF _Toc235694647 \h </w:instrText>
            </w:r>
            <w:r>
              <w:rPr>
                <w:noProof/>
                <w:webHidden/>
              </w:rPr>
            </w:r>
            <w:r>
              <w:rPr>
                <w:noProof/>
                <w:webHidden/>
              </w:rPr>
              <w:fldChar w:fldCharType="separate"/>
            </w:r>
            <w:r>
              <w:rPr>
                <w:noProof/>
                <w:webHidden/>
              </w:rPr>
              <w:t>34</w:t>
            </w:r>
            <w:r>
              <w:rPr>
                <w:noProof/>
                <w:webHidden/>
              </w:rPr>
              <w:fldChar w:fldCharType="end"/>
            </w:r>
          </w:hyperlink>
        </w:p>
        <w:p w14:paraId="4895371D" w14:textId="1023D4BE" w:rsidR="00171244" w:rsidRPr="00164C53" w:rsidRDefault="00171244">
          <w:pPr>
            <w:rPr>
              <w:rFonts w:ascii="Arial" w:hAnsi="Arial" w:cs="Arial"/>
              <w:sz w:val="24"/>
              <w:szCs w:val="24"/>
            </w:rPr>
          </w:pPr>
          <w:r w:rsidRPr="00164C53">
            <w:rPr>
              <w:rFonts w:ascii="Arial" w:hAnsi="Arial" w:cs="Arial"/>
              <w:b/>
              <w:bCs/>
              <w:noProof/>
              <w:sz w:val="24"/>
              <w:szCs w:val="24"/>
            </w:rPr>
            <w:fldChar w:fldCharType="end"/>
          </w:r>
        </w:p>
      </w:sdtContent>
    </w:sdt>
    <w:p w14:paraId="6DF97E0D" w14:textId="77777777" w:rsidR="00F200C4" w:rsidRPr="00164C53" w:rsidRDefault="00F200C4" w:rsidP="00424987">
      <w:pPr>
        <w:spacing w:line="360" w:lineRule="auto"/>
        <w:rPr>
          <w:rFonts w:ascii="Arial" w:hAnsi="Arial" w:cs="Arial"/>
          <w:sz w:val="24"/>
          <w:szCs w:val="24"/>
        </w:rPr>
      </w:pPr>
    </w:p>
    <w:p w14:paraId="33F2D3BD" w14:textId="77777777" w:rsidR="00F200C4" w:rsidRPr="00164C53" w:rsidRDefault="00F200C4" w:rsidP="00424987">
      <w:pPr>
        <w:spacing w:line="360" w:lineRule="auto"/>
        <w:rPr>
          <w:rFonts w:ascii="Arial" w:hAnsi="Arial" w:cs="Arial"/>
          <w:sz w:val="24"/>
          <w:szCs w:val="24"/>
        </w:rPr>
      </w:pPr>
    </w:p>
    <w:p w14:paraId="131CBAE4" w14:textId="77777777" w:rsidR="00F200C4" w:rsidRDefault="00F200C4" w:rsidP="00424987">
      <w:pPr>
        <w:spacing w:line="360" w:lineRule="auto"/>
        <w:rPr>
          <w:rFonts w:ascii="Arial" w:hAnsi="Arial" w:cs="Arial"/>
          <w:sz w:val="24"/>
          <w:szCs w:val="24"/>
        </w:rPr>
      </w:pPr>
    </w:p>
    <w:p w14:paraId="4560203D" w14:textId="77777777" w:rsidR="00644159" w:rsidRDefault="00644159" w:rsidP="00424987">
      <w:pPr>
        <w:spacing w:line="360" w:lineRule="auto"/>
        <w:rPr>
          <w:rFonts w:ascii="Arial" w:hAnsi="Arial" w:cs="Arial"/>
          <w:sz w:val="24"/>
          <w:szCs w:val="24"/>
        </w:rPr>
      </w:pPr>
    </w:p>
    <w:p w14:paraId="04788774" w14:textId="77777777" w:rsidR="00644159" w:rsidRDefault="00644159" w:rsidP="00424987">
      <w:pPr>
        <w:spacing w:line="360" w:lineRule="auto"/>
        <w:rPr>
          <w:rFonts w:ascii="Arial" w:hAnsi="Arial" w:cs="Arial"/>
          <w:sz w:val="24"/>
          <w:szCs w:val="24"/>
        </w:rPr>
      </w:pPr>
    </w:p>
    <w:p w14:paraId="240718DD" w14:textId="77777777" w:rsidR="00644159" w:rsidRDefault="00644159" w:rsidP="00424987">
      <w:pPr>
        <w:spacing w:line="360" w:lineRule="auto"/>
        <w:rPr>
          <w:rFonts w:ascii="Arial" w:hAnsi="Arial" w:cs="Arial"/>
          <w:sz w:val="24"/>
          <w:szCs w:val="24"/>
        </w:rPr>
      </w:pPr>
    </w:p>
    <w:p w14:paraId="3AE7586B" w14:textId="77777777" w:rsidR="00644159" w:rsidRDefault="00644159" w:rsidP="00424987">
      <w:pPr>
        <w:spacing w:line="360" w:lineRule="auto"/>
        <w:rPr>
          <w:rFonts w:ascii="Arial" w:hAnsi="Arial" w:cs="Arial"/>
          <w:sz w:val="24"/>
          <w:szCs w:val="24"/>
        </w:rPr>
      </w:pPr>
    </w:p>
    <w:p w14:paraId="731BBAC9" w14:textId="77777777" w:rsidR="00644159" w:rsidRDefault="00644159" w:rsidP="00424987">
      <w:pPr>
        <w:spacing w:line="360" w:lineRule="auto"/>
        <w:rPr>
          <w:rFonts w:ascii="Arial" w:hAnsi="Arial" w:cs="Arial"/>
          <w:sz w:val="24"/>
          <w:szCs w:val="24"/>
        </w:rPr>
      </w:pPr>
    </w:p>
    <w:p w14:paraId="7CB908BF" w14:textId="77777777" w:rsidR="00644159" w:rsidRDefault="00644159" w:rsidP="00424987">
      <w:pPr>
        <w:spacing w:line="360" w:lineRule="auto"/>
        <w:rPr>
          <w:rFonts w:ascii="Arial" w:hAnsi="Arial" w:cs="Arial"/>
          <w:sz w:val="24"/>
          <w:szCs w:val="24"/>
        </w:rPr>
      </w:pPr>
    </w:p>
    <w:p w14:paraId="27FFD289" w14:textId="77777777" w:rsidR="00644159" w:rsidRDefault="00644159" w:rsidP="00424987">
      <w:pPr>
        <w:spacing w:line="360" w:lineRule="auto"/>
        <w:rPr>
          <w:rFonts w:ascii="Arial" w:hAnsi="Arial" w:cs="Arial"/>
          <w:sz w:val="24"/>
          <w:szCs w:val="24"/>
        </w:rPr>
      </w:pPr>
    </w:p>
    <w:p w14:paraId="5DBE7AC8" w14:textId="77777777" w:rsidR="00644159" w:rsidRDefault="00644159" w:rsidP="00424987">
      <w:pPr>
        <w:spacing w:line="360" w:lineRule="auto"/>
        <w:rPr>
          <w:rFonts w:ascii="Arial" w:hAnsi="Arial" w:cs="Arial"/>
          <w:sz w:val="24"/>
          <w:szCs w:val="24"/>
        </w:rPr>
      </w:pPr>
    </w:p>
    <w:p w14:paraId="1A3F96D9" w14:textId="77777777" w:rsidR="00644159" w:rsidRDefault="00644159" w:rsidP="00424987">
      <w:pPr>
        <w:spacing w:line="360" w:lineRule="auto"/>
        <w:rPr>
          <w:rFonts w:ascii="Arial" w:hAnsi="Arial" w:cs="Arial"/>
          <w:sz w:val="24"/>
          <w:szCs w:val="24"/>
        </w:rPr>
      </w:pPr>
    </w:p>
    <w:p w14:paraId="2A6F3021" w14:textId="77777777" w:rsidR="00644159" w:rsidRDefault="00644159" w:rsidP="00424987">
      <w:pPr>
        <w:spacing w:line="360" w:lineRule="auto"/>
        <w:rPr>
          <w:rFonts w:ascii="Arial" w:hAnsi="Arial" w:cs="Arial"/>
          <w:sz w:val="24"/>
          <w:szCs w:val="24"/>
        </w:rPr>
      </w:pPr>
    </w:p>
    <w:p w14:paraId="49B36605" w14:textId="77777777" w:rsidR="00644159" w:rsidRDefault="00644159" w:rsidP="00424987">
      <w:pPr>
        <w:spacing w:line="360" w:lineRule="auto"/>
        <w:rPr>
          <w:rFonts w:ascii="Arial" w:hAnsi="Arial" w:cs="Arial"/>
          <w:sz w:val="24"/>
          <w:szCs w:val="24"/>
        </w:rPr>
      </w:pPr>
    </w:p>
    <w:p w14:paraId="5D0FB40C" w14:textId="77777777" w:rsidR="00644159" w:rsidRDefault="00644159" w:rsidP="00424987">
      <w:pPr>
        <w:spacing w:line="360" w:lineRule="auto"/>
        <w:rPr>
          <w:rFonts w:ascii="Arial" w:hAnsi="Arial" w:cs="Arial"/>
          <w:sz w:val="24"/>
          <w:szCs w:val="24"/>
        </w:rPr>
      </w:pPr>
    </w:p>
    <w:p w14:paraId="149BC8AB" w14:textId="77777777" w:rsidR="00644159" w:rsidRDefault="00644159" w:rsidP="00424987">
      <w:pPr>
        <w:spacing w:line="360" w:lineRule="auto"/>
        <w:rPr>
          <w:rFonts w:ascii="Arial" w:hAnsi="Arial" w:cs="Arial"/>
          <w:sz w:val="24"/>
          <w:szCs w:val="24"/>
        </w:rPr>
      </w:pPr>
    </w:p>
    <w:p w14:paraId="0FDB9F75" w14:textId="77777777" w:rsidR="00644159" w:rsidRDefault="00644159" w:rsidP="00424987">
      <w:pPr>
        <w:spacing w:line="360" w:lineRule="auto"/>
        <w:rPr>
          <w:rFonts w:ascii="Arial" w:hAnsi="Arial" w:cs="Arial"/>
          <w:sz w:val="24"/>
          <w:szCs w:val="24"/>
        </w:rPr>
      </w:pPr>
    </w:p>
    <w:p w14:paraId="3EADE8EF" w14:textId="77777777" w:rsidR="00644159" w:rsidRPr="00164C53" w:rsidRDefault="00644159" w:rsidP="00424987">
      <w:pPr>
        <w:spacing w:line="360" w:lineRule="auto"/>
        <w:rPr>
          <w:rFonts w:ascii="Arial" w:hAnsi="Arial" w:cs="Arial"/>
          <w:sz w:val="24"/>
          <w:szCs w:val="24"/>
        </w:rPr>
      </w:pPr>
    </w:p>
    <w:p w14:paraId="1CDBE767" w14:textId="77777777" w:rsidR="00F200C4" w:rsidRPr="00164C53" w:rsidRDefault="00F200C4" w:rsidP="00424987">
      <w:pPr>
        <w:spacing w:line="360" w:lineRule="auto"/>
        <w:rPr>
          <w:rFonts w:ascii="Arial" w:hAnsi="Arial" w:cs="Arial"/>
          <w:sz w:val="24"/>
          <w:szCs w:val="24"/>
        </w:rPr>
      </w:pPr>
    </w:p>
    <w:p w14:paraId="7C6D5E72" w14:textId="77777777" w:rsidR="00F200C4" w:rsidRDefault="00F200C4" w:rsidP="00424987">
      <w:pPr>
        <w:spacing w:line="360" w:lineRule="auto"/>
      </w:pPr>
    </w:p>
    <w:p w14:paraId="372C2266" w14:textId="77777777" w:rsidR="00424987" w:rsidRPr="00F43C12" w:rsidRDefault="00424987" w:rsidP="00424987">
      <w:pPr>
        <w:pStyle w:val="Heading1"/>
        <w:spacing w:line="360" w:lineRule="auto"/>
        <w:rPr>
          <w:rFonts w:ascii="Arial" w:hAnsi="Arial" w:cs="Arial"/>
          <w:sz w:val="24"/>
          <w:szCs w:val="24"/>
        </w:rPr>
      </w:pPr>
      <w:bookmarkStart w:id="0" w:name="_Toc235694609"/>
      <w:r w:rsidRPr="00F43C12">
        <w:rPr>
          <w:rFonts w:ascii="Arial" w:hAnsi="Arial" w:cs="Arial"/>
          <w:sz w:val="24"/>
          <w:szCs w:val="24"/>
        </w:rPr>
        <w:lastRenderedPageBreak/>
        <w:t>CFO Financial Performance Report: Hilton Worldwide Holdings Inc.</w:t>
      </w:r>
      <w:bookmarkEnd w:id="0"/>
    </w:p>
    <w:p w14:paraId="33307E52" w14:textId="13586709" w:rsidR="00424987" w:rsidRPr="00F43C12" w:rsidRDefault="00424987" w:rsidP="00424987">
      <w:pPr>
        <w:pStyle w:val="Heading2"/>
        <w:spacing w:line="360" w:lineRule="auto"/>
        <w:rPr>
          <w:rFonts w:ascii="Arial" w:hAnsi="Arial" w:cs="Arial"/>
          <w:sz w:val="24"/>
          <w:szCs w:val="24"/>
        </w:rPr>
      </w:pPr>
      <w:bookmarkStart w:id="1" w:name="_Toc235694610"/>
      <w:r w:rsidRPr="00F43C12">
        <w:rPr>
          <w:rFonts w:ascii="Arial" w:hAnsi="Arial" w:cs="Arial"/>
          <w:sz w:val="24"/>
          <w:szCs w:val="24"/>
        </w:rPr>
        <w:t>Scope and Analytical Basis</w:t>
      </w:r>
      <w:bookmarkEnd w:id="1"/>
    </w:p>
    <w:p w14:paraId="23DF02FB" w14:textId="61CE1911" w:rsidR="00E2557A" w:rsidRPr="00F43C12" w:rsidRDefault="00E2557A" w:rsidP="00E2557A">
      <w:pPr>
        <w:jc w:val="center"/>
        <w:rPr>
          <w:rFonts w:ascii="Arial" w:hAnsi="Arial" w:cs="Arial"/>
          <w:sz w:val="24"/>
          <w:szCs w:val="24"/>
        </w:rPr>
      </w:pPr>
      <w:r w:rsidRPr="00F43C12">
        <w:rPr>
          <w:rFonts w:ascii="Arial" w:hAnsi="Arial" w:cs="Arial"/>
          <w:noProof/>
          <w:sz w:val="24"/>
          <w:szCs w:val="24"/>
        </w:rPr>
        <w:drawing>
          <wp:inline distT="0" distB="0" distL="0" distR="0" wp14:anchorId="7DC06C1C" wp14:editId="686CE191">
            <wp:extent cx="3657600" cy="2049245"/>
            <wp:effectExtent l="0" t="0" r="0" b="8255"/>
            <wp:docPr id="339384830" name="Picture 3" descr="Hilton Logo and symbol, meaning, histor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ilton Logo and symbol, meaning, history, 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2049245"/>
                    </a:xfrm>
                    <a:prstGeom prst="rect">
                      <a:avLst/>
                    </a:prstGeom>
                    <a:noFill/>
                    <a:ln>
                      <a:noFill/>
                    </a:ln>
                  </pic:spPr>
                </pic:pic>
              </a:graphicData>
            </a:graphic>
          </wp:inline>
        </w:drawing>
      </w:r>
    </w:p>
    <w:p w14:paraId="2D263834" w14:textId="71C9AD4D" w:rsidR="00476D85" w:rsidRPr="00F43C12" w:rsidRDefault="00476D85" w:rsidP="00E2557A">
      <w:pPr>
        <w:jc w:val="center"/>
        <w:rPr>
          <w:rFonts w:ascii="Arial" w:hAnsi="Arial" w:cs="Arial"/>
          <w:b/>
          <w:bCs/>
          <w:sz w:val="24"/>
          <w:szCs w:val="24"/>
          <w:u w:val="single"/>
        </w:rPr>
      </w:pPr>
      <w:r w:rsidRPr="00F43C12">
        <w:rPr>
          <w:rFonts w:ascii="Arial" w:hAnsi="Arial" w:cs="Arial"/>
          <w:b/>
          <w:bCs/>
          <w:sz w:val="24"/>
          <w:szCs w:val="24"/>
          <w:highlight w:val="yellow"/>
          <w:u w:val="single"/>
        </w:rPr>
        <w:t xml:space="preserve">Source: </w:t>
      </w:r>
      <w:r w:rsidRPr="00F43C12">
        <w:rPr>
          <w:rFonts w:ascii="Arial" w:hAnsi="Arial" w:cs="Arial"/>
          <w:b/>
          <w:bCs/>
          <w:sz w:val="24"/>
          <w:szCs w:val="24"/>
          <w:highlight w:val="yellow"/>
          <w:u w:val="single"/>
        </w:rPr>
        <w:t>(Hilton Worldwide Holdings, 2026).</w:t>
      </w:r>
    </w:p>
    <w:p w14:paraId="0200A10A" w14:textId="58AAF499" w:rsidR="00D367F4" w:rsidRPr="00F43C12" w:rsidRDefault="00D367F4" w:rsidP="00D367F4">
      <w:pPr>
        <w:spacing w:line="360" w:lineRule="auto"/>
        <w:jc w:val="both"/>
        <w:rPr>
          <w:rFonts w:ascii="Arial" w:hAnsi="Arial" w:cs="Arial"/>
          <w:sz w:val="24"/>
          <w:szCs w:val="24"/>
        </w:rPr>
      </w:pPr>
      <w:r w:rsidRPr="00F43C12">
        <w:rPr>
          <w:rFonts w:ascii="Arial" w:hAnsi="Arial" w:cs="Arial"/>
          <w:sz w:val="24"/>
          <w:szCs w:val="24"/>
        </w:rPr>
        <w:t xml:space="preserve">The Hilton Worldwide Holdings Inc. five-year period (2021–2025) is being assessed in this report. Numerical information for the analysis is derived from audited Hilton's Form 10-K filings, and the 2020 balance-sheet numbers are only used as opening numbers for the </w:t>
      </w:r>
      <w:r w:rsidR="00244D58" w:rsidRPr="00F43C12">
        <w:rPr>
          <w:rFonts w:ascii="Arial" w:hAnsi="Arial" w:cs="Arial"/>
          <w:sz w:val="24"/>
          <w:szCs w:val="24"/>
        </w:rPr>
        <w:t>average asset</w:t>
      </w:r>
      <w:r w:rsidRPr="00F43C12">
        <w:rPr>
          <w:rFonts w:ascii="Arial" w:hAnsi="Arial" w:cs="Arial"/>
          <w:sz w:val="24"/>
          <w:szCs w:val="24"/>
        </w:rPr>
        <w:t xml:space="preserve"> and average-receivable calculations (Hilton Worldwide Holdings, 2026). Unless otherwise noted all amounts are in US$ million. This supporting Excel file provides the formulas used to calculate profitability, liquidity, efficiency, gearing, investment and cash-flow ratios, all of which are laid out plainly. Summarized principal financial information and ratios are included in Appendices A and B.</w:t>
      </w:r>
    </w:p>
    <w:p w14:paraId="1ED3442E" w14:textId="45E03F8D" w:rsidR="00AF31A8" w:rsidRPr="00F43C12" w:rsidRDefault="00D367F4" w:rsidP="00D367F4">
      <w:pPr>
        <w:spacing w:line="360" w:lineRule="auto"/>
        <w:jc w:val="both"/>
        <w:rPr>
          <w:rFonts w:ascii="Arial" w:hAnsi="Arial" w:cs="Arial"/>
          <w:sz w:val="24"/>
          <w:szCs w:val="24"/>
        </w:rPr>
      </w:pPr>
      <w:r w:rsidRPr="00F43C12">
        <w:rPr>
          <w:rFonts w:ascii="Arial" w:hAnsi="Arial" w:cs="Arial"/>
          <w:sz w:val="24"/>
          <w:szCs w:val="24"/>
        </w:rPr>
        <w:t xml:space="preserve">Both reported revenue and core revenue margins have been considered as Hilton records significant cost-reimbursement revenue. Reimbursement revenue is associated primarily with amounts recovered from hotel owners for </w:t>
      </w:r>
      <w:proofErr w:type="spellStart"/>
      <w:r w:rsidRPr="00F43C12">
        <w:rPr>
          <w:rFonts w:ascii="Arial" w:hAnsi="Arial" w:cs="Arial"/>
          <w:sz w:val="24"/>
          <w:szCs w:val="24"/>
        </w:rPr>
        <w:t>programmes</w:t>
      </w:r>
      <w:proofErr w:type="spellEnd"/>
      <w:r w:rsidRPr="00F43C12">
        <w:rPr>
          <w:rFonts w:ascii="Arial" w:hAnsi="Arial" w:cs="Arial"/>
          <w:sz w:val="24"/>
          <w:szCs w:val="24"/>
        </w:rPr>
        <w:t xml:space="preserve"> and </w:t>
      </w:r>
      <w:r w:rsidR="009C250D" w:rsidRPr="00F43C12">
        <w:rPr>
          <w:rFonts w:ascii="Arial" w:hAnsi="Arial" w:cs="Arial"/>
          <w:sz w:val="24"/>
          <w:szCs w:val="24"/>
        </w:rPr>
        <w:t>services and</w:t>
      </w:r>
      <w:r w:rsidRPr="00F43C12">
        <w:rPr>
          <w:rFonts w:ascii="Arial" w:hAnsi="Arial" w:cs="Arial"/>
          <w:sz w:val="24"/>
          <w:szCs w:val="24"/>
        </w:rPr>
        <w:t xml:space="preserve"> usually does not have a net effect on operating or net income. As a result, core revenue is a better indicator of Hilton's fee-based operating economics (Hilton Worldwide Holdings, 2026).</w:t>
      </w:r>
    </w:p>
    <w:p w14:paraId="231B87ED" w14:textId="0602F38D" w:rsidR="00424987" w:rsidRPr="00F43C12" w:rsidRDefault="00424987" w:rsidP="00424987">
      <w:pPr>
        <w:pStyle w:val="Heading2"/>
        <w:spacing w:line="360" w:lineRule="auto"/>
        <w:rPr>
          <w:rFonts w:ascii="Arial" w:hAnsi="Arial" w:cs="Arial"/>
          <w:sz w:val="24"/>
          <w:szCs w:val="24"/>
        </w:rPr>
      </w:pPr>
      <w:bookmarkStart w:id="2" w:name="_Toc235694611"/>
      <w:r w:rsidRPr="00F43C12">
        <w:rPr>
          <w:rFonts w:ascii="Arial" w:hAnsi="Arial" w:cs="Arial"/>
          <w:sz w:val="24"/>
          <w:szCs w:val="24"/>
        </w:rPr>
        <w:t>Executive Assessment</w:t>
      </w:r>
      <w:bookmarkEnd w:id="2"/>
    </w:p>
    <w:p w14:paraId="06361C10" w14:textId="77777777" w:rsidR="009C250D" w:rsidRPr="00F43C12" w:rsidRDefault="009C250D" w:rsidP="009C250D">
      <w:pPr>
        <w:spacing w:line="360" w:lineRule="auto"/>
        <w:jc w:val="both"/>
        <w:rPr>
          <w:rFonts w:ascii="Arial" w:hAnsi="Arial" w:cs="Arial"/>
          <w:sz w:val="24"/>
          <w:szCs w:val="24"/>
        </w:rPr>
      </w:pPr>
      <w:r w:rsidRPr="00F43C12">
        <w:rPr>
          <w:rFonts w:ascii="Arial" w:hAnsi="Arial" w:cs="Arial"/>
          <w:sz w:val="24"/>
          <w:szCs w:val="24"/>
        </w:rPr>
        <w:t xml:space="preserve">Hilton had a solid operating recovery and growth performance but a more aggressive financial-risk profile. Revenue increased from $5,788 million in 2021 to $12,039 million in 2025, while operating income rose from $1,010 million to $2,693 million. The free cash flow grew from just $30 million to $1,944 million. One of Hilton's key advantages is its asset-light business model, with the group owning 9,158 properties as of the end </w:t>
      </w:r>
      <w:r w:rsidRPr="00F43C12">
        <w:rPr>
          <w:rFonts w:ascii="Arial" w:hAnsi="Arial" w:cs="Arial"/>
          <w:sz w:val="24"/>
          <w:szCs w:val="24"/>
        </w:rPr>
        <w:lastRenderedPageBreak/>
        <w:t>of 2025, while only 46 hotels form part of its ownership segment (Hilton Worldwide Holdings, 2026).</w:t>
      </w:r>
    </w:p>
    <w:p w14:paraId="68D02CE9" w14:textId="6F9A4FC5" w:rsidR="00467C35" w:rsidRPr="00F43C12" w:rsidRDefault="009C250D" w:rsidP="00424987">
      <w:pPr>
        <w:spacing w:line="360" w:lineRule="auto"/>
        <w:jc w:val="both"/>
        <w:rPr>
          <w:rFonts w:ascii="Arial" w:hAnsi="Arial" w:cs="Arial"/>
          <w:sz w:val="24"/>
          <w:szCs w:val="24"/>
        </w:rPr>
      </w:pPr>
      <w:r w:rsidRPr="00F43C12">
        <w:rPr>
          <w:rFonts w:ascii="Arial" w:hAnsi="Arial" w:cs="Arial"/>
          <w:sz w:val="24"/>
          <w:szCs w:val="24"/>
        </w:rPr>
        <w:t>Despite this, the liquidity decreased, the total debt rose to $12,363 million and the stockholders' deficit also grew to $5,388 million. The one thing that CFO is worried about is not the weakness of the operations, but whether debt-funded distributions to shareholders are eroding financial resilience at a faster rate than Hilton's fee-based growth in value. The financial movements are detailed in Appendix A.</w:t>
      </w:r>
    </w:p>
    <w:p w14:paraId="6E02AEC2" w14:textId="42AB3CA8" w:rsidR="00424987" w:rsidRPr="00F43C12" w:rsidRDefault="00424987" w:rsidP="00424987">
      <w:pPr>
        <w:pStyle w:val="Heading2"/>
        <w:rPr>
          <w:rFonts w:ascii="Arial" w:hAnsi="Arial" w:cs="Arial"/>
          <w:sz w:val="24"/>
          <w:szCs w:val="24"/>
        </w:rPr>
      </w:pPr>
      <w:bookmarkStart w:id="3" w:name="_Toc235694612"/>
      <w:r w:rsidRPr="00F43C12">
        <w:rPr>
          <w:rFonts w:ascii="Arial" w:hAnsi="Arial" w:cs="Arial"/>
          <w:sz w:val="24"/>
          <w:szCs w:val="24"/>
        </w:rPr>
        <w:t>Financial-Statement and Profitability Analysis</w:t>
      </w:r>
      <w:bookmarkEnd w:id="3"/>
    </w:p>
    <w:p w14:paraId="665FAEB2" w14:textId="77777777" w:rsidR="001A3249" w:rsidRPr="00F43C12" w:rsidRDefault="001A3249" w:rsidP="001A3249">
      <w:pPr>
        <w:spacing w:line="360" w:lineRule="auto"/>
        <w:jc w:val="both"/>
        <w:rPr>
          <w:rFonts w:ascii="Arial" w:hAnsi="Arial" w:cs="Arial"/>
          <w:sz w:val="24"/>
          <w:szCs w:val="24"/>
        </w:rPr>
      </w:pPr>
      <w:r w:rsidRPr="00F43C12">
        <w:rPr>
          <w:rFonts w:ascii="Arial" w:hAnsi="Arial" w:cs="Arial"/>
          <w:sz w:val="24"/>
          <w:szCs w:val="24"/>
        </w:rPr>
        <w:t xml:space="preserve">The growth rate of reported revenue was around 20.1% CAGR from 2021-2025 and core revenue was around 19.3% CAGR 2021-2025. These high rates are, in part, a reflection of the pandemic affected 2021 base (Hilton Worldwide Holdings, 2026). A more balanced view comes from later years: revenue growth was reported to be 16.7% in 2023, 9.2% in 2024, and 7.7% in 2025. The growth rate for core revenue was also modest at 4.4% in 2025. Continued growth, but growth is </w:t>
      </w:r>
      <w:proofErr w:type="spellStart"/>
      <w:r w:rsidRPr="00F43C12">
        <w:rPr>
          <w:rFonts w:ascii="Arial" w:hAnsi="Arial" w:cs="Arial"/>
          <w:sz w:val="24"/>
          <w:szCs w:val="24"/>
        </w:rPr>
        <w:t>normalising</w:t>
      </w:r>
      <w:proofErr w:type="spellEnd"/>
      <w:r w:rsidRPr="00F43C12">
        <w:rPr>
          <w:rFonts w:ascii="Arial" w:hAnsi="Arial" w:cs="Arial"/>
          <w:sz w:val="24"/>
          <w:szCs w:val="24"/>
        </w:rPr>
        <w:t xml:space="preserve"> after the initial travel recovery (Hilton Worldwide Holdings, 2024; 2026).</w:t>
      </w:r>
    </w:p>
    <w:p w14:paraId="7FBDDF91" w14:textId="2CAD6117" w:rsidR="001A3249" w:rsidRPr="00F43C12" w:rsidRDefault="001A3249" w:rsidP="001A3249">
      <w:pPr>
        <w:spacing w:line="360" w:lineRule="auto"/>
        <w:jc w:val="both"/>
        <w:rPr>
          <w:rFonts w:ascii="Arial" w:hAnsi="Arial" w:cs="Arial"/>
          <w:sz w:val="24"/>
          <w:szCs w:val="24"/>
        </w:rPr>
      </w:pPr>
      <w:r w:rsidRPr="00F43C12">
        <w:rPr>
          <w:rFonts w:ascii="Arial" w:hAnsi="Arial" w:cs="Arial"/>
          <w:sz w:val="24"/>
          <w:szCs w:val="24"/>
        </w:rPr>
        <w:t>Operating income increased at a faster rate than revenue, which contributed to improving reported operating margin from 17.4% to 22.4%. More significantly, the core operating margin increased from 41.3% to 54.4%, illustrating the scalability of Hilton’s management, franchise and licensing fees once pass-through reimbursements are excluded. The return on assets increased from 2.5% to 8.8% and return on capital employed increased from 7.6% to 22.4%. As evidenced in Appendix B, these moves are associated with greater asset utilization and operating returns</w:t>
      </w:r>
      <w:r w:rsidR="00CA5F1E" w:rsidRPr="00F43C12">
        <w:rPr>
          <w:rFonts w:ascii="Arial" w:hAnsi="Arial" w:cs="Arial"/>
          <w:sz w:val="24"/>
          <w:szCs w:val="24"/>
        </w:rPr>
        <w:t xml:space="preserve"> </w:t>
      </w:r>
      <w:r w:rsidR="00CA5F1E" w:rsidRPr="00F43C12">
        <w:rPr>
          <w:rFonts w:ascii="Arial" w:hAnsi="Arial" w:cs="Arial"/>
          <w:sz w:val="24"/>
          <w:szCs w:val="24"/>
        </w:rPr>
        <w:t>(</w:t>
      </w:r>
      <w:proofErr w:type="spellStart"/>
      <w:r w:rsidR="00CA5F1E" w:rsidRPr="00F43C12">
        <w:rPr>
          <w:rFonts w:ascii="Arial" w:hAnsi="Arial" w:cs="Arial"/>
          <w:sz w:val="24"/>
          <w:szCs w:val="24"/>
        </w:rPr>
        <w:t>Derowitsch</w:t>
      </w:r>
      <w:proofErr w:type="spellEnd"/>
      <w:r w:rsidR="00CA5F1E" w:rsidRPr="00F43C12">
        <w:rPr>
          <w:rFonts w:ascii="Arial" w:hAnsi="Arial" w:cs="Arial"/>
          <w:sz w:val="24"/>
          <w:szCs w:val="24"/>
        </w:rPr>
        <w:t xml:space="preserve"> et al., 2025). </w:t>
      </w:r>
    </w:p>
    <w:p w14:paraId="4E9BA689" w14:textId="3236B603" w:rsidR="0020189F" w:rsidRPr="00F43C12" w:rsidRDefault="001A3249" w:rsidP="001A3249">
      <w:pPr>
        <w:spacing w:line="360" w:lineRule="auto"/>
        <w:jc w:val="both"/>
        <w:rPr>
          <w:rFonts w:ascii="Arial" w:hAnsi="Arial" w:cs="Arial"/>
          <w:sz w:val="24"/>
          <w:szCs w:val="24"/>
        </w:rPr>
      </w:pPr>
      <w:r w:rsidRPr="00F43C12">
        <w:rPr>
          <w:rFonts w:ascii="Arial" w:hAnsi="Arial" w:cs="Arial"/>
          <w:sz w:val="24"/>
          <w:szCs w:val="24"/>
        </w:rPr>
        <w:t xml:space="preserve">However, in 2025 net income declined from $1,539 million to $1,461 million, even though operating income increased by 13.6%. Interest expense grew to $620 million, and tax expense to $611 million, compared to $569 million and $244 million, respectively, in the prior year. The comparison is affected by a $270 million tax benefit </w:t>
      </w:r>
      <w:proofErr w:type="spellStart"/>
      <w:r w:rsidRPr="00F43C12">
        <w:rPr>
          <w:rFonts w:ascii="Arial" w:hAnsi="Arial" w:cs="Arial"/>
          <w:sz w:val="24"/>
          <w:szCs w:val="24"/>
        </w:rPr>
        <w:t>recognised</w:t>
      </w:r>
      <w:proofErr w:type="spellEnd"/>
      <w:r w:rsidRPr="00F43C12">
        <w:rPr>
          <w:rFonts w:ascii="Arial" w:hAnsi="Arial" w:cs="Arial"/>
          <w:sz w:val="24"/>
          <w:szCs w:val="24"/>
        </w:rPr>
        <w:t xml:space="preserve"> in 2024, but it still demonstrates how financing and taxation can prevent operating growth from reaching shareholders. Net margin, as a result, dropped from 13.8% to 12.1% (Hilton Worldwide Holdings, 2026).</w:t>
      </w:r>
    </w:p>
    <w:p w14:paraId="2C7C5666" w14:textId="65CAA368" w:rsidR="00424987" w:rsidRPr="00F43C12" w:rsidRDefault="00424987" w:rsidP="00424987">
      <w:pPr>
        <w:pStyle w:val="Heading2"/>
        <w:spacing w:line="360" w:lineRule="auto"/>
        <w:rPr>
          <w:rFonts w:ascii="Arial" w:hAnsi="Arial" w:cs="Arial"/>
          <w:sz w:val="24"/>
          <w:szCs w:val="24"/>
        </w:rPr>
      </w:pPr>
      <w:bookmarkStart w:id="4" w:name="_Toc235694613"/>
      <w:r w:rsidRPr="00F43C12">
        <w:rPr>
          <w:rFonts w:ascii="Arial" w:hAnsi="Arial" w:cs="Arial"/>
          <w:sz w:val="24"/>
          <w:szCs w:val="24"/>
        </w:rPr>
        <w:lastRenderedPageBreak/>
        <w:t>Liquidity and Working-Capital Management</w:t>
      </w:r>
      <w:bookmarkEnd w:id="4"/>
    </w:p>
    <w:p w14:paraId="5FB57C33" w14:textId="77777777" w:rsidR="00FC1FAE" w:rsidRPr="00F43C12" w:rsidRDefault="00FC1FAE" w:rsidP="00FC1FAE">
      <w:pPr>
        <w:spacing w:line="360" w:lineRule="auto"/>
        <w:jc w:val="both"/>
        <w:rPr>
          <w:rFonts w:ascii="Arial" w:hAnsi="Arial" w:cs="Arial"/>
          <w:sz w:val="24"/>
          <w:szCs w:val="24"/>
        </w:rPr>
      </w:pPr>
      <w:r w:rsidRPr="00F43C12">
        <w:rPr>
          <w:rFonts w:ascii="Arial" w:hAnsi="Arial" w:cs="Arial"/>
          <w:sz w:val="24"/>
          <w:szCs w:val="24"/>
        </w:rPr>
        <w:t>Liquidity is Hilton's biggest near-term failing. The current ratio decreased steadily between 2021 and 2025, from 0.95 to 0.66, and the quick ratio dropped from 0.85 to 0.59. Working capital went from negative $148 million to negative $1,512 million, while the cash ratio fell to 0.22 (Hilton Worldwide Holdings, 2026).</w:t>
      </w:r>
    </w:p>
    <w:p w14:paraId="506A9A1A" w14:textId="77777777" w:rsidR="00FC1FAE" w:rsidRPr="00F43C12" w:rsidRDefault="00FC1FAE" w:rsidP="00FC1FAE">
      <w:pPr>
        <w:spacing w:line="360" w:lineRule="auto"/>
        <w:jc w:val="both"/>
        <w:rPr>
          <w:rFonts w:ascii="Arial" w:hAnsi="Arial" w:cs="Arial"/>
          <w:sz w:val="24"/>
          <w:szCs w:val="24"/>
        </w:rPr>
      </w:pPr>
      <w:r w:rsidRPr="00F43C12">
        <w:rPr>
          <w:rFonts w:ascii="Arial" w:hAnsi="Arial" w:cs="Arial"/>
          <w:sz w:val="24"/>
          <w:szCs w:val="24"/>
        </w:rPr>
        <w:t xml:space="preserve">This is a structural position due to the fact that Hilton receives cash in advance of </w:t>
      </w:r>
      <w:proofErr w:type="spellStart"/>
      <w:r w:rsidRPr="00F43C12">
        <w:rPr>
          <w:rFonts w:ascii="Arial" w:hAnsi="Arial" w:cs="Arial"/>
          <w:sz w:val="24"/>
          <w:szCs w:val="24"/>
        </w:rPr>
        <w:t>recognising</w:t>
      </w:r>
      <w:proofErr w:type="spellEnd"/>
      <w:r w:rsidRPr="00F43C12">
        <w:rPr>
          <w:rFonts w:ascii="Arial" w:hAnsi="Arial" w:cs="Arial"/>
          <w:sz w:val="24"/>
          <w:szCs w:val="24"/>
        </w:rPr>
        <w:t xml:space="preserve"> some revenues and has large current deferred revenue and loyalty </w:t>
      </w:r>
      <w:proofErr w:type="spellStart"/>
      <w:r w:rsidRPr="00F43C12">
        <w:rPr>
          <w:rFonts w:ascii="Arial" w:hAnsi="Arial" w:cs="Arial"/>
          <w:sz w:val="24"/>
          <w:szCs w:val="24"/>
        </w:rPr>
        <w:t>programme</w:t>
      </w:r>
      <w:proofErr w:type="spellEnd"/>
      <w:r w:rsidRPr="00F43C12">
        <w:rPr>
          <w:rFonts w:ascii="Arial" w:hAnsi="Arial" w:cs="Arial"/>
          <w:sz w:val="24"/>
          <w:szCs w:val="24"/>
        </w:rPr>
        <w:t xml:space="preserve"> liabilities. Moreover, operating cash flow increased to $2,129 million in 2025, giving an operating-cash-flow ratio of 0.47. However, the downward liquidity trend can lead to less room for error during a travel slowdown, owner default, cyber incident, or refinancing shock (Hilton Worldwide Holdings, 2026).</w:t>
      </w:r>
    </w:p>
    <w:p w14:paraId="020210C3" w14:textId="24A6AEAA" w:rsidR="001A3249" w:rsidRPr="00F43C12" w:rsidRDefault="00FC1FAE" w:rsidP="00FC1FAE">
      <w:pPr>
        <w:spacing w:line="360" w:lineRule="auto"/>
        <w:jc w:val="both"/>
        <w:rPr>
          <w:rFonts w:ascii="Arial" w:hAnsi="Arial" w:cs="Arial"/>
          <w:sz w:val="24"/>
          <w:szCs w:val="24"/>
        </w:rPr>
      </w:pPr>
      <w:r w:rsidRPr="00F43C12">
        <w:rPr>
          <w:rFonts w:ascii="Arial" w:hAnsi="Arial" w:cs="Arial"/>
          <w:sz w:val="24"/>
          <w:szCs w:val="24"/>
        </w:rPr>
        <w:t>Hilton should implement a rolling 13-week liquidity forecast, stricter collection policies for hotel-owners and franchise receivables, ageing-based escalation policies and ring-fenced liquidity forecasts for loyalty and deferred-revenue obligations. Negative working capital is not inherently harmful and should not be viewed as such, but rather should be considered as a board approved liquidity floor (Hilton Worldwide Holdings, 2026).</w:t>
      </w:r>
    </w:p>
    <w:p w14:paraId="71E3E875" w14:textId="728B5402" w:rsidR="00424987" w:rsidRPr="00F43C12" w:rsidRDefault="00424987" w:rsidP="00424987">
      <w:pPr>
        <w:pStyle w:val="Heading2"/>
        <w:spacing w:line="360" w:lineRule="auto"/>
        <w:rPr>
          <w:rFonts w:ascii="Arial" w:hAnsi="Arial" w:cs="Arial"/>
          <w:sz w:val="24"/>
          <w:szCs w:val="24"/>
        </w:rPr>
      </w:pPr>
      <w:bookmarkStart w:id="5" w:name="_Toc235694614"/>
      <w:r w:rsidRPr="00F43C12">
        <w:rPr>
          <w:rFonts w:ascii="Arial" w:hAnsi="Arial" w:cs="Arial"/>
          <w:sz w:val="24"/>
          <w:szCs w:val="24"/>
        </w:rPr>
        <w:t>Efficiency Analysis</w:t>
      </w:r>
      <w:bookmarkEnd w:id="5"/>
    </w:p>
    <w:p w14:paraId="318150F3" w14:textId="77777777" w:rsidR="0006344F" w:rsidRPr="00F43C12" w:rsidRDefault="0006344F" w:rsidP="0006344F">
      <w:pPr>
        <w:spacing w:line="360" w:lineRule="auto"/>
        <w:jc w:val="both"/>
        <w:rPr>
          <w:rFonts w:ascii="Arial" w:hAnsi="Arial" w:cs="Arial"/>
          <w:sz w:val="24"/>
          <w:szCs w:val="24"/>
        </w:rPr>
      </w:pPr>
      <w:r w:rsidRPr="00F43C12">
        <w:rPr>
          <w:rFonts w:ascii="Arial" w:hAnsi="Arial" w:cs="Arial"/>
          <w:sz w:val="24"/>
          <w:szCs w:val="24"/>
        </w:rPr>
        <w:t>Asset turnover increased from 0.36 times in 2021 to 0.72 times in 2025. Receivables turnover rose to 7.36 from 6.29, while the days sales outstanding ratio decreased to about 49.6 from 58.0 days. These are encouraging signs of collection discipline, and the efficiency of Hilton's asset-light platform (Hilton Worldwide Holdings, 2026).</w:t>
      </w:r>
    </w:p>
    <w:p w14:paraId="401DF6A5" w14:textId="490B41C2" w:rsidR="00FC1FAE" w:rsidRPr="00F43C12" w:rsidRDefault="0006344F" w:rsidP="0006344F">
      <w:pPr>
        <w:spacing w:line="360" w:lineRule="auto"/>
        <w:jc w:val="both"/>
        <w:rPr>
          <w:rFonts w:ascii="Arial" w:hAnsi="Arial" w:cs="Arial"/>
          <w:sz w:val="24"/>
          <w:szCs w:val="24"/>
        </w:rPr>
      </w:pPr>
      <w:r w:rsidRPr="00F43C12">
        <w:rPr>
          <w:rFonts w:ascii="Arial" w:hAnsi="Arial" w:cs="Arial"/>
          <w:sz w:val="24"/>
          <w:szCs w:val="24"/>
        </w:rPr>
        <w:t>Fixed-asset turnover was steady at 21.99 times in 2025, down from the previous year high of 30.92 times, due to an increase in property and equipment. New-owned, leased, technology and acquisition-related assets should thus be tracked against established return targets to ensure that Hilton slowly erodes the advantages of its capital-light business model (Hilton Worldwide Holdings, 2026).</w:t>
      </w:r>
    </w:p>
    <w:p w14:paraId="4A6A8275" w14:textId="1D3B82CE" w:rsidR="00424987" w:rsidRPr="00F43C12" w:rsidRDefault="00424987" w:rsidP="00424987">
      <w:pPr>
        <w:pStyle w:val="Heading2"/>
        <w:spacing w:line="360" w:lineRule="auto"/>
        <w:rPr>
          <w:rFonts w:ascii="Arial" w:hAnsi="Arial" w:cs="Arial"/>
          <w:sz w:val="24"/>
          <w:szCs w:val="24"/>
        </w:rPr>
      </w:pPr>
      <w:bookmarkStart w:id="6" w:name="_Toc235694615"/>
      <w:r w:rsidRPr="00F43C12">
        <w:rPr>
          <w:rFonts w:ascii="Arial" w:hAnsi="Arial" w:cs="Arial"/>
          <w:sz w:val="24"/>
          <w:szCs w:val="24"/>
        </w:rPr>
        <w:t>Gearing, Investment and Cash-Flow Analysis</w:t>
      </w:r>
      <w:bookmarkEnd w:id="6"/>
    </w:p>
    <w:p w14:paraId="0A806CF7" w14:textId="77777777" w:rsidR="00A71E0A" w:rsidRPr="00F43C12" w:rsidRDefault="00A71E0A" w:rsidP="00A71E0A">
      <w:pPr>
        <w:spacing w:line="360" w:lineRule="auto"/>
        <w:jc w:val="both"/>
        <w:rPr>
          <w:rFonts w:ascii="Arial" w:hAnsi="Arial" w:cs="Arial"/>
          <w:sz w:val="24"/>
          <w:szCs w:val="24"/>
        </w:rPr>
      </w:pPr>
      <w:r w:rsidRPr="00F43C12">
        <w:rPr>
          <w:rFonts w:ascii="Arial" w:hAnsi="Arial" w:cs="Arial"/>
          <w:sz w:val="24"/>
          <w:szCs w:val="24"/>
        </w:rPr>
        <w:t xml:space="preserve">Total debt increased from $8,766 million in 2021 to $12,363 million in 2025. In 2025, debt accounted for 73.7% of assets, up from 56.8% in 2021 and total liabilities equaled 131.9% of assets. Conventional return-on-equity and debt-to-equity ratios have not </w:t>
      </w:r>
      <w:r w:rsidRPr="00F43C12">
        <w:rPr>
          <w:rFonts w:ascii="Arial" w:hAnsi="Arial" w:cs="Arial"/>
          <w:sz w:val="24"/>
          <w:szCs w:val="24"/>
        </w:rPr>
        <w:lastRenderedPageBreak/>
        <w:t>been used, as Hilton 's book equity is negative, resulting in these ratios to be economically misleading (Hilton Worldwide Holdings, 2026).</w:t>
      </w:r>
    </w:p>
    <w:p w14:paraId="7BE10111" w14:textId="77777777" w:rsidR="00A71E0A" w:rsidRPr="00F43C12" w:rsidRDefault="00A71E0A" w:rsidP="00A71E0A">
      <w:pPr>
        <w:spacing w:line="360" w:lineRule="auto"/>
        <w:jc w:val="both"/>
        <w:rPr>
          <w:rFonts w:ascii="Arial" w:hAnsi="Arial" w:cs="Arial"/>
          <w:sz w:val="24"/>
          <w:szCs w:val="24"/>
        </w:rPr>
      </w:pPr>
      <w:r w:rsidRPr="00F43C12">
        <w:rPr>
          <w:rFonts w:ascii="Arial" w:hAnsi="Arial" w:cs="Arial"/>
          <w:sz w:val="24"/>
          <w:szCs w:val="24"/>
        </w:rPr>
        <w:t>Interest coverage was good at 4.34 times, but slightly short of the record high in 2022 of 5.05 times. Net debt to operating cash flow rose from 4.28 times in 2023 to 5.35 times in 2025, indicating that leverage grew at a faster rate than the annual cash generation. Hilton itself declares that the obligations to refinance substantial debt and the material financial risks associated with it. (Hilton Worldwide Holdings, 2026)</w:t>
      </w:r>
    </w:p>
    <w:p w14:paraId="01F2D201" w14:textId="77777777" w:rsidR="00A71E0A" w:rsidRPr="00F43C12" w:rsidRDefault="00A71E0A" w:rsidP="00A71E0A">
      <w:pPr>
        <w:spacing w:line="360" w:lineRule="auto"/>
        <w:jc w:val="both"/>
        <w:rPr>
          <w:rFonts w:ascii="Arial" w:hAnsi="Arial" w:cs="Arial"/>
          <w:sz w:val="24"/>
          <w:szCs w:val="24"/>
        </w:rPr>
      </w:pPr>
      <w:r w:rsidRPr="00F43C12">
        <w:rPr>
          <w:rFonts w:ascii="Arial" w:hAnsi="Arial" w:cs="Arial"/>
          <w:sz w:val="24"/>
          <w:szCs w:val="24"/>
        </w:rPr>
        <w:t>The outlook on investment is mixed. Diluted EPS rose from $1.46 to $6.12 and the dividend payout ratio for 2025 was just 9.8%, giving a dividend cover of 10.2 times. Cash conversion was also strong (1.46 times) while free cash flow was $1,944 million (Hilton Worldwide Holdings, 2026).</w:t>
      </w:r>
    </w:p>
    <w:p w14:paraId="2603E6DF" w14:textId="5B6F2855" w:rsidR="0006344F" w:rsidRPr="00F43C12" w:rsidRDefault="00A71E0A" w:rsidP="00A71E0A">
      <w:pPr>
        <w:spacing w:line="360" w:lineRule="auto"/>
        <w:jc w:val="both"/>
        <w:rPr>
          <w:rFonts w:ascii="Arial" w:hAnsi="Arial" w:cs="Arial"/>
          <w:sz w:val="24"/>
          <w:szCs w:val="24"/>
        </w:rPr>
      </w:pPr>
      <w:r w:rsidRPr="00F43C12">
        <w:rPr>
          <w:rFonts w:ascii="Arial" w:hAnsi="Arial" w:cs="Arial"/>
          <w:sz w:val="24"/>
          <w:szCs w:val="24"/>
        </w:rPr>
        <w:t xml:space="preserve">In 2025, share repurchases </w:t>
      </w:r>
      <w:proofErr w:type="spellStart"/>
      <w:r w:rsidRPr="00F43C12">
        <w:rPr>
          <w:rFonts w:ascii="Arial" w:hAnsi="Arial" w:cs="Arial"/>
          <w:sz w:val="24"/>
          <w:szCs w:val="24"/>
        </w:rPr>
        <w:t>totalled</w:t>
      </w:r>
      <w:proofErr w:type="spellEnd"/>
      <w:r w:rsidRPr="00F43C12">
        <w:rPr>
          <w:rFonts w:ascii="Arial" w:hAnsi="Arial" w:cs="Arial"/>
          <w:sz w:val="24"/>
          <w:szCs w:val="24"/>
        </w:rPr>
        <w:t xml:space="preserve"> $3,182 million or 149.5% of operating cash flow and 163.7% of free cash flow. In all years since 2023, buybacks have been larger than annual operating cash flow. Repurchases can boost EPS, but this strategy has coincided with an increase in debt and a larger deficit for stockholders, which has been the primary controllable financial risk facing Hilton (Hilton Worldwide Holdings, 2026).</w:t>
      </w:r>
    </w:p>
    <w:p w14:paraId="05014E55" w14:textId="622CA885" w:rsidR="00424987" w:rsidRPr="00F43C12" w:rsidRDefault="00424987" w:rsidP="00424987">
      <w:pPr>
        <w:pStyle w:val="Heading2"/>
        <w:spacing w:line="360" w:lineRule="auto"/>
        <w:rPr>
          <w:rFonts w:ascii="Arial" w:hAnsi="Arial" w:cs="Arial"/>
          <w:sz w:val="24"/>
          <w:szCs w:val="24"/>
        </w:rPr>
      </w:pPr>
      <w:bookmarkStart w:id="7" w:name="_Toc235694616"/>
      <w:r w:rsidRPr="00F43C12">
        <w:rPr>
          <w:rFonts w:ascii="Arial" w:hAnsi="Arial" w:cs="Arial"/>
          <w:sz w:val="24"/>
          <w:szCs w:val="24"/>
        </w:rPr>
        <w:t>Liquidity Comparison with Sector Benchmarks</w:t>
      </w:r>
      <w:bookmarkEnd w:id="7"/>
    </w:p>
    <w:p w14:paraId="1BED85FC" w14:textId="0239E673" w:rsidR="00424987" w:rsidRPr="00F43C12" w:rsidRDefault="00424987" w:rsidP="00424987">
      <w:pPr>
        <w:jc w:val="center"/>
        <w:rPr>
          <w:rFonts w:ascii="Arial" w:hAnsi="Arial" w:cs="Arial"/>
          <w:sz w:val="24"/>
          <w:szCs w:val="24"/>
        </w:rPr>
      </w:pPr>
      <w:r w:rsidRPr="00F43C12">
        <w:rPr>
          <w:rFonts w:ascii="Arial" w:hAnsi="Arial" w:cs="Arial"/>
          <w:noProof/>
          <w:sz w:val="24"/>
          <w:szCs w:val="24"/>
        </w:rPr>
        <w:drawing>
          <wp:inline distT="0" distB="0" distL="0" distR="0" wp14:anchorId="024A76DA" wp14:editId="63DDC2F0">
            <wp:extent cx="5731510" cy="3788323"/>
            <wp:effectExtent l="0" t="0" r="2540" b="3175"/>
            <wp:docPr id="1081024341"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9CB2D0D" w14:textId="77777777" w:rsidR="00A71E0A" w:rsidRPr="00F43C12" w:rsidRDefault="00A71E0A" w:rsidP="00A71E0A">
      <w:pPr>
        <w:spacing w:line="360" w:lineRule="auto"/>
        <w:jc w:val="both"/>
        <w:rPr>
          <w:rFonts w:ascii="Arial" w:hAnsi="Arial" w:cs="Arial"/>
          <w:sz w:val="24"/>
          <w:szCs w:val="24"/>
        </w:rPr>
      </w:pPr>
      <w:r w:rsidRPr="00F43C12">
        <w:rPr>
          <w:rFonts w:ascii="Arial" w:hAnsi="Arial" w:cs="Arial"/>
          <w:sz w:val="24"/>
          <w:szCs w:val="24"/>
        </w:rPr>
        <w:lastRenderedPageBreak/>
        <w:t>As shown in Appendix C, Hilton’s 2025 current ratio of 0.66 was below the 0.86 median of Marriott International, Wyndham Hotels &amp; Resorts and Choice Hotels International. In addition, Hilton's quick ratio (0.59) falls short of the peer median of 0.70. Hilton's cash ratio of 0.22 was higher than the median for the selected peers, which was about 0.10, suggesting that Hilton held a higher proportion of cash compared to current liabilities, but this did not offset its higher overall working-capital deficit (Hilton Worldwide Holdings, 2026).</w:t>
      </w:r>
    </w:p>
    <w:p w14:paraId="128C2CFC" w14:textId="36C3E663" w:rsidR="00A71E0A" w:rsidRPr="00F43C12" w:rsidRDefault="00A71E0A" w:rsidP="00A71E0A">
      <w:pPr>
        <w:spacing w:line="360" w:lineRule="auto"/>
        <w:jc w:val="both"/>
        <w:rPr>
          <w:rFonts w:ascii="Arial" w:hAnsi="Arial" w:cs="Arial"/>
          <w:sz w:val="24"/>
          <w:szCs w:val="24"/>
        </w:rPr>
      </w:pPr>
      <w:r w:rsidRPr="00F43C12">
        <w:rPr>
          <w:rFonts w:ascii="Arial" w:hAnsi="Arial" w:cs="Arial"/>
          <w:sz w:val="24"/>
          <w:szCs w:val="24"/>
        </w:rPr>
        <w:t>From the perspective of the practitioner, a current ratio of around 1.2 to 2.0 is a healthy position for a hotel. This general rule shouldn't be applied outright to asset-light hotel firms such as Marriott, as it has a current ratio of about 0.4 in 2025. Nevertheless, both the generic benchmark and tailored peer comparison point in the same direction: Hilton’s liquidity cushion is relatively thin</w:t>
      </w:r>
      <w:r w:rsidR="00D3481B" w:rsidRPr="00F43C12">
        <w:rPr>
          <w:rFonts w:ascii="Arial" w:hAnsi="Arial" w:cs="Arial"/>
          <w:sz w:val="24"/>
          <w:szCs w:val="24"/>
        </w:rPr>
        <w:t xml:space="preserve"> </w:t>
      </w:r>
      <w:r w:rsidR="00D3481B" w:rsidRPr="00F43C12">
        <w:rPr>
          <w:rFonts w:ascii="Arial" w:hAnsi="Arial" w:cs="Arial"/>
          <w:sz w:val="24"/>
          <w:szCs w:val="24"/>
        </w:rPr>
        <w:t xml:space="preserve">(Ngoc, </w:t>
      </w:r>
      <w:proofErr w:type="spellStart"/>
      <w:r w:rsidR="00D3481B" w:rsidRPr="00F43C12">
        <w:rPr>
          <w:rFonts w:ascii="Arial" w:hAnsi="Arial" w:cs="Arial"/>
          <w:sz w:val="24"/>
          <w:szCs w:val="24"/>
        </w:rPr>
        <w:t>Thi</w:t>
      </w:r>
      <w:proofErr w:type="spellEnd"/>
      <w:r w:rsidR="00D3481B" w:rsidRPr="00F43C12">
        <w:rPr>
          <w:rFonts w:ascii="Arial" w:hAnsi="Arial" w:cs="Arial"/>
          <w:sz w:val="24"/>
          <w:szCs w:val="24"/>
        </w:rPr>
        <w:t xml:space="preserve"> and Nguyen, 2023). </w:t>
      </w:r>
    </w:p>
    <w:p w14:paraId="186F0E68" w14:textId="26A66A2F" w:rsidR="00B84225" w:rsidRPr="00F43C12" w:rsidRDefault="00A71E0A" w:rsidP="00951972">
      <w:pPr>
        <w:spacing w:line="360" w:lineRule="auto"/>
        <w:jc w:val="both"/>
        <w:rPr>
          <w:rFonts w:ascii="Arial" w:hAnsi="Arial" w:cs="Arial"/>
          <w:sz w:val="24"/>
          <w:szCs w:val="24"/>
        </w:rPr>
      </w:pPr>
      <w:r w:rsidRPr="00F43C12">
        <w:rPr>
          <w:rFonts w:ascii="Arial" w:hAnsi="Arial" w:cs="Arial"/>
          <w:sz w:val="24"/>
          <w:szCs w:val="24"/>
        </w:rPr>
        <w:t xml:space="preserve">A realistic internal target would be a current ratio of at least 0.75–0.85, supported by committed revolving facilities, maturity planning and stress-tested cash forecasts. This target </w:t>
      </w:r>
      <w:proofErr w:type="spellStart"/>
      <w:r w:rsidRPr="00F43C12">
        <w:rPr>
          <w:rFonts w:ascii="Arial" w:hAnsi="Arial" w:cs="Arial"/>
          <w:sz w:val="24"/>
          <w:szCs w:val="24"/>
        </w:rPr>
        <w:t>recognises</w:t>
      </w:r>
      <w:proofErr w:type="spellEnd"/>
      <w:r w:rsidRPr="00F43C12">
        <w:rPr>
          <w:rFonts w:ascii="Arial" w:hAnsi="Arial" w:cs="Arial"/>
          <w:sz w:val="24"/>
          <w:szCs w:val="24"/>
        </w:rPr>
        <w:t xml:space="preserve"> the sector’s negative working-capital characteristics while providing more protection than Hilton’s present position (Hilton Worldwide Holdings, 2026).</w:t>
      </w:r>
    </w:p>
    <w:p w14:paraId="0EBCF4FC" w14:textId="3484D90A" w:rsidR="00424987" w:rsidRPr="00F43C12" w:rsidRDefault="00424987" w:rsidP="00951972">
      <w:pPr>
        <w:pStyle w:val="Heading2"/>
        <w:spacing w:line="360" w:lineRule="auto"/>
        <w:rPr>
          <w:rFonts w:ascii="Arial" w:hAnsi="Arial" w:cs="Arial"/>
          <w:sz w:val="24"/>
          <w:szCs w:val="24"/>
        </w:rPr>
      </w:pPr>
      <w:bookmarkStart w:id="8" w:name="_Toc235694617"/>
      <w:r w:rsidRPr="00F43C12">
        <w:rPr>
          <w:rFonts w:ascii="Arial" w:hAnsi="Arial" w:cs="Arial"/>
          <w:sz w:val="24"/>
          <w:szCs w:val="24"/>
        </w:rPr>
        <w:t>Trends, Threats and Recommended CFO Strategy</w:t>
      </w:r>
      <w:bookmarkEnd w:id="8"/>
    </w:p>
    <w:p w14:paraId="4311A1A1" w14:textId="50B3327C" w:rsidR="00647D26" w:rsidRPr="00F43C12" w:rsidRDefault="00647D26" w:rsidP="00951972">
      <w:pPr>
        <w:spacing w:line="360" w:lineRule="auto"/>
        <w:jc w:val="both"/>
        <w:rPr>
          <w:rFonts w:ascii="Arial" w:hAnsi="Arial" w:cs="Arial"/>
          <w:sz w:val="24"/>
          <w:szCs w:val="24"/>
        </w:rPr>
      </w:pPr>
      <w:r w:rsidRPr="00F43C12">
        <w:rPr>
          <w:rFonts w:ascii="Arial" w:hAnsi="Arial" w:cs="Arial"/>
          <w:sz w:val="24"/>
          <w:szCs w:val="24"/>
        </w:rPr>
        <w:t>Hilton's key strengths are scalable fee income, increasing operating returns, better receivables management, higher cash conversion and significant free cash flow generation</w:t>
      </w:r>
      <w:r w:rsidR="00CA5F1E" w:rsidRPr="00F43C12">
        <w:rPr>
          <w:rFonts w:ascii="Arial" w:hAnsi="Arial" w:cs="Arial"/>
          <w:sz w:val="24"/>
          <w:szCs w:val="24"/>
        </w:rPr>
        <w:t xml:space="preserve"> </w:t>
      </w:r>
      <w:r w:rsidRPr="00F43C12">
        <w:rPr>
          <w:rFonts w:ascii="Arial" w:hAnsi="Arial" w:cs="Arial"/>
          <w:sz w:val="24"/>
          <w:szCs w:val="24"/>
        </w:rPr>
        <w:t xml:space="preserve"> </w:t>
      </w:r>
      <w:r w:rsidR="00CA5F1E" w:rsidRPr="00F43C12">
        <w:rPr>
          <w:rFonts w:ascii="Arial" w:hAnsi="Arial" w:cs="Arial"/>
          <w:sz w:val="24"/>
          <w:szCs w:val="24"/>
        </w:rPr>
        <w:t>(</w:t>
      </w:r>
      <w:proofErr w:type="spellStart"/>
      <w:r w:rsidR="00CA5F1E" w:rsidRPr="00F43C12">
        <w:rPr>
          <w:rFonts w:ascii="Arial" w:hAnsi="Arial" w:cs="Arial"/>
          <w:sz w:val="24"/>
          <w:szCs w:val="24"/>
        </w:rPr>
        <w:t>Derowitsch</w:t>
      </w:r>
      <w:proofErr w:type="spellEnd"/>
      <w:r w:rsidR="00CA5F1E" w:rsidRPr="00F43C12">
        <w:rPr>
          <w:rFonts w:ascii="Arial" w:hAnsi="Arial" w:cs="Arial"/>
          <w:sz w:val="24"/>
          <w:szCs w:val="24"/>
        </w:rPr>
        <w:t xml:space="preserve"> et al., 2025). </w:t>
      </w:r>
      <w:r w:rsidRPr="00F43C12">
        <w:rPr>
          <w:rFonts w:ascii="Arial" w:hAnsi="Arial" w:cs="Arial"/>
          <w:sz w:val="24"/>
          <w:szCs w:val="24"/>
        </w:rPr>
        <w:t xml:space="preserve">The major risks include growing leverage, weak working capital, growing interest expense, third-party hotel ownership, travel cyclicality, geopolitical risk, </w:t>
      </w:r>
      <w:proofErr w:type="spellStart"/>
      <w:r w:rsidRPr="00F43C12">
        <w:rPr>
          <w:rFonts w:ascii="Arial" w:hAnsi="Arial" w:cs="Arial"/>
          <w:sz w:val="24"/>
          <w:szCs w:val="24"/>
        </w:rPr>
        <w:t>labour</w:t>
      </w:r>
      <w:proofErr w:type="spellEnd"/>
      <w:r w:rsidRPr="00F43C12">
        <w:rPr>
          <w:rFonts w:ascii="Arial" w:hAnsi="Arial" w:cs="Arial"/>
          <w:sz w:val="24"/>
          <w:szCs w:val="24"/>
        </w:rPr>
        <w:t xml:space="preserve"> shortage, and exposure to cybersecurity. Material concerns mentioned in Hilton's filings include significant indebtedness and/or information technology risk, and access by the hotel owners of capital</w:t>
      </w:r>
      <w:r w:rsidR="00E56157" w:rsidRPr="00F43C12">
        <w:rPr>
          <w:rFonts w:ascii="Arial" w:hAnsi="Arial" w:cs="Arial"/>
          <w:sz w:val="24"/>
          <w:szCs w:val="24"/>
        </w:rPr>
        <w:t xml:space="preserve"> </w:t>
      </w:r>
      <w:r w:rsidR="00E56157" w:rsidRPr="00F43C12">
        <w:rPr>
          <w:rFonts w:ascii="Arial" w:hAnsi="Arial" w:cs="Arial"/>
          <w:sz w:val="24"/>
          <w:szCs w:val="24"/>
        </w:rPr>
        <w:t xml:space="preserve">(Bruna et al., 2022). </w:t>
      </w:r>
    </w:p>
    <w:p w14:paraId="16727BFA" w14:textId="77777777" w:rsidR="00647D26" w:rsidRPr="00F43C12" w:rsidRDefault="00647D26" w:rsidP="00951972">
      <w:pPr>
        <w:spacing w:line="360" w:lineRule="auto"/>
        <w:jc w:val="both"/>
        <w:rPr>
          <w:rFonts w:ascii="Arial" w:hAnsi="Arial" w:cs="Arial"/>
          <w:sz w:val="24"/>
          <w:szCs w:val="24"/>
        </w:rPr>
      </w:pPr>
      <w:r w:rsidRPr="00F43C12">
        <w:rPr>
          <w:rFonts w:ascii="Arial" w:hAnsi="Arial" w:cs="Arial"/>
          <w:sz w:val="24"/>
          <w:szCs w:val="24"/>
        </w:rPr>
        <w:t>The suggested course of action for CFO is:</w:t>
      </w:r>
    </w:p>
    <w:p w14:paraId="410AE6A2" w14:textId="77777777" w:rsidR="00647D26" w:rsidRPr="00F43C12" w:rsidRDefault="00647D26" w:rsidP="00951972">
      <w:pPr>
        <w:pStyle w:val="ListParagraph"/>
        <w:numPr>
          <w:ilvl w:val="0"/>
          <w:numId w:val="12"/>
        </w:numPr>
        <w:spacing w:line="360" w:lineRule="auto"/>
        <w:jc w:val="both"/>
        <w:rPr>
          <w:rFonts w:ascii="Arial" w:hAnsi="Arial" w:cs="Arial"/>
          <w:sz w:val="24"/>
          <w:szCs w:val="24"/>
        </w:rPr>
      </w:pPr>
      <w:r w:rsidRPr="00F43C12">
        <w:rPr>
          <w:rFonts w:ascii="Arial" w:hAnsi="Arial" w:cs="Arial"/>
          <w:b/>
          <w:bCs/>
          <w:sz w:val="24"/>
          <w:szCs w:val="24"/>
        </w:rPr>
        <w:t>Restore shareholder distributions:</w:t>
      </w:r>
      <w:r w:rsidRPr="00F43C12">
        <w:rPr>
          <w:rFonts w:ascii="Arial" w:hAnsi="Arial" w:cs="Arial"/>
          <w:sz w:val="24"/>
          <w:szCs w:val="24"/>
        </w:rPr>
        <w:t xml:space="preserve"> Reduce share repurchases to 50–70% of free cash flows until current ratio is over 0.75 and net debt to cash flows of operations is under 4.5.</w:t>
      </w:r>
    </w:p>
    <w:p w14:paraId="5A3EB343" w14:textId="796FB917" w:rsidR="00647D26" w:rsidRPr="00F43C12" w:rsidRDefault="00647D26" w:rsidP="00951972">
      <w:pPr>
        <w:pStyle w:val="ListParagraph"/>
        <w:numPr>
          <w:ilvl w:val="0"/>
          <w:numId w:val="12"/>
        </w:numPr>
        <w:spacing w:line="360" w:lineRule="auto"/>
        <w:jc w:val="both"/>
        <w:rPr>
          <w:rFonts w:ascii="Arial" w:hAnsi="Arial" w:cs="Arial"/>
          <w:sz w:val="24"/>
          <w:szCs w:val="24"/>
        </w:rPr>
      </w:pPr>
      <w:r w:rsidRPr="00F43C12">
        <w:rPr>
          <w:rFonts w:ascii="Arial" w:hAnsi="Arial" w:cs="Arial"/>
          <w:b/>
          <w:bCs/>
          <w:sz w:val="24"/>
          <w:szCs w:val="24"/>
        </w:rPr>
        <w:lastRenderedPageBreak/>
        <w:t>Improve the balance sheet:</w:t>
      </w:r>
      <w:r w:rsidRPr="00F43C12">
        <w:rPr>
          <w:rFonts w:ascii="Arial" w:hAnsi="Arial" w:cs="Arial"/>
          <w:sz w:val="24"/>
          <w:szCs w:val="24"/>
        </w:rPr>
        <w:t xml:space="preserve"> use the residual free cash flow to reduce debt, extend debt maturities, and manage committed obligations for liquidity and interest rates</w:t>
      </w:r>
      <w:r w:rsidR="00D3481B" w:rsidRPr="00F43C12">
        <w:rPr>
          <w:rFonts w:ascii="Arial" w:hAnsi="Arial" w:cs="Arial"/>
          <w:sz w:val="24"/>
          <w:szCs w:val="24"/>
        </w:rPr>
        <w:t xml:space="preserve"> </w:t>
      </w:r>
      <w:r w:rsidR="00D3481B" w:rsidRPr="00F43C12">
        <w:rPr>
          <w:rFonts w:ascii="Arial" w:hAnsi="Arial" w:cs="Arial"/>
          <w:sz w:val="24"/>
          <w:szCs w:val="24"/>
        </w:rPr>
        <w:t xml:space="preserve">(Ngoc, </w:t>
      </w:r>
      <w:proofErr w:type="spellStart"/>
      <w:r w:rsidR="00D3481B" w:rsidRPr="00F43C12">
        <w:rPr>
          <w:rFonts w:ascii="Arial" w:hAnsi="Arial" w:cs="Arial"/>
          <w:sz w:val="24"/>
          <w:szCs w:val="24"/>
        </w:rPr>
        <w:t>Thi</w:t>
      </w:r>
      <w:proofErr w:type="spellEnd"/>
      <w:r w:rsidR="00D3481B" w:rsidRPr="00F43C12">
        <w:rPr>
          <w:rFonts w:ascii="Arial" w:hAnsi="Arial" w:cs="Arial"/>
          <w:sz w:val="24"/>
          <w:szCs w:val="24"/>
        </w:rPr>
        <w:t xml:space="preserve"> and Nguyen, 2023).</w:t>
      </w:r>
    </w:p>
    <w:p w14:paraId="326FE616" w14:textId="0C1E3AD3" w:rsidR="00647D26" w:rsidRPr="00F43C12" w:rsidRDefault="00647D26" w:rsidP="00951972">
      <w:pPr>
        <w:pStyle w:val="ListParagraph"/>
        <w:numPr>
          <w:ilvl w:val="0"/>
          <w:numId w:val="12"/>
        </w:numPr>
        <w:spacing w:line="360" w:lineRule="auto"/>
        <w:jc w:val="both"/>
        <w:rPr>
          <w:rFonts w:ascii="Arial" w:hAnsi="Arial" w:cs="Arial"/>
          <w:sz w:val="24"/>
          <w:szCs w:val="24"/>
        </w:rPr>
      </w:pPr>
      <w:r w:rsidRPr="00F43C12">
        <w:rPr>
          <w:rFonts w:ascii="Arial" w:hAnsi="Arial" w:cs="Arial"/>
          <w:b/>
          <w:bCs/>
          <w:sz w:val="24"/>
          <w:szCs w:val="24"/>
        </w:rPr>
        <w:t>Follow disciplined investment appraisal:</w:t>
      </w:r>
      <w:r w:rsidRPr="00F43C12">
        <w:rPr>
          <w:rFonts w:ascii="Arial" w:hAnsi="Arial" w:cs="Arial"/>
          <w:sz w:val="24"/>
          <w:szCs w:val="24"/>
        </w:rPr>
        <w:t xml:space="preserve"> make an investment in the franchise, management, technology or loyalty, only if scenario-tested net present value is positive, the internal rate of return is higher than the risk-adjusted cost of capital and downside liquidity is compliant</w:t>
      </w:r>
      <w:r w:rsidR="00D3481B" w:rsidRPr="00F43C12">
        <w:rPr>
          <w:rFonts w:ascii="Arial" w:hAnsi="Arial" w:cs="Arial"/>
          <w:sz w:val="24"/>
          <w:szCs w:val="24"/>
        </w:rPr>
        <w:t xml:space="preserve"> </w:t>
      </w:r>
      <w:r w:rsidR="00D3481B" w:rsidRPr="00F43C12">
        <w:rPr>
          <w:rFonts w:ascii="Arial" w:hAnsi="Arial" w:cs="Arial"/>
          <w:sz w:val="24"/>
          <w:szCs w:val="24"/>
        </w:rPr>
        <w:t>(Matosas-López, 2026).</w:t>
      </w:r>
    </w:p>
    <w:p w14:paraId="09DA9E2E" w14:textId="18776671" w:rsidR="00647D26" w:rsidRPr="00F43C12" w:rsidRDefault="00647D26" w:rsidP="00951972">
      <w:pPr>
        <w:pStyle w:val="ListParagraph"/>
        <w:numPr>
          <w:ilvl w:val="0"/>
          <w:numId w:val="12"/>
        </w:numPr>
        <w:spacing w:line="360" w:lineRule="auto"/>
        <w:jc w:val="both"/>
        <w:rPr>
          <w:rFonts w:ascii="Arial" w:hAnsi="Arial" w:cs="Arial"/>
          <w:sz w:val="24"/>
          <w:szCs w:val="24"/>
        </w:rPr>
      </w:pPr>
      <w:r w:rsidRPr="00F43C12">
        <w:rPr>
          <w:rFonts w:ascii="Arial" w:hAnsi="Arial" w:cs="Arial"/>
          <w:b/>
          <w:bCs/>
          <w:sz w:val="24"/>
          <w:szCs w:val="24"/>
        </w:rPr>
        <w:t>Protect ethical and operational investment</w:t>
      </w:r>
      <w:r w:rsidRPr="00F43C12">
        <w:rPr>
          <w:rFonts w:ascii="Arial" w:hAnsi="Arial" w:cs="Arial"/>
          <w:sz w:val="24"/>
          <w:szCs w:val="24"/>
        </w:rPr>
        <w:t>: maintain funding for cybersecurity, data privacy, accessibility, climate resilience, and responsible procurement and workforce capability without engaging in buybacks via operational underinvestment</w:t>
      </w:r>
      <w:r w:rsidR="00D3481B" w:rsidRPr="00F43C12">
        <w:rPr>
          <w:rFonts w:ascii="Arial" w:hAnsi="Arial" w:cs="Arial"/>
          <w:sz w:val="24"/>
          <w:szCs w:val="24"/>
        </w:rPr>
        <w:t xml:space="preserve"> </w:t>
      </w:r>
      <w:r w:rsidR="00D3481B" w:rsidRPr="00F43C12">
        <w:rPr>
          <w:rFonts w:ascii="Arial" w:hAnsi="Arial" w:cs="Arial"/>
          <w:sz w:val="24"/>
          <w:szCs w:val="24"/>
        </w:rPr>
        <w:t>(</w:t>
      </w:r>
      <w:proofErr w:type="spellStart"/>
      <w:r w:rsidR="00D3481B" w:rsidRPr="00F43C12">
        <w:rPr>
          <w:rFonts w:ascii="Arial" w:hAnsi="Arial" w:cs="Arial"/>
          <w:sz w:val="24"/>
          <w:szCs w:val="24"/>
        </w:rPr>
        <w:t>Derowitsch</w:t>
      </w:r>
      <w:proofErr w:type="spellEnd"/>
      <w:r w:rsidR="00D3481B" w:rsidRPr="00F43C12">
        <w:rPr>
          <w:rFonts w:ascii="Arial" w:hAnsi="Arial" w:cs="Arial"/>
          <w:sz w:val="24"/>
          <w:szCs w:val="24"/>
        </w:rPr>
        <w:t xml:space="preserve"> et al., 2025).</w:t>
      </w:r>
    </w:p>
    <w:p w14:paraId="14BF52B8" w14:textId="56FBECB5" w:rsidR="00CB2975" w:rsidRPr="00F43C12" w:rsidRDefault="00647D26" w:rsidP="00951972">
      <w:pPr>
        <w:spacing w:line="360" w:lineRule="auto"/>
        <w:jc w:val="both"/>
        <w:rPr>
          <w:rFonts w:ascii="Arial" w:hAnsi="Arial" w:cs="Arial"/>
          <w:sz w:val="24"/>
          <w:szCs w:val="24"/>
        </w:rPr>
      </w:pPr>
      <w:r w:rsidRPr="00F43C12">
        <w:rPr>
          <w:rFonts w:ascii="Arial" w:hAnsi="Arial" w:cs="Arial"/>
          <w:sz w:val="24"/>
          <w:szCs w:val="24"/>
        </w:rPr>
        <w:t>Overall, Hilton is a solid, globally expandable operation, but the growth versus shareholder distribution dynamic has gotten too aggressive. The disciplined capital-allocation reset would keep financial resilience intact while maintaining Hilton's fee-led growth model</w:t>
      </w:r>
      <w:r w:rsidR="00BF208C" w:rsidRPr="00F43C12">
        <w:rPr>
          <w:rFonts w:ascii="Arial" w:hAnsi="Arial" w:cs="Arial"/>
          <w:sz w:val="24"/>
          <w:szCs w:val="24"/>
        </w:rPr>
        <w:t xml:space="preserve"> </w:t>
      </w:r>
      <w:r w:rsidR="00BF208C" w:rsidRPr="00F43C12">
        <w:rPr>
          <w:rFonts w:ascii="Arial" w:hAnsi="Arial" w:cs="Arial"/>
          <w:sz w:val="24"/>
          <w:szCs w:val="24"/>
        </w:rPr>
        <w:t xml:space="preserve">(Huang, 2021). </w:t>
      </w:r>
    </w:p>
    <w:p w14:paraId="27909B90" w14:textId="77777777" w:rsidR="00FD6B3B" w:rsidRPr="00F43C12" w:rsidRDefault="00FD6B3B" w:rsidP="00951972">
      <w:pPr>
        <w:pStyle w:val="Heading1"/>
        <w:numPr>
          <w:ilvl w:val="0"/>
          <w:numId w:val="2"/>
        </w:numPr>
        <w:spacing w:line="360" w:lineRule="auto"/>
        <w:rPr>
          <w:rFonts w:ascii="Arial" w:hAnsi="Arial" w:cs="Arial"/>
          <w:sz w:val="24"/>
          <w:szCs w:val="24"/>
        </w:rPr>
      </w:pPr>
      <w:bookmarkStart w:id="9" w:name="_Toc235694618"/>
      <w:r w:rsidRPr="00F43C12">
        <w:rPr>
          <w:rFonts w:ascii="Arial" w:hAnsi="Arial" w:cs="Arial"/>
          <w:sz w:val="24"/>
          <w:szCs w:val="24"/>
        </w:rPr>
        <w:t>Working Capital Management Analysis</w:t>
      </w:r>
      <w:bookmarkEnd w:id="9"/>
    </w:p>
    <w:p w14:paraId="71ACB9B4" w14:textId="77777777" w:rsidR="00FD6B3B" w:rsidRPr="00F43C12" w:rsidRDefault="00FD6B3B" w:rsidP="00951972">
      <w:pPr>
        <w:pStyle w:val="Heading2"/>
        <w:numPr>
          <w:ilvl w:val="1"/>
          <w:numId w:val="2"/>
        </w:numPr>
        <w:spacing w:line="360" w:lineRule="auto"/>
        <w:rPr>
          <w:rFonts w:ascii="Arial" w:hAnsi="Arial" w:cs="Arial"/>
          <w:sz w:val="24"/>
          <w:szCs w:val="24"/>
        </w:rPr>
      </w:pPr>
      <w:bookmarkStart w:id="10" w:name="_Toc235694619"/>
      <w:r w:rsidRPr="00F43C12">
        <w:rPr>
          <w:rFonts w:ascii="Arial" w:hAnsi="Arial" w:cs="Arial"/>
          <w:sz w:val="24"/>
          <w:szCs w:val="24"/>
        </w:rPr>
        <w:t>Cash Operating Cycle</w:t>
      </w:r>
      <w:bookmarkEnd w:id="10"/>
    </w:p>
    <w:p w14:paraId="5099CDC3" w14:textId="11717E7E" w:rsidR="001D3C43" w:rsidRPr="00F43C12" w:rsidRDefault="0083242F" w:rsidP="00FD6B3B">
      <w:pPr>
        <w:spacing w:line="360" w:lineRule="auto"/>
        <w:jc w:val="both"/>
        <w:rPr>
          <w:rFonts w:ascii="Arial" w:hAnsi="Arial" w:cs="Arial"/>
          <w:sz w:val="24"/>
          <w:szCs w:val="24"/>
        </w:rPr>
      </w:pPr>
      <w:r w:rsidRPr="00F43C12">
        <w:rPr>
          <w:rFonts w:ascii="Arial" w:hAnsi="Arial" w:cs="Arial"/>
          <w:sz w:val="24"/>
          <w:szCs w:val="24"/>
        </w:rPr>
        <w:t>Hilton's working capital structure is very different from what you might expect from the typical hotel owner with an inventory-oriented business model, as the company operates under a fee-based arrangement</w:t>
      </w:r>
      <w:r w:rsidR="00BF208C" w:rsidRPr="00F43C12">
        <w:rPr>
          <w:rFonts w:ascii="Arial" w:hAnsi="Arial" w:cs="Arial"/>
          <w:sz w:val="24"/>
          <w:szCs w:val="24"/>
        </w:rPr>
        <w:t xml:space="preserve"> </w:t>
      </w:r>
      <w:r w:rsidR="00BF208C" w:rsidRPr="00F43C12">
        <w:rPr>
          <w:rFonts w:ascii="Arial" w:hAnsi="Arial" w:cs="Arial"/>
          <w:sz w:val="24"/>
          <w:szCs w:val="24"/>
        </w:rPr>
        <w:t xml:space="preserve">(Huang, 2021). </w:t>
      </w:r>
      <w:r w:rsidRPr="00F43C12">
        <w:rPr>
          <w:rFonts w:ascii="Arial" w:hAnsi="Arial" w:cs="Arial"/>
          <w:sz w:val="24"/>
          <w:szCs w:val="24"/>
        </w:rPr>
        <w:t xml:space="preserve">The company has no inventory at the corporate level, and its operating cycle is primarily based on the collection of receivables and the timing of payments and advance cash received via Hilton Honors and hotel-owner contracts. Hilton's days sales were outstanding at about 49.6 days, based on average receivables divided by revenue in 2025, vs. 50.1 days in 2024 (Hilton Worldwide Holdings, 2026). This modest improvement reflects continued collection performance despite a rise in accounts receivable, from $1,583 million to $1,690 million. An average of 87 days is a proxy indication of the payable period, derived from average accounts payable and accrued </w:t>
      </w:r>
      <w:proofErr w:type="spellStart"/>
      <w:r w:rsidRPr="00F43C12">
        <w:rPr>
          <w:rFonts w:ascii="Arial" w:hAnsi="Arial" w:cs="Arial"/>
          <w:sz w:val="24"/>
          <w:szCs w:val="24"/>
        </w:rPr>
        <w:t>sexpenses</w:t>
      </w:r>
      <w:proofErr w:type="spellEnd"/>
      <w:r w:rsidRPr="00F43C12">
        <w:rPr>
          <w:rFonts w:ascii="Arial" w:hAnsi="Arial" w:cs="Arial"/>
          <w:sz w:val="24"/>
          <w:szCs w:val="24"/>
        </w:rPr>
        <w:t xml:space="preserve"> against operating expenses for the year. Therefore, Hilton is expected to have an operating cycle of approximately 37 days in the negative, with operating liabilities and advance </w:t>
      </w:r>
      <w:r w:rsidRPr="00F43C12">
        <w:rPr>
          <w:rFonts w:ascii="Arial" w:hAnsi="Arial" w:cs="Arial"/>
          <w:sz w:val="24"/>
          <w:szCs w:val="24"/>
        </w:rPr>
        <w:lastRenderedPageBreak/>
        <w:t>receipts typically covering the cost of the receivable before cash is actually needed. This positive cycle should not be mistaken for liquidity. Current Assets were $2,996 million with Current Liabilities of $4,508 million, which resulted in negative working capital of $1,512 million and a current ratio of 0.66 (Hilton Worldwide Holdings Inc., 2026).</w:t>
      </w:r>
    </w:p>
    <w:p w14:paraId="308CD487" w14:textId="77777777" w:rsidR="00FD6B3B" w:rsidRPr="00F43C12" w:rsidRDefault="00FD6B3B" w:rsidP="00FD6B3B">
      <w:pPr>
        <w:pStyle w:val="Heading2"/>
        <w:numPr>
          <w:ilvl w:val="1"/>
          <w:numId w:val="2"/>
        </w:numPr>
        <w:spacing w:line="360" w:lineRule="auto"/>
        <w:rPr>
          <w:rFonts w:ascii="Arial" w:hAnsi="Arial" w:cs="Arial"/>
          <w:sz w:val="24"/>
          <w:szCs w:val="24"/>
        </w:rPr>
      </w:pPr>
      <w:bookmarkStart w:id="11" w:name="_Toc235694620"/>
      <w:r w:rsidRPr="00F43C12">
        <w:rPr>
          <w:rFonts w:ascii="Arial" w:hAnsi="Arial" w:cs="Arial"/>
          <w:sz w:val="24"/>
          <w:szCs w:val="24"/>
        </w:rPr>
        <w:t>Working Capital Reforms</w:t>
      </w:r>
      <w:bookmarkEnd w:id="11"/>
    </w:p>
    <w:p w14:paraId="34063E1F" w14:textId="1D6370CE" w:rsidR="0083242F" w:rsidRPr="00F43C12" w:rsidRDefault="00E919E2" w:rsidP="00FD6B3B">
      <w:pPr>
        <w:spacing w:line="360" w:lineRule="auto"/>
        <w:jc w:val="both"/>
        <w:rPr>
          <w:rFonts w:ascii="Arial" w:hAnsi="Arial" w:cs="Arial"/>
          <w:sz w:val="24"/>
          <w:szCs w:val="24"/>
        </w:rPr>
      </w:pPr>
      <w:r w:rsidRPr="00F43C12">
        <w:rPr>
          <w:rFonts w:ascii="Arial" w:hAnsi="Arial" w:cs="Arial"/>
          <w:sz w:val="24"/>
          <w:szCs w:val="24"/>
        </w:rPr>
        <w:t>Hilton should continue to enjoy the benefits of its negative operating cycle, but it should mitigate the risks associated with a narrow liquidity cushion. First, a rolling forecast of cash flow for the next 13 weeks based on base, downside and severe travel-demand conditions should be introduced by management. Forecast loyalty-point redemptions and deferred revenue, payroll, tax, owner reimbursements, lease payments and interest separately</w:t>
      </w:r>
      <w:r w:rsidR="00D3481B" w:rsidRPr="00F43C12">
        <w:rPr>
          <w:rFonts w:ascii="Arial" w:hAnsi="Arial" w:cs="Arial"/>
          <w:sz w:val="24"/>
          <w:szCs w:val="24"/>
        </w:rPr>
        <w:t xml:space="preserve"> </w:t>
      </w:r>
      <w:r w:rsidR="00D3481B" w:rsidRPr="00F43C12">
        <w:rPr>
          <w:rFonts w:ascii="Arial" w:hAnsi="Arial" w:cs="Arial"/>
          <w:sz w:val="24"/>
          <w:szCs w:val="24"/>
        </w:rPr>
        <w:t>(Matosas-López, 2026).</w:t>
      </w:r>
      <w:r w:rsidRPr="00F43C12">
        <w:rPr>
          <w:rFonts w:ascii="Arial" w:hAnsi="Arial" w:cs="Arial"/>
          <w:sz w:val="24"/>
          <w:szCs w:val="24"/>
        </w:rPr>
        <w:t xml:space="preserve"> Second, segmenting receivables by hotel owner, franchisee, geographic market and credit quality. Invoices can be </w:t>
      </w:r>
      <w:r w:rsidR="00E60E75" w:rsidRPr="00F43C12">
        <w:rPr>
          <w:rFonts w:ascii="Arial" w:hAnsi="Arial" w:cs="Arial"/>
          <w:sz w:val="24"/>
          <w:szCs w:val="24"/>
        </w:rPr>
        <w:t>automated;</w:t>
      </w:r>
      <w:r w:rsidRPr="00F43C12">
        <w:rPr>
          <w:rFonts w:ascii="Arial" w:hAnsi="Arial" w:cs="Arial"/>
          <w:sz w:val="24"/>
          <w:szCs w:val="24"/>
        </w:rPr>
        <w:t xml:space="preserve"> disputes should be raised earlier and direct-debit arrangements or even credit limits would help cut down on unpaid amounts without eroding </w:t>
      </w:r>
      <w:r w:rsidR="00D3481B" w:rsidRPr="00F43C12">
        <w:rPr>
          <w:rFonts w:ascii="Arial" w:hAnsi="Arial" w:cs="Arial"/>
          <w:sz w:val="24"/>
          <w:szCs w:val="24"/>
        </w:rPr>
        <w:t>ownerships</w:t>
      </w:r>
      <w:r w:rsidRPr="00F43C12">
        <w:rPr>
          <w:rFonts w:ascii="Arial" w:hAnsi="Arial" w:cs="Arial"/>
          <w:sz w:val="24"/>
          <w:szCs w:val="24"/>
        </w:rPr>
        <w:t xml:space="preserve">. Third, Hilton must negotiate the terms of the suppliers in a central </w:t>
      </w:r>
      <w:r w:rsidR="00E60E75" w:rsidRPr="00F43C12">
        <w:rPr>
          <w:rFonts w:ascii="Arial" w:hAnsi="Arial" w:cs="Arial"/>
          <w:sz w:val="24"/>
          <w:szCs w:val="24"/>
        </w:rPr>
        <w:t>way,</w:t>
      </w:r>
      <w:r w:rsidRPr="00F43C12">
        <w:rPr>
          <w:rFonts w:ascii="Arial" w:hAnsi="Arial" w:cs="Arial"/>
          <w:sz w:val="24"/>
          <w:szCs w:val="24"/>
        </w:rPr>
        <w:t xml:space="preserve"> but payment should be extended on the basis of supplier capacity and ethical treatment, not on indiscriminate delay. Prompt payment should be </w:t>
      </w:r>
      <w:r w:rsidR="00E60E75" w:rsidRPr="00F43C12">
        <w:rPr>
          <w:rFonts w:ascii="Arial" w:hAnsi="Arial" w:cs="Arial"/>
          <w:sz w:val="24"/>
          <w:szCs w:val="24"/>
        </w:rPr>
        <w:t>made</w:t>
      </w:r>
      <w:r w:rsidRPr="00F43C12">
        <w:rPr>
          <w:rFonts w:ascii="Arial" w:hAnsi="Arial" w:cs="Arial"/>
          <w:sz w:val="24"/>
          <w:szCs w:val="24"/>
        </w:rPr>
        <w:t xml:space="preserve"> for strategic and small suppliers</w:t>
      </w:r>
      <w:r w:rsidR="00D3481B" w:rsidRPr="00F43C12">
        <w:rPr>
          <w:rFonts w:ascii="Arial" w:hAnsi="Arial" w:cs="Arial"/>
          <w:sz w:val="24"/>
          <w:szCs w:val="24"/>
        </w:rPr>
        <w:t xml:space="preserve"> </w:t>
      </w:r>
      <w:r w:rsidR="00D3481B" w:rsidRPr="00F43C12">
        <w:rPr>
          <w:rFonts w:ascii="Arial" w:hAnsi="Arial" w:cs="Arial"/>
          <w:sz w:val="24"/>
          <w:szCs w:val="24"/>
        </w:rPr>
        <w:t xml:space="preserve">(Ngoc, </w:t>
      </w:r>
      <w:proofErr w:type="spellStart"/>
      <w:r w:rsidR="00D3481B" w:rsidRPr="00F43C12">
        <w:rPr>
          <w:rFonts w:ascii="Arial" w:hAnsi="Arial" w:cs="Arial"/>
          <w:sz w:val="24"/>
          <w:szCs w:val="24"/>
        </w:rPr>
        <w:t>Thi</w:t>
      </w:r>
      <w:proofErr w:type="spellEnd"/>
      <w:r w:rsidR="00D3481B" w:rsidRPr="00F43C12">
        <w:rPr>
          <w:rFonts w:ascii="Arial" w:hAnsi="Arial" w:cs="Arial"/>
          <w:sz w:val="24"/>
          <w:szCs w:val="24"/>
        </w:rPr>
        <w:t xml:space="preserve"> and Nguyen, 2023). </w:t>
      </w:r>
      <w:r w:rsidRPr="00F43C12">
        <w:rPr>
          <w:rFonts w:ascii="Arial" w:hAnsi="Arial" w:cs="Arial"/>
          <w:sz w:val="24"/>
          <w:szCs w:val="24"/>
        </w:rPr>
        <w:t xml:space="preserve">Fourth, excess distributions by shareholders should be subject to liquidity requirements. About $3.3 </w:t>
      </w:r>
      <w:r w:rsidR="00E60E75" w:rsidRPr="00F43C12">
        <w:rPr>
          <w:rFonts w:ascii="Arial" w:hAnsi="Arial" w:cs="Arial"/>
          <w:sz w:val="24"/>
          <w:szCs w:val="24"/>
        </w:rPr>
        <w:t>billion</w:t>
      </w:r>
      <w:r w:rsidRPr="00F43C12">
        <w:rPr>
          <w:rFonts w:ascii="Arial" w:hAnsi="Arial" w:cs="Arial"/>
          <w:sz w:val="24"/>
          <w:szCs w:val="24"/>
        </w:rPr>
        <w:t xml:space="preserve"> shares were repurchased by Hilton in 2025, and cash, including restricted cash, held at year end totaled $970 million. Increased cash reserves and debt reduction through a shift of some discretionary repurchases would enhance resilience (Hilton Worldwide Holdings, 2026). A current-ratio corridor of 0.75 to 0.85, with committed undrawn facilities and covenant headroom would be more realistic for Hilton's business model than a generic 1.0 target. The company had $1,894 million of available revolving-credit capacity at year-end, but this facility should remain a contingency buffer rather than a routine funding source (Hilton Worldwide Holdings Inc., 2026).</w:t>
      </w:r>
    </w:p>
    <w:p w14:paraId="6A51B069" w14:textId="77777777" w:rsidR="00FD6B3B" w:rsidRPr="00F43C12" w:rsidRDefault="00FD6B3B" w:rsidP="00FD6B3B">
      <w:pPr>
        <w:pStyle w:val="Heading2"/>
        <w:numPr>
          <w:ilvl w:val="1"/>
          <w:numId w:val="2"/>
        </w:numPr>
        <w:spacing w:line="360" w:lineRule="auto"/>
        <w:rPr>
          <w:rFonts w:ascii="Arial" w:hAnsi="Arial" w:cs="Arial"/>
          <w:sz w:val="24"/>
          <w:szCs w:val="24"/>
        </w:rPr>
      </w:pPr>
      <w:bookmarkStart w:id="12" w:name="_Toc235694621"/>
      <w:r w:rsidRPr="00F43C12">
        <w:rPr>
          <w:rFonts w:ascii="Arial" w:hAnsi="Arial" w:cs="Arial"/>
          <w:sz w:val="24"/>
          <w:szCs w:val="24"/>
        </w:rPr>
        <w:t>Short-Term versus Long-Term Financing</w:t>
      </w:r>
      <w:bookmarkEnd w:id="12"/>
    </w:p>
    <w:p w14:paraId="4E3CAB94" w14:textId="7A48B294" w:rsidR="00E919E2" w:rsidRPr="00F43C12" w:rsidRDefault="00E919E2" w:rsidP="00E919E2">
      <w:pPr>
        <w:spacing w:line="360" w:lineRule="auto"/>
        <w:jc w:val="both"/>
        <w:rPr>
          <w:rFonts w:ascii="Arial" w:hAnsi="Arial" w:cs="Arial"/>
          <w:sz w:val="24"/>
          <w:szCs w:val="24"/>
        </w:rPr>
      </w:pPr>
      <w:r w:rsidRPr="00F43C12">
        <w:rPr>
          <w:rFonts w:ascii="Arial" w:hAnsi="Arial" w:cs="Arial"/>
          <w:sz w:val="24"/>
          <w:szCs w:val="24"/>
        </w:rPr>
        <w:t xml:space="preserve">Short-term financing includes revolving-credit drawings, overdrafts, commercial paper, supplier credit and receivables-based facilities. Its primary benefits are flexibility, speed of access and that interest is only charged on the money used. It makes sense </w:t>
      </w:r>
      <w:r w:rsidRPr="00F43C12">
        <w:rPr>
          <w:rFonts w:ascii="Arial" w:hAnsi="Arial" w:cs="Arial"/>
          <w:sz w:val="24"/>
          <w:szCs w:val="24"/>
        </w:rPr>
        <w:lastRenderedPageBreak/>
        <w:t>for seasonal cash mismatches, temporary owner-receivable delays or unforeseen loyalty redemptions. However, short-term borrowing means that Hilton is vulnerable to refinancing risk, variable interest rates and lender withdrawal at the time of hospitality demand weakness</w:t>
      </w:r>
      <w:r w:rsidR="00BF208C" w:rsidRPr="00F43C12">
        <w:rPr>
          <w:rFonts w:ascii="Arial" w:hAnsi="Arial" w:cs="Arial"/>
          <w:sz w:val="24"/>
          <w:szCs w:val="24"/>
        </w:rPr>
        <w:t xml:space="preserve"> </w:t>
      </w:r>
      <w:r w:rsidR="00BF208C" w:rsidRPr="00F43C12">
        <w:rPr>
          <w:rFonts w:ascii="Arial" w:hAnsi="Arial" w:cs="Arial"/>
          <w:sz w:val="24"/>
          <w:szCs w:val="24"/>
        </w:rPr>
        <w:t xml:space="preserve">(Huang, 2021). </w:t>
      </w:r>
    </w:p>
    <w:p w14:paraId="088F3A21" w14:textId="77777777" w:rsidR="00E919E2" w:rsidRPr="00F43C12" w:rsidRDefault="00E919E2" w:rsidP="00E919E2">
      <w:pPr>
        <w:spacing w:line="360" w:lineRule="auto"/>
        <w:jc w:val="both"/>
        <w:rPr>
          <w:rFonts w:ascii="Arial" w:hAnsi="Arial" w:cs="Arial"/>
          <w:sz w:val="24"/>
          <w:szCs w:val="24"/>
        </w:rPr>
      </w:pPr>
      <w:r w:rsidRPr="00F43C12">
        <w:rPr>
          <w:rFonts w:ascii="Arial" w:hAnsi="Arial" w:cs="Arial"/>
          <w:sz w:val="24"/>
          <w:szCs w:val="24"/>
        </w:rPr>
        <w:t>Long-term financing includes term loans, senior notes, leases and, theoretically, equity issuance. It offers maturity and aligns the technology platforms, acquisitions, brand development and other investments with multiple years of benefits. It typically requires a higher overall interest rate, higher issuance costs, and less flexibility, however. This separation was exemplified in the financing of Hilton's 2025 revolver, which was paid down and paid off in 2025 and covered a longer funding period with new 2033 and 2034 senior notes. Also, Hilton had no material debt maturity prior to April 2027 (Hilton Worldwide Holdings Inc., 2026).</w:t>
      </w:r>
    </w:p>
    <w:p w14:paraId="383CFAF3" w14:textId="748DE872" w:rsidR="00327E02" w:rsidRPr="00F43C12" w:rsidRDefault="00E919E2" w:rsidP="00E919E2">
      <w:pPr>
        <w:spacing w:line="360" w:lineRule="auto"/>
        <w:jc w:val="both"/>
        <w:rPr>
          <w:rFonts w:ascii="Arial" w:hAnsi="Arial" w:cs="Arial"/>
          <w:sz w:val="24"/>
          <w:szCs w:val="24"/>
        </w:rPr>
      </w:pPr>
      <w:r w:rsidRPr="00F43C12">
        <w:rPr>
          <w:rFonts w:ascii="Arial" w:hAnsi="Arial" w:cs="Arial"/>
          <w:sz w:val="24"/>
          <w:szCs w:val="24"/>
        </w:rPr>
        <w:t>Accordingly, Hilton should apply maturity matching: short-term facilities for temporary working capital only, and long-term fixed-rate funding for structural investment and refinancing. Staggered maturities, multiple lenders, interest rate hedging and unused revolving capacity would reduce liquidity and refinancing risk</w:t>
      </w:r>
      <w:r w:rsidR="00602645" w:rsidRPr="00F43C12">
        <w:rPr>
          <w:rFonts w:ascii="Arial" w:hAnsi="Arial" w:cs="Arial"/>
          <w:sz w:val="24"/>
          <w:szCs w:val="24"/>
        </w:rPr>
        <w:t xml:space="preserve">s </w:t>
      </w:r>
      <w:r w:rsidR="00602645" w:rsidRPr="00F43C12">
        <w:rPr>
          <w:rFonts w:ascii="Arial" w:hAnsi="Arial" w:cs="Arial"/>
          <w:sz w:val="24"/>
          <w:szCs w:val="24"/>
        </w:rPr>
        <w:t>(</w:t>
      </w:r>
      <w:proofErr w:type="spellStart"/>
      <w:r w:rsidR="00602645" w:rsidRPr="00F43C12">
        <w:rPr>
          <w:rFonts w:ascii="Arial" w:hAnsi="Arial" w:cs="Arial"/>
          <w:sz w:val="24"/>
          <w:szCs w:val="24"/>
        </w:rPr>
        <w:t>Klychova</w:t>
      </w:r>
      <w:proofErr w:type="spellEnd"/>
      <w:r w:rsidR="00602645" w:rsidRPr="00F43C12">
        <w:rPr>
          <w:rFonts w:ascii="Arial" w:hAnsi="Arial" w:cs="Arial"/>
          <w:sz w:val="24"/>
          <w:szCs w:val="24"/>
        </w:rPr>
        <w:t xml:space="preserve"> et al., 2021). </w:t>
      </w:r>
    </w:p>
    <w:p w14:paraId="55FAC9C2" w14:textId="77777777" w:rsidR="00E76A08" w:rsidRPr="00F43C12" w:rsidRDefault="00E76A08" w:rsidP="00E76A08">
      <w:pPr>
        <w:pStyle w:val="Heading1"/>
        <w:numPr>
          <w:ilvl w:val="0"/>
          <w:numId w:val="2"/>
        </w:numPr>
        <w:spacing w:line="360" w:lineRule="auto"/>
        <w:rPr>
          <w:rFonts w:ascii="Arial" w:hAnsi="Arial" w:cs="Arial"/>
          <w:sz w:val="24"/>
          <w:szCs w:val="24"/>
        </w:rPr>
      </w:pPr>
      <w:bookmarkStart w:id="13" w:name="_Toc235694622"/>
      <w:r w:rsidRPr="00F43C12">
        <w:rPr>
          <w:rFonts w:ascii="Arial" w:hAnsi="Arial" w:cs="Arial"/>
          <w:sz w:val="24"/>
          <w:szCs w:val="24"/>
        </w:rPr>
        <w:t>Strategic Financial Restructuring Plan</w:t>
      </w:r>
      <w:bookmarkEnd w:id="13"/>
    </w:p>
    <w:p w14:paraId="111AF238" w14:textId="77777777" w:rsidR="00E76A08" w:rsidRPr="00F43C12" w:rsidRDefault="00E76A08" w:rsidP="00E76A08">
      <w:pPr>
        <w:pStyle w:val="Heading2"/>
        <w:numPr>
          <w:ilvl w:val="1"/>
          <w:numId w:val="2"/>
        </w:numPr>
        <w:spacing w:line="360" w:lineRule="auto"/>
        <w:rPr>
          <w:rFonts w:ascii="Arial" w:hAnsi="Arial" w:cs="Arial"/>
          <w:sz w:val="24"/>
          <w:szCs w:val="24"/>
        </w:rPr>
      </w:pPr>
      <w:bookmarkStart w:id="14" w:name="_Toc235694623"/>
      <w:r w:rsidRPr="00F43C12">
        <w:rPr>
          <w:rFonts w:ascii="Arial" w:hAnsi="Arial" w:cs="Arial"/>
          <w:sz w:val="24"/>
          <w:szCs w:val="24"/>
        </w:rPr>
        <w:t>Restructuring Objective</w:t>
      </w:r>
      <w:bookmarkEnd w:id="14"/>
    </w:p>
    <w:p w14:paraId="0277013B" w14:textId="2E953E2B" w:rsidR="00CF08D8" w:rsidRPr="00F43C12" w:rsidRDefault="00A44F4C" w:rsidP="00E76A08">
      <w:pPr>
        <w:spacing w:line="360" w:lineRule="auto"/>
        <w:jc w:val="both"/>
        <w:rPr>
          <w:rFonts w:ascii="Arial" w:hAnsi="Arial" w:cs="Arial"/>
          <w:sz w:val="24"/>
          <w:szCs w:val="24"/>
        </w:rPr>
      </w:pPr>
      <w:r w:rsidRPr="00F43C12">
        <w:rPr>
          <w:rFonts w:ascii="Arial" w:hAnsi="Arial" w:cs="Arial"/>
          <w:sz w:val="24"/>
          <w:szCs w:val="24"/>
        </w:rPr>
        <w:t>Hilton deserves specific balance sheet restructuring. It is a fee-based, capital-efficient business unit that enables global expansion with over 9,200 properties and 144 countries/territories. But in 2025, debt totaled $12.363 billion, liabilities outweighed assets, and the stockholders' deficit increased to $5.388 billion (Hilton Worldwide Holdings, 2026). The plan should limit refinancing risk and liquidity risk, and maintain the brand, loyalty and management platforms that offer a scalable source of fee revenue (Hilton Worldwide Holdings Inc., 2026).</w:t>
      </w:r>
    </w:p>
    <w:p w14:paraId="73E0C928" w14:textId="77777777" w:rsidR="00E76A08" w:rsidRPr="00F43C12" w:rsidRDefault="00E76A08" w:rsidP="00E76A08">
      <w:pPr>
        <w:pStyle w:val="Heading2"/>
        <w:numPr>
          <w:ilvl w:val="1"/>
          <w:numId w:val="2"/>
        </w:numPr>
        <w:spacing w:line="360" w:lineRule="auto"/>
        <w:rPr>
          <w:rFonts w:ascii="Arial" w:hAnsi="Arial" w:cs="Arial"/>
          <w:sz w:val="24"/>
          <w:szCs w:val="24"/>
        </w:rPr>
      </w:pPr>
      <w:bookmarkStart w:id="15" w:name="_Toc235694624"/>
      <w:r w:rsidRPr="00F43C12">
        <w:rPr>
          <w:rFonts w:ascii="Arial" w:hAnsi="Arial" w:cs="Arial"/>
          <w:sz w:val="24"/>
          <w:szCs w:val="24"/>
        </w:rPr>
        <w:t>Recommended Restructuring Options</w:t>
      </w:r>
      <w:bookmarkEnd w:id="15"/>
    </w:p>
    <w:tbl>
      <w:tblPr>
        <w:tblStyle w:val="GridTable4-Accent5"/>
        <w:tblW w:w="0" w:type="auto"/>
        <w:tblLook w:val="04A0" w:firstRow="1" w:lastRow="0" w:firstColumn="1" w:lastColumn="0" w:noHBand="0" w:noVBand="1"/>
      </w:tblPr>
      <w:tblGrid>
        <w:gridCol w:w="1619"/>
        <w:gridCol w:w="4391"/>
        <w:gridCol w:w="3006"/>
      </w:tblGrid>
      <w:tr w:rsidR="00E76A08" w:rsidRPr="00F43C12" w14:paraId="6B946B02" w14:textId="77777777" w:rsidTr="004D65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91FC9E" w14:textId="77777777" w:rsidR="00E76A08" w:rsidRPr="00F43C12" w:rsidRDefault="00E76A08" w:rsidP="004D6599">
            <w:pPr>
              <w:spacing w:after="160" w:line="360" w:lineRule="auto"/>
              <w:jc w:val="center"/>
              <w:rPr>
                <w:rFonts w:ascii="Arial" w:hAnsi="Arial" w:cs="Arial"/>
                <w:sz w:val="24"/>
                <w:szCs w:val="24"/>
              </w:rPr>
            </w:pPr>
            <w:r w:rsidRPr="00F43C12">
              <w:rPr>
                <w:rFonts w:ascii="Arial" w:hAnsi="Arial" w:cs="Arial"/>
                <w:sz w:val="24"/>
                <w:szCs w:val="24"/>
              </w:rPr>
              <w:t>Option</w:t>
            </w:r>
          </w:p>
        </w:tc>
        <w:tc>
          <w:tcPr>
            <w:tcW w:w="0" w:type="auto"/>
            <w:vAlign w:val="center"/>
            <w:hideMark/>
          </w:tcPr>
          <w:p w14:paraId="28950142" w14:textId="77777777" w:rsidR="00E76A08" w:rsidRPr="00F43C12" w:rsidRDefault="00E76A08" w:rsidP="004D659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43C12">
              <w:rPr>
                <w:rFonts w:ascii="Arial" w:hAnsi="Arial" w:cs="Arial"/>
                <w:sz w:val="24"/>
                <w:szCs w:val="24"/>
              </w:rPr>
              <w:t>Recommended action</w:t>
            </w:r>
          </w:p>
        </w:tc>
        <w:tc>
          <w:tcPr>
            <w:tcW w:w="0" w:type="auto"/>
            <w:vAlign w:val="center"/>
            <w:hideMark/>
          </w:tcPr>
          <w:p w14:paraId="775DFBDE" w14:textId="77777777" w:rsidR="00E76A08" w:rsidRPr="00F43C12" w:rsidRDefault="00E76A08" w:rsidP="004D6599">
            <w:pPr>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43C12">
              <w:rPr>
                <w:rFonts w:ascii="Arial" w:hAnsi="Arial" w:cs="Arial"/>
                <w:sz w:val="24"/>
                <w:szCs w:val="24"/>
              </w:rPr>
              <w:t>Strategic rationale</w:t>
            </w:r>
          </w:p>
        </w:tc>
      </w:tr>
      <w:tr w:rsidR="00E76A08" w:rsidRPr="00F43C12" w14:paraId="6AD30E39" w14:textId="77777777" w:rsidTr="004D65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DA1334" w14:textId="77777777" w:rsidR="00E76A08" w:rsidRPr="00F43C12" w:rsidRDefault="00E76A08" w:rsidP="004D6599">
            <w:pPr>
              <w:spacing w:after="160" w:line="360" w:lineRule="auto"/>
              <w:jc w:val="center"/>
              <w:rPr>
                <w:rFonts w:ascii="Arial" w:hAnsi="Arial" w:cs="Arial"/>
                <w:sz w:val="24"/>
                <w:szCs w:val="24"/>
              </w:rPr>
            </w:pPr>
            <w:r w:rsidRPr="00F43C12">
              <w:rPr>
                <w:rFonts w:ascii="Arial" w:hAnsi="Arial" w:cs="Arial"/>
                <w:sz w:val="24"/>
                <w:szCs w:val="24"/>
              </w:rPr>
              <w:t>Selective divestiture</w:t>
            </w:r>
          </w:p>
        </w:tc>
        <w:tc>
          <w:tcPr>
            <w:tcW w:w="0" w:type="auto"/>
            <w:vAlign w:val="center"/>
            <w:hideMark/>
          </w:tcPr>
          <w:p w14:paraId="441F85E3" w14:textId="776BF683" w:rsidR="00E76A08" w:rsidRPr="00F43C12" w:rsidRDefault="00E76A08" w:rsidP="004D659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43C12">
              <w:rPr>
                <w:rFonts w:ascii="Arial" w:hAnsi="Arial" w:cs="Arial"/>
                <w:sz w:val="24"/>
                <w:szCs w:val="24"/>
              </w:rPr>
              <w:t>Sell non-</w:t>
            </w:r>
            <w:r w:rsidR="004820A9" w:rsidRPr="00F43C12">
              <w:rPr>
                <w:rFonts w:ascii="Arial" w:hAnsi="Arial" w:cs="Arial"/>
                <w:sz w:val="24"/>
                <w:szCs w:val="24"/>
              </w:rPr>
              <w:t>core-owned</w:t>
            </w:r>
            <w:r w:rsidRPr="00F43C12">
              <w:rPr>
                <w:rFonts w:ascii="Arial" w:hAnsi="Arial" w:cs="Arial"/>
                <w:sz w:val="24"/>
                <w:szCs w:val="24"/>
              </w:rPr>
              <w:t xml:space="preserve"> or leased hotels and use sale-and-leaseback </w:t>
            </w:r>
            <w:r w:rsidRPr="00F43C12">
              <w:rPr>
                <w:rFonts w:ascii="Arial" w:hAnsi="Arial" w:cs="Arial"/>
                <w:sz w:val="24"/>
                <w:szCs w:val="24"/>
              </w:rPr>
              <w:lastRenderedPageBreak/>
              <w:t>transactions only where occupancy, rent coverage and exit terms remain acceptable.</w:t>
            </w:r>
          </w:p>
        </w:tc>
        <w:tc>
          <w:tcPr>
            <w:tcW w:w="0" w:type="auto"/>
            <w:vAlign w:val="center"/>
            <w:hideMark/>
          </w:tcPr>
          <w:p w14:paraId="086020B2" w14:textId="77777777" w:rsidR="00E76A08" w:rsidRPr="00F43C12" w:rsidRDefault="00E76A08" w:rsidP="004D659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43C12">
              <w:rPr>
                <w:rFonts w:ascii="Arial" w:hAnsi="Arial" w:cs="Arial"/>
                <w:sz w:val="24"/>
                <w:szCs w:val="24"/>
              </w:rPr>
              <w:lastRenderedPageBreak/>
              <w:t xml:space="preserve">Releases property capital and increases the </w:t>
            </w:r>
            <w:r w:rsidRPr="00F43C12">
              <w:rPr>
                <w:rFonts w:ascii="Arial" w:hAnsi="Arial" w:cs="Arial"/>
                <w:sz w:val="24"/>
                <w:szCs w:val="24"/>
              </w:rPr>
              <w:lastRenderedPageBreak/>
              <w:t>proportion of fee-based earnings.</w:t>
            </w:r>
          </w:p>
        </w:tc>
      </w:tr>
      <w:tr w:rsidR="00E76A08" w:rsidRPr="00F43C12" w14:paraId="6CD0E53D" w14:textId="77777777" w:rsidTr="004D659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D59E70" w14:textId="77777777" w:rsidR="00E76A08" w:rsidRPr="00F43C12" w:rsidRDefault="00E76A08" w:rsidP="004D6599">
            <w:pPr>
              <w:spacing w:after="160" w:line="360" w:lineRule="auto"/>
              <w:jc w:val="center"/>
              <w:rPr>
                <w:rFonts w:ascii="Arial" w:hAnsi="Arial" w:cs="Arial"/>
                <w:sz w:val="24"/>
                <w:szCs w:val="24"/>
              </w:rPr>
            </w:pPr>
            <w:r w:rsidRPr="00F43C12">
              <w:rPr>
                <w:rFonts w:ascii="Arial" w:hAnsi="Arial" w:cs="Arial"/>
                <w:sz w:val="24"/>
                <w:szCs w:val="24"/>
              </w:rPr>
              <w:t>Debt reprofiling</w:t>
            </w:r>
          </w:p>
        </w:tc>
        <w:tc>
          <w:tcPr>
            <w:tcW w:w="0" w:type="auto"/>
            <w:vAlign w:val="center"/>
            <w:hideMark/>
          </w:tcPr>
          <w:p w14:paraId="472C00BC" w14:textId="77777777" w:rsidR="00E76A08" w:rsidRPr="00F43C12" w:rsidRDefault="00E76A08" w:rsidP="004D659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43C12">
              <w:rPr>
                <w:rFonts w:ascii="Arial" w:hAnsi="Arial" w:cs="Arial"/>
                <w:sz w:val="24"/>
                <w:szCs w:val="24"/>
              </w:rPr>
              <w:t>Refinance concentrated maturities early through staggered fixed-rate notes, term facilities and sustainability-linked borrowing.</w:t>
            </w:r>
          </w:p>
        </w:tc>
        <w:tc>
          <w:tcPr>
            <w:tcW w:w="0" w:type="auto"/>
            <w:vAlign w:val="center"/>
            <w:hideMark/>
          </w:tcPr>
          <w:p w14:paraId="7E250229" w14:textId="77777777" w:rsidR="00E76A08" w:rsidRPr="00F43C12" w:rsidRDefault="00E76A08" w:rsidP="004D659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43C12">
              <w:rPr>
                <w:rFonts w:ascii="Arial" w:hAnsi="Arial" w:cs="Arial"/>
                <w:sz w:val="24"/>
                <w:szCs w:val="24"/>
              </w:rPr>
              <w:t>Extends duration, reduces refinancing pressure and protects revolving-credit capacity.</w:t>
            </w:r>
          </w:p>
        </w:tc>
      </w:tr>
      <w:tr w:rsidR="00E76A08" w:rsidRPr="00F43C12" w14:paraId="59553775" w14:textId="77777777" w:rsidTr="004D65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F7493A" w14:textId="77777777" w:rsidR="00E76A08" w:rsidRPr="00F43C12" w:rsidRDefault="00E76A08" w:rsidP="004D6599">
            <w:pPr>
              <w:spacing w:after="160" w:line="360" w:lineRule="auto"/>
              <w:jc w:val="center"/>
              <w:rPr>
                <w:rFonts w:ascii="Arial" w:hAnsi="Arial" w:cs="Arial"/>
                <w:sz w:val="24"/>
                <w:szCs w:val="24"/>
              </w:rPr>
            </w:pPr>
            <w:r w:rsidRPr="00F43C12">
              <w:rPr>
                <w:rFonts w:ascii="Arial" w:hAnsi="Arial" w:cs="Arial"/>
                <w:sz w:val="24"/>
                <w:szCs w:val="24"/>
              </w:rPr>
              <w:t>Equity injection</w:t>
            </w:r>
          </w:p>
        </w:tc>
        <w:tc>
          <w:tcPr>
            <w:tcW w:w="0" w:type="auto"/>
            <w:vAlign w:val="center"/>
            <w:hideMark/>
          </w:tcPr>
          <w:p w14:paraId="3DC0F77C" w14:textId="77777777" w:rsidR="00E76A08" w:rsidRPr="00F43C12" w:rsidRDefault="00E76A08" w:rsidP="004D659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43C12">
              <w:rPr>
                <w:rFonts w:ascii="Arial" w:hAnsi="Arial" w:cs="Arial"/>
                <w:sz w:val="24"/>
                <w:szCs w:val="24"/>
              </w:rPr>
              <w:t>Reserve a rights issue or strategic minority placement for severe stress or a transformational positive-NPV acquisition.</w:t>
            </w:r>
          </w:p>
        </w:tc>
        <w:tc>
          <w:tcPr>
            <w:tcW w:w="0" w:type="auto"/>
            <w:vAlign w:val="center"/>
            <w:hideMark/>
          </w:tcPr>
          <w:p w14:paraId="2EE3197A" w14:textId="77777777" w:rsidR="00E76A08" w:rsidRPr="00F43C12" w:rsidRDefault="00E76A08" w:rsidP="004D6599">
            <w:pPr>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43C12">
              <w:rPr>
                <w:rFonts w:ascii="Arial" w:hAnsi="Arial" w:cs="Arial"/>
                <w:sz w:val="24"/>
                <w:szCs w:val="24"/>
              </w:rPr>
              <w:t>Improves solvency without making routine operations dependent on equity dilution.</w:t>
            </w:r>
          </w:p>
        </w:tc>
      </w:tr>
      <w:tr w:rsidR="00E76A08" w:rsidRPr="00F43C12" w14:paraId="443B33A6" w14:textId="77777777" w:rsidTr="004D6599">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3D710D" w14:textId="77777777" w:rsidR="00E76A08" w:rsidRPr="00F43C12" w:rsidRDefault="00E76A08" w:rsidP="004D6599">
            <w:pPr>
              <w:spacing w:after="160" w:line="360" w:lineRule="auto"/>
              <w:jc w:val="center"/>
              <w:rPr>
                <w:rFonts w:ascii="Arial" w:hAnsi="Arial" w:cs="Arial"/>
                <w:sz w:val="24"/>
                <w:szCs w:val="24"/>
              </w:rPr>
            </w:pPr>
            <w:r w:rsidRPr="00F43C12">
              <w:rPr>
                <w:rFonts w:ascii="Arial" w:hAnsi="Arial" w:cs="Arial"/>
                <w:sz w:val="24"/>
                <w:szCs w:val="24"/>
              </w:rPr>
              <w:t>Joint ventures</w:t>
            </w:r>
          </w:p>
        </w:tc>
        <w:tc>
          <w:tcPr>
            <w:tcW w:w="0" w:type="auto"/>
            <w:vAlign w:val="center"/>
            <w:hideMark/>
          </w:tcPr>
          <w:p w14:paraId="1126C8A2" w14:textId="77777777" w:rsidR="00E76A08" w:rsidRPr="00F43C12" w:rsidRDefault="00E76A08" w:rsidP="004D659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43C12">
              <w:rPr>
                <w:rFonts w:ascii="Arial" w:hAnsi="Arial" w:cs="Arial"/>
                <w:sz w:val="24"/>
                <w:szCs w:val="24"/>
              </w:rPr>
              <w:t>Use regional joint ventures, minority stakes and brand alliances instead of a large horizontal merger.</w:t>
            </w:r>
          </w:p>
        </w:tc>
        <w:tc>
          <w:tcPr>
            <w:tcW w:w="0" w:type="auto"/>
            <w:vAlign w:val="center"/>
            <w:hideMark/>
          </w:tcPr>
          <w:p w14:paraId="17EB9837" w14:textId="3C9F4190" w:rsidR="00E76A08" w:rsidRPr="00F43C12" w:rsidRDefault="00C350DC" w:rsidP="004D6599">
            <w:pPr>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43C12">
              <w:rPr>
                <w:rFonts w:ascii="Arial" w:hAnsi="Arial" w:cs="Arial"/>
                <w:sz w:val="24"/>
                <w:szCs w:val="24"/>
              </w:rPr>
              <w:t>Share</w:t>
            </w:r>
            <w:r w:rsidR="00E76A08" w:rsidRPr="00F43C12">
              <w:rPr>
                <w:rFonts w:ascii="Arial" w:hAnsi="Arial" w:cs="Arial"/>
                <w:sz w:val="24"/>
                <w:szCs w:val="24"/>
              </w:rPr>
              <w:t xml:space="preserve"> development risk and provides local market expertise while limiting integration costs.</w:t>
            </w:r>
          </w:p>
        </w:tc>
      </w:tr>
    </w:tbl>
    <w:p w14:paraId="14D75CF5" w14:textId="44011F4B" w:rsidR="00A44F4C" w:rsidRPr="00F43C12" w:rsidRDefault="00265239" w:rsidP="00E76A08">
      <w:pPr>
        <w:spacing w:line="360" w:lineRule="auto"/>
        <w:jc w:val="both"/>
        <w:rPr>
          <w:rFonts w:ascii="Arial" w:hAnsi="Arial" w:cs="Arial"/>
          <w:sz w:val="24"/>
          <w:szCs w:val="24"/>
        </w:rPr>
      </w:pPr>
      <w:r w:rsidRPr="00F43C12">
        <w:rPr>
          <w:rFonts w:ascii="Arial" w:hAnsi="Arial" w:cs="Arial"/>
          <w:sz w:val="24"/>
          <w:szCs w:val="24"/>
        </w:rPr>
        <w:t>Special care should be given to debt reprofiling and selective divestiture. Hilton’s 2025 filing reports scheduled debt payments of $619 million in 2027, $1.360 billion in 2029 and $4.124 billion in 2030. Early refinance would minimize reliance on market conditions. Disposal proceeds should be used to pay transaction costs and taxes then to pay down debt, not automatically be used to pay down stock. The merger is not recommended as Hilton has wide brand coverage, and a merger would also engender overpayment, antitrust, systems-integration and culture risks (Hilton Worldwide Holdings Inc., 2026).</w:t>
      </w:r>
    </w:p>
    <w:p w14:paraId="6296BBDE" w14:textId="77777777" w:rsidR="00E76A08" w:rsidRPr="00F43C12" w:rsidRDefault="00E76A08" w:rsidP="00E76A08">
      <w:pPr>
        <w:pStyle w:val="Heading2"/>
        <w:numPr>
          <w:ilvl w:val="1"/>
          <w:numId w:val="2"/>
        </w:numPr>
        <w:spacing w:line="360" w:lineRule="auto"/>
        <w:rPr>
          <w:rFonts w:ascii="Arial" w:hAnsi="Arial" w:cs="Arial"/>
          <w:sz w:val="24"/>
          <w:szCs w:val="24"/>
        </w:rPr>
      </w:pPr>
      <w:bookmarkStart w:id="16" w:name="_Toc235694625"/>
      <w:r w:rsidRPr="00F43C12">
        <w:rPr>
          <w:rFonts w:ascii="Arial" w:hAnsi="Arial" w:cs="Arial"/>
          <w:sz w:val="24"/>
          <w:szCs w:val="24"/>
        </w:rPr>
        <w:t>Impact on Shareholder Value, Debt and Flexibility</w:t>
      </w:r>
      <w:bookmarkEnd w:id="16"/>
    </w:p>
    <w:p w14:paraId="72487BCD" w14:textId="56624502" w:rsidR="001B4D4C" w:rsidRPr="00F43C12" w:rsidRDefault="001B4D4C" w:rsidP="001B4D4C">
      <w:pPr>
        <w:spacing w:line="360" w:lineRule="auto"/>
        <w:jc w:val="both"/>
        <w:rPr>
          <w:rFonts w:ascii="Arial" w:hAnsi="Arial" w:cs="Arial"/>
          <w:sz w:val="24"/>
          <w:szCs w:val="24"/>
        </w:rPr>
      </w:pPr>
      <w:r w:rsidRPr="00F43C12">
        <w:rPr>
          <w:rFonts w:ascii="Arial" w:hAnsi="Arial" w:cs="Arial"/>
          <w:sz w:val="24"/>
          <w:szCs w:val="24"/>
        </w:rPr>
        <w:t xml:space="preserve">A successful divestment would lock in gains from property </w:t>
      </w:r>
      <w:r w:rsidR="00F210BB" w:rsidRPr="00F43C12">
        <w:rPr>
          <w:rFonts w:ascii="Arial" w:hAnsi="Arial" w:cs="Arial"/>
          <w:sz w:val="24"/>
          <w:szCs w:val="24"/>
        </w:rPr>
        <w:t>value;</w:t>
      </w:r>
      <w:r w:rsidRPr="00F43C12">
        <w:rPr>
          <w:rFonts w:ascii="Arial" w:hAnsi="Arial" w:cs="Arial"/>
          <w:sz w:val="24"/>
          <w:szCs w:val="24"/>
        </w:rPr>
        <w:t xml:space="preserve"> boost return on capital employed and add to the market's view of Hilton as an asset-light platform. However, using sale and leaseback to generate a debt-free debt service can impose actual debt constraints; therefore, transactions need to meet a NPV, rent-cover, and downside-demand test. Repayment of debt would reduce interest risk, improve credit quality, and allow for owner support, technology and acquisition</w:t>
      </w:r>
      <w:r w:rsidR="00AA612D" w:rsidRPr="00F43C12">
        <w:rPr>
          <w:rFonts w:ascii="Arial" w:hAnsi="Arial" w:cs="Arial"/>
          <w:sz w:val="24"/>
          <w:szCs w:val="24"/>
        </w:rPr>
        <w:t xml:space="preserve"> </w:t>
      </w:r>
      <w:r w:rsidR="00AA612D" w:rsidRPr="00F43C12">
        <w:rPr>
          <w:rFonts w:ascii="Arial" w:hAnsi="Arial" w:cs="Arial"/>
          <w:sz w:val="24"/>
          <w:szCs w:val="24"/>
        </w:rPr>
        <w:t>(</w:t>
      </w:r>
      <w:proofErr w:type="spellStart"/>
      <w:r w:rsidR="00AA612D" w:rsidRPr="00F43C12">
        <w:rPr>
          <w:rFonts w:ascii="Arial" w:hAnsi="Arial" w:cs="Arial"/>
          <w:sz w:val="24"/>
          <w:szCs w:val="24"/>
        </w:rPr>
        <w:t>Klychova</w:t>
      </w:r>
      <w:proofErr w:type="spellEnd"/>
      <w:r w:rsidR="00AA612D" w:rsidRPr="00F43C12">
        <w:rPr>
          <w:rFonts w:ascii="Arial" w:hAnsi="Arial" w:cs="Arial"/>
          <w:sz w:val="24"/>
          <w:szCs w:val="24"/>
        </w:rPr>
        <w:t xml:space="preserve"> et al., 2021). </w:t>
      </w:r>
    </w:p>
    <w:p w14:paraId="61C26CB2" w14:textId="3F171724" w:rsidR="001B4D4C" w:rsidRPr="00F43C12" w:rsidRDefault="001B4D4C" w:rsidP="001B4D4C">
      <w:pPr>
        <w:spacing w:line="360" w:lineRule="auto"/>
        <w:jc w:val="both"/>
        <w:rPr>
          <w:rFonts w:ascii="Arial" w:hAnsi="Arial" w:cs="Arial"/>
          <w:sz w:val="24"/>
          <w:szCs w:val="24"/>
        </w:rPr>
      </w:pPr>
      <w:r w:rsidRPr="00F43C12">
        <w:rPr>
          <w:rFonts w:ascii="Arial" w:hAnsi="Arial" w:cs="Arial"/>
          <w:sz w:val="24"/>
          <w:szCs w:val="24"/>
        </w:rPr>
        <w:lastRenderedPageBreak/>
        <w:t xml:space="preserve">Immediate equity injection would allow the company to improve leverage conditions and </w:t>
      </w:r>
      <w:r w:rsidR="005D29FB" w:rsidRPr="00F43C12">
        <w:rPr>
          <w:rFonts w:ascii="Arial" w:hAnsi="Arial" w:cs="Arial"/>
          <w:sz w:val="24"/>
          <w:szCs w:val="24"/>
        </w:rPr>
        <w:t>liquidity but</w:t>
      </w:r>
      <w:r w:rsidRPr="00F43C12">
        <w:rPr>
          <w:rFonts w:ascii="Arial" w:hAnsi="Arial" w:cs="Arial"/>
          <w:sz w:val="24"/>
          <w:szCs w:val="24"/>
        </w:rPr>
        <w:t xml:space="preserve"> would reduce earnings per share and voting power. </w:t>
      </w:r>
      <w:r w:rsidR="005E6682" w:rsidRPr="00F43C12">
        <w:rPr>
          <w:rFonts w:ascii="Arial" w:hAnsi="Arial" w:cs="Arial"/>
          <w:sz w:val="24"/>
          <w:szCs w:val="24"/>
        </w:rPr>
        <w:t>So,</w:t>
      </w:r>
      <w:r w:rsidRPr="00F43C12">
        <w:rPr>
          <w:rFonts w:ascii="Arial" w:hAnsi="Arial" w:cs="Arial"/>
          <w:sz w:val="24"/>
          <w:szCs w:val="24"/>
        </w:rPr>
        <w:t xml:space="preserve"> it makes sense only if the return is expected to be greater than the cost of equity of Hilton or if there is a risk to financial stability. Joint ventures have the advantage of flexibility, such as Hilton entering growth markets without funding the entire project, but the power of governance and reserved decisions, dividend policies, and exit mechanisms must be clearly defined in the contract</w:t>
      </w:r>
      <w:r w:rsidR="0062065E" w:rsidRPr="00F43C12">
        <w:rPr>
          <w:rFonts w:ascii="Arial" w:hAnsi="Arial" w:cs="Arial"/>
          <w:sz w:val="24"/>
          <w:szCs w:val="24"/>
        </w:rPr>
        <w:t xml:space="preserve"> </w:t>
      </w:r>
      <w:r w:rsidR="0062065E" w:rsidRPr="00F43C12">
        <w:rPr>
          <w:rFonts w:ascii="Arial" w:hAnsi="Arial" w:cs="Arial"/>
          <w:sz w:val="24"/>
          <w:szCs w:val="24"/>
        </w:rPr>
        <w:t xml:space="preserve">(Ngoc, </w:t>
      </w:r>
      <w:proofErr w:type="spellStart"/>
      <w:r w:rsidR="0062065E" w:rsidRPr="00F43C12">
        <w:rPr>
          <w:rFonts w:ascii="Arial" w:hAnsi="Arial" w:cs="Arial"/>
          <w:sz w:val="24"/>
          <w:szCs w:val="24"/>
        </w:rPr>
        <w:t>Thi</w:t>
      </w:r>
      <w:proofErr w:type="spellEnd"/>
      <w:r w:rsidR="0062065E" w:rsidRPr="00F43C12">
        <w:rPr>
          <w:rFonts w:ascii="Arial" w:hAnsi="Arial" w:cs="Arial"/>
          <w:sz w:val="24"/>
          <w:szCs w:val="24"/>
        </w:rPr>
        <w:t xml:space="preserve"> and Nguyen, 2023). </w:t>
      </w:r>
    </w:p>
    <w:p w14:paraId="00719594" w14:textId="2705D9A6" w:rsidR="00265239" w:rsidRPr="00F43C12" w:rsidRDefault="001B4D4C" w:rsidP="001B4D4C">
      <w:pPr>
        <w:spacing w:line="360" w:lineRule="auto"/>
        <w:jc w:val="both"/>
        <w:rPr>
          <w:rFonts w:ascii="Arial" w:hAnsi="Arial" w:cs="Arial"/>
          <w:sz w:val="24"/>
          <w:szCs w:val="24"/>
        </w:rPr>
      </w:pPr>
      <w:r w:rsidRPr="00F43C12">
        <w:rPr>
          <w:rFonts w:ascii="Arial" w:hAnsi="Arial" w:cs="Arial"/>
          <w:sz w:val="24"/>
          <w:szCs w:val="24"/>
        </w:rPr>
        <w:t>The waterfall approach to capital allocation is as follows: first, spending for essential maintenance, cybersecurity and ESG programs; second, spending for minimum liquidity reserves; third, paying contractual debt service; fourth, spending for value-creating investments; and fifth, spending for dividends or buybacks. If liquidity thresholds are exceeded or leverage is too high, buybacks should be suspended</w:t>
      </w:r>
      <w:r w:rsidR="00AA612D" w:rsidRPr="00F43C12">
        <w:rPr>
          <w:rFonts w:ascii="Arial" w:hAnsi="Arial" w:cs="Arial"/>
          <w:sz w:val="24"/>
          <w:szCs w:val="24"/>
        </w:rPr>
        <w:t xml:space="preserve"> </w:t>
      </w:r>
      <w:r w:rsidR="00AA612D" w:rsidRPr="00F43C12">
        <w:rPr>
          <w:rFonts w:ascii="Arial" w:hAnsi="Arial" w:cs="Arial"/>
          <w:sz w:val="24"/>
          <w:szCs w:val="24"/>
        </w:rPr>
        <w:t>(</w:t>
      </w:r>
      <w:proofErr w:type="spellStart"/>
      <w:r w:rsidR="00AA612D" w:rsidRPr="00F43C12">
        <w:rPr>
          <w:rFonts w:ascii="Arial" w:hAnsi="Arial" w:cs="Arial"/>
          <w:sz w:val="24"/>
          <w:szCs w:val="24"/>
        </w:rPr>
        <w:t>Klychova</w:t>
      </w:r>
      <w:proofErr w:type="spellEnd"/>
      <w:r w:rsidR="00AA612D" w:rsidRPr="00F43C12">
        <w:rPr>
          <w:rFonts w:ascii="Arial" w:hAnsi="Arial" w:cs="Arial"/>
          <w:sz w:val="24"/>
          <w:szCs w:val="24"/>
        </w:rPr>
        <w:t xml:space="preserve"> et al., 2021). </w:t>
      </w:r>
    </w:p>
    <w:p w14:paraId="101839AE" w14:textId="77777777" w:rsidR="00E76A08" w:rsidRPr="00F43C12" w:rsidRDefault="00E76A08" w:rsidP="00E76A08">
      <w:pPr>
        <w:pStyle w:val="Heading2"/>
        <w:numPr>
          <w:ilvl w:val="1"/>
          <w:numId w:val="2"/>
        </w:numPr>
        <w:spacing w:line="360" w:lineRule="auto"/>
        <w:rPr>
          <w:rFonts w:ascii="Arial" w:hAnsi="Arial" w:cs="Arial"/>
          <w:sz w:val="24"/>
          <w:szCs w:val="24"/>
        </w:rPr>
      </w:pPr>
      <w:bookmarkStart w:id="17" w:name="_Toc235694626"/>
      <w:r w:rsidRPr="00F43C12">
        <w:rPr>
          <w:rFonts w:ascii="Arial" w:hAnsi="Arial" w:cs="Arial"/>
          <w:sz w:val="24"/>
          <w:szCs w:val="24"/>
        </w:rPr>
        <w:t>International and Ethical Considerations</w:t>
      </w:r>
      <w:bookmarkEnd w:id="17"/>
    </w:p>
    <w:p w14:paraId="7226C052" w14:textId="77777777" w:rsidR="001B4D4C" w:rsidRPr="00F43C12" w:rsidRDefault="001B4D4C" w:rsidP="001B4D4C">
      <w:pPr>
        <w:spacing w:line="360" w:lineRule="auto"/>
        <w:jc w:val="both"/>
        <w:rPr>
          <w:rFonts w:ascii="Arial" w:hAnsi="Arial" w:cs="Arial"/>
          <w:sz w:val="24"/>
          <w:szCs w:val="24"/>
        </w:rPr>
      </w:pPr>
      <w:r w:rsidRPr="00F43C12">
        <w:rPr>
          <w:rFonts w:ascii="Arial" w:hAnsi="Arial" w:cs="Arial"/>
          <w:sz w:val="24"/>
          <w:szCs w:val="24"/>
        </w:rPr>
        <w:t xml:space="preserve">International restructuring must be conducted according to the arm's-length transfer pricing principles and must have economic substance. Hilton should streamline legal entities if that will make it easier to run the business, but should avoid schemes, secrecy structures or transactions that are primarily to take advantage of tax differences. Clear governance at the country level would </w:t>
      </w:r>
      <w:proofErr w:type="spellStart"/>
      <w:r w:rsidRPr="00F43C12">
        <w:rPr>
          <w:rFonts w:ascii="Arial" w:hAnsi="Arial" w:cs="Arial"/>
          <w:sz w:val="24"/>
          <w:szCs w:val="24"/>
        </w:rPr>
        <w:t>minimise</w:t>
      </w:r>
      <w:proofErr w:type="spellEnd"/>
      <w:r w:rsidRPr="00F43C12">
        <w:rPr>
          <w:rFonts w:ascii="Arial" w:hAnsi="Arial" w:cs="Arial"/>
          <w:sz w:val="24"/>
          <w:szCs w:val="24"/>
        </w:rPr>
        <w:t xml:space="preserve"> risk arising from regulation and reputation.</w:t>
      </w:r>
    </w:p>
    <w:p w14:paraId="53ACF1CA" w14:textId="3FDEBD28" w:rsidR="001B4D4C" w:rsidRPr="00F43C12" w:rsidRDefault="001B4D4C" w:rsidP="001B4D4C">
      <w:pPr>
        <w:spacing w:line="360" w:lineRule="auto"/>
        <w:jc w:val="both"/>
        <w:rPr>
          <w:rFonts w:ascii="Arial" w:hAnsi="Arial" w:cs="Arial"/>
          <w:sz w:val="24"/>
          <w:szCs w:val="24"/>
        </w:rPr>
      </w:pPr>
      <w:r w:rsidRPr="00F43C12">
        <w:rPr>
          <w:rFonts w:ascii="Arial" w:hAnsi="Arial" w:cs="Arial"/>
          <w:sz w:val="24"/>
          <w:szCs w:val="24"/>
        </w:rPr>
        <w:t xml:space="preserve">Natural hedging, hedging of local </w:t>
      </w:r>
      <w:r w:rsidR="0062065E" w:rsidRPr="00F43C12">
        <w:rPr>
          <w:rFonts w:ascii="Arial" w:hAnsi="Arial" w:cs="Arial"/>
          <w:sz w:val="24"/>
          <w:szCs w:val="24"/>
        </w:rPr>
        <w:t>income fee</w:t>
      </w:r>
      <w:r w:rsidRPr="00F43C12">
        <w:rPr>
          <w:rFonts w:ascii="Arial" w:hAnsi="Arial" w:cs="Arial"/>
          <w:sz w:val="24"/>
          <w:szCs w:val="24"/>
        </w:rPr>
        <w:t xml:space="preserve"> and local operating costs or debt, with the support of a forward contract on material forecast cash flows should be used to manage currency exposure. The use of foreign exchange derivatives by Hilton does not remove translation, </w:t>
      </w:r>
      <w:r w:rsidR="0062065E" w:rsidRPr="00F43C12">
        <w:rPr>
          <w:rFonts w:ascii="Arial" w:hAnsi="Arial" w:cs="Arial"/>
          <w:sz w:val="24"/>
          <w:szCs w:val="24"/>
        </w:rPr>
        <w:t>counterpart</w:t>
      </w:r>
      <w:r w:rsidRPr="00F43C12">
        <w:rPr>
          <w:rFonts w:ascii="Arial" w:hAnsi="Arial" w:cs="Arial"/>
          <w:sz w:val="24"/>
          <w:szCs w:val="24"/>
        </w:rPr>
        <w:t xml:space="preserve"> or transaction risk. Treasury limits should therefore specify currencies, hedge ratios, counterparties and maturities (Hilton Worldwide Holdings Inc., 2026).</w:t>
      </w:r>
    </w:p>
    <w:p w14:paraId="7CEDDEF8" w14:textId="541651B9" w:rsidR="00551AEB" w:rsidRPr="00F43C12" w:rsidRDefault="001B4D4C" w:rsidP="00E76A08">
      <w:pPr>
        <w:spacing w:line="360" w:lineRule="auto"/>
        <w:jc w:val="both"/>
        <w:rPr>
          <w:rFonts w:ascii="Arial" w:hAnsi="Arial" w:cs="Arial"/>
          <w:sz w:val="24"/>
          <w:szCs w:val="24"/>
        </w:rPr>
      </w:pPr>
      <w:r w:rsidRPr="00F43C12">
        <w:rPr>
          <w:rFonts w:ascii="Arial" w:hAnsi="Arial" w:cs="Arial"/>
          <w:sz w:val="24"/>
          <w:szCs w:val="24"/>
        </w:rPr>
        <w:t xml:space="preserve">Hotel-owner viability, guest affordability and fair treatment of suppliers should be weighed against inflation-related fees and procurement savings. Restructuring should also align with Hilton's Travel with Purpose goals, including the reduction of managed hotel emissions, franchised Scope 3 emissions, water use and waste intensity by 2030. Labor, human-rights and environmental due diligence should be part of divestiture and measurable, independently verified targets should be chosen in </w:t>
      </w:r>
      <w:r w:rsidRPr="00F43C12">
        <w:rPr>
          <w:rFonts w:ascii="Arial" w:hAnsi="Arial" w:cs="Arial"/>
          <w:sz w:val="24"/>
          <w:szCs w:val="24"/>
        </w:rPr>
        <w:lastRenderedPageBreak/>
        <w:t xml:space="preserve">sustainability linked financing. This would enhance shareholder value, improve debt resilience and operating flexibility while </w:t>
      </w:r>
      <w:r w:rsidR="0062065E" w:rsidRPr="00F43C12">
        <w:rPr>
          <w:rFonts w:ascii="Arial" w:hAnsi="Arial" w:cs="Arial"/>
          <w:sz w:val="24"/>
          <w:szCs w:val="24"/>
        </w:rPr>
        <w:t>maintain</w:t>
      </w:r>
      <w:r w:rsidRPr="00F43C12">
        <w:rPr>
          <w:rFonts w:ascii="Arial" w:hAnsi="Arial" w:cs="Arial"/>
          <w:sz w:val="24"/>
          <w:szCs w:val="24"/>
        </w:rPr>
        <w:t xml:space="preserve"> ethical taxation, responsible employment, and credible environmental performance</w:t>
      </w:r>
      <w:r w:rsidR="00E514B5" w:rsidRPr="00F43C12">
        <w:rPr>
          <w:rFonts w:ascii="Arial" w:hAnsi="Arial" w:cs="Arial"/>
          <w:sz w:val="24"/>
          <w:szCs w:val="24"/>
        </w:rPr>
        <w:t xml:space="preserve"> </w:t>
      </w:r>
      <w:r w:rsidR="00E514B5" w:rsidRPr="00F43C12">
        <w:rPr>
          <w:rFonts w:ascii="Arial" w:hAnsi="Arial" w:cs="Arial"/>
          <w:sz w:val="24"/>
          <w:szCs w:val="24"/>
        </w:rPr>
        <w:t xml:space="preserve">(Bruna et al., 2022). </w:t>
      </w:r>
    </w:p>
    <w:p w14:paraId="303A5521" w14:textId="77777777" w:rsidR="00114A68" w:rsidRPr="00F43C12" w:rsidRDefault="00114A68" w:rsidP="00114A68">
      <w:pPr>
        <w:pStyle w:val="Heading1"/>
        <w:numPr>
          <w:ilvl w:val="0"/>
          <w:numId w:val="2"/>
        </w:numPr>
        <w:spacing w:line="360" w:lineRule="auto"/>
        <w:rPr>
          <w:rFonts w:ascii="Arial" w:hAnsi="Arial" w:cs="Arial"/>
          <w:sz w:val="24"/>
          <w:szCs w:val="24"/>
        </w:rPr>
      </w:pPr>
      <w:bookmarkStart w:id="18" w:name="_Toc235694627"/>
      <w:r w:rsidRPr="00F43C12">
        <w:rPr>
          <w:rFonts w:ascii="Arial" w:hAnsi="Arial" w:cs="Arial"/>
          <w:sz w:val="24"/>
          <w:szCs w:val="24"/>
        </w:rPr>
        <w:t>Investment Decision Summary</w:t>
      </w:r>
      <w:bookmarkEnd w:id="18"/>
    </w:p>
    <w:tbl>
      <w:tblPr>
        <w:tblStyle w:val="TableGrid"/>
        <w:tblW w:w="0" w:type="auto"/>
        <w:jc w:val="center"/>
        <w:tblLook w:val="04A0" w:firstRow="1" w:lastRow="0" w:firstColumn="1" w:lastColumn="0" w:noHBand="0" w:noVBand="1"/>
      </w:tblPr>
      <w:tblGrid>
        <w:gridCol w:w="1296"/>
        <w:gridCol w:w="1267"/>
        <w:gridCol w:w="1296"/>
        <w:gridCol w:w="1289"/>
        <w:gridCol w:w="1268"/>
        <w:gridCol w:w="1279"/>
        <w:gridCol w:w="1321"/>
      </w:tblGrid>
      <w:tr w:rsidR="00114A68" w:rsidRPr="00F43C12" w14:paraId="77DACEC1" w14:textId="77777777" w:rsidTr="00AA5684">
        <w:trPr>
          <w:jc w:val="center"/>
        </w:trPr>
        <w:tc>
          <w:tcPr>
            <w:tcW w:w="1336" w:type="dxa"/>
            <w:shd w:val="clear" w:color="auto" w:fill="17365D"/>
            <w:vAlign w:val="center"/>
          </w:tcPr>
          <w:p w14:paraId="48E0991F"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color w:val="FFFFFF"/>
                <w:sz w:val="24"/>
                <w:szCs w:val="24"/>
              </w:rPr>
              <w:t>Project</w:t>
            </w:r>
          </w:p>
        </w:tc>
        <w:tc>
          <w:tcPr>
            <w:tcW w:w="1336" w:type="dxa"/>
            <w:shd w:val="clear" w:color="auto" w:fill="17365D"/>
            <w:vAlign w:val="center"/>
          </w:tcPr>
          <w:p w14:paraId="6B5F14B3"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color w:val="FFFFFF"/>
                <w:sz w:val="24"/>
                <w:szCs w:val="24"/>
              </w:rPr>
              <w:t>PBP</w:t>
            </w:r>
          </w:p>
        </w:tc>
        <w:tc>
          <w:tcPr>
            <w:tcW w:w="1336" w:type="dxa"/>
            <w:shd w:val="clear" w:color="auto" w:fill="17365D"/>
            <w:vAlign w:val="center"/>
          </w:tcPr>
          <w:p w14:paraId="39A9FA15"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color w:val="FFFFFF"/>
                <w:sz w:val="24"/>
                <w:szCs w:val="24"/>
              </w:rPr>
              <w:t>ARR</w:t>
            </w:r>
          </w:p>
        </w:tc>
        <w:tc>
          <w:tcPr>
            <w:tcW w:w="1336" w:type="dxa"/>
            <w:shd w:val="clear" w:color="auto" w:fill="17365D"/>
            <w:vAlign w:val="center"/>
          </w:tcPr>
          <w:p w14:paraId="48EBD690"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color w:val="FFFFFF"/>
                <w:sz w:val="24"/>
                <w:szCs w:val="24"/>
              </w:rPr>
              <w:t>NPV (£m)</w:t>
            </w:r>
          </w:p>
        </w:tc>
        <w:tc>
          <w:tcPr>
            <w:tcW w:w="1336" w:type="dxa"/>
            <w:shd w:val="clear" w:color="auto" w:fill="17365D"/>
            <w:vAlign w:val="center"/>
          </w:tcPr>
          <w:p w14:paraId="1A933179"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color w:val="FFFFFF"/>
                <w:sz w:val="24"/>
                <w:szCs w:val="24"/>
              </w:rPr>
              <w:t>PI</w:t>
            </w:r>
          </w:p>
        </w:tc>
        <w:tc>
          <w:tcPr>
            <w:tcW w:w="1336" w:type="dxa"/>
            <w:shd w:val="clear" w:color="auto" w:fill="17365D"/>
            <w:vAlign w:val="center"/>
          </w:tcPr>
          <w:p w14:paraId="1BDDBCA9"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color w:val="FFFFFF"/>
                <w:sz w:val="24"/>
                <w:szCs w:val="24"/>
              </w:rPr>
              <w:t>IRR</w:t>
            </w:r>
          </w:p>
        </w:tc>
        <w:tc>
          <w:tcPr>
            <w:tcW w:w="1336" w:type="dxa"/>
            <w:shd w:val="clear" w:color="auto" w:fill="17365D"/>
            <w:vAlign w:val="center"/>
          </w:tcPr>
          <w:p w14:paraId="249B60BC"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color w:val="FFFFFF"/>
                <w:sz w:val="24"/>
                <w:szCs w:val="24"/>
              </w:rPr>
              <w:t>Decision</w:t>
            </w:r>
          </w:p>
        </w:tc>
      </w:tr>
      <w:tr w:rsidR="00114A68" w:rsidRPr="00F43C12" w14:paraId="769231EA" w14:textId="77777777" w:rsidTr="00AA5684">
        <w:trPr>
          <w:jc w:val="center"/>
        </w:trPr>
        <w:tc>
          <w:tcPr>
            <w:tcW w:w="1336" w:type="dxa"/>
            <w:vAlign w:val="center"/>
          </w:tcPr>
          <w:p w14:paraId="203AC6BD"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sz w:val="24"/>
                <w:szCs w:val="24"/>
              </w:rPr>
              <w:t>A</w:t>
            </w:r>
          </w:p>
        </w:tc>
        <w:tc>
          <w:tcPr>
            <w:tcW w:w="1336" w:type="dxa"/>
            <w:vAlign w:val="center"/>
          </w:tcPr>
          <w:p w14:paraId="09E7079F"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4.50 years</w:t>
            </w:r>
          </w:p>
        </w:tc>
        <w:tc>
          <w:tcPr>
            <w:tcW w:w="1336" w:type="dxa"/>
            <w:vAlign w:val="center"/>
          </w:tcPr>
          <w:p w14:paraId="7F1C12C2"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3.20%</w:t>
            </w:r>
          </w:p>
        </w:tc>
        <w:tc>
          <w:tcPr>
            <w:tcW w:w="1336" w:type="dxa"/>
            <w:vAlign w:val="center"/>
          </w:tcPr>
          <w:p w14:paraId="73089EED"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(6.544)</w:t>
            </w:r>
          </w:p>
        </w:tc>
        <w:tc>
          <w:tcPr>
            <w:tcW w:w="1336" w:type="dxa"/>
            <w:vAlign w:val="center"/>
          </w:tcPr>
          <w:p w14:paraId="2CC5CD14"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0.869</w:t>
            </w:r>
          </w:p>
        </w:tc>
        <w:tc>
          <w:tcPr>
            <w:tcW w:w="1336" w:type="dxa"/>
            <w:vAlign w:val="center"/>
          </w:tcPr>
          <w:p w14:paraId="3B595028"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2.72%</w:t>
            </w:r>
          </w:p>
        </w:tc>
        <w:tc>
          <w:tcPr>
            <w:tcW w:w="1336" w:type="dxa"/>
            <w:shd w:val="clear" w:color="auto" w:fill="FCE4D6"/>
            <w:vAlign w:val="center"/>
          </w:tcPr>
          <w:p w14:paraId="6C64EAD7"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sz w:val="24"/>
                <w:szCs w:val="24"/>
              </w:rPr>
              <w:t>Reject</w:t>
            </w:r>
          </w:p>
        </w:tc>
      </w:tr>
      <w:tr w:rsidR="00114A68" w:rsidRPr="00F43C12" w14:paraId="552AFBD4" w14:textId="77777777" w:rsidTr="00AA5684">
        <w:trPr>
          <w:jc w:val="center"/>
        </w:trPr>
        <w:tc>
          <w:tcPr>
            <w:tcW w:w="1336" w:type="dxa"/>
            <w:vAlign w:val="center"/>
          </w:tcPr>
          <w:p w14:paraId="6191C8EE"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sz w:val="24"/>
                <w:szCs w:val="24"/>
              </w:rPr>
              <w:t>B</w:t>
            </w:r>
          </w:p>
        </w:tc>
        <w:tc>
          <w:tcPr>
            <w:tcW w:w="1336" w:type="dxa"/>
            <w:vAlign w:val="center"/>
          </w:tcPr>
          <w:p w14:paraId="30D63418"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4.55 years</w:t>
            </w:r>
          </w:p>
        </w:tc>
        <w:tc>
          <w:tcPr>
            <w:tcW w:w="1336" w:type="dxa"/>
            <w:vAlign w:val="center"/>
          </w:tcPr>
          <w:p w14:paraId="24994A32"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4.00%</w:t>
            </w:r>
          </w:p>
        </w:tc>
        <w:tc>
          <w:tcPr>
            <w:tcW w:w="1336" w:type="dxa"/>
            <w:vAlign w:val="center"/>
          </w:tcPr>
          <w:p w14:paraId="27C032F6"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(6.080)</w:t>
            </w:r>
          </w:p>
        </w:tc>
        <w:tc>
          <w:tcPr>
            <w:tcW w:w="1336" w:type="dxa"/>
            <w:vAlign w:val="center"/>
          </w:tcPr>
          <w:p w14:paraId="136FD632"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0.878</w:t>
            </w:r>
          </w:p>
        </w:tc>
        <w:tc>
          <w:tcPr>
            <w:tcW w:w="1336" w:type="dxa"/>
            <w:vAlign w:val="center"/>
          </w:tcPr>
          <w:p w14:paraId="4478F2F0"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3.26%</w:t>
            </w:r>
          </w:p>
        </w:tc>
        <w:tc>
          <w:tcPr>
            <w:tcW w:w="1336" w:type="dxa"/>
            <w:shd w:val="clear" w:color="auto" w:fill="FCE4D6"/>
            <w:vAlign w:val="center"/>
          </w:tcPr>
          <w:p w14:paraId="6F0CB28F"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sz w:val="24"/>
                <w:szCs w:val="24"/>
              </w:rPr>
              <w:t>Reject</w:t>
            </w:r>
          </w:p>
        </w:tc>
      </w:tr>
      <w:tr w:rsidR="00114A68" w:rsidRPr="00F43C12" w14:paraId="432CCBC2" w14:textId="77777777" w:rsidTr="00AA5684">
        <w:trPr>
          <w:jc w:val="center"/>
        </w:trPr>
        <w:tc>
          <w:tcPr>
            <w:tcW w:w="1336" w:type="dxa"/>
            <w:shd w:val="clear" w:color="auto" w:fill="E2F0D9"/>
            <w:vAlign w:val="center"/>
          </w:tcPr>
          <w:p w14:paraId="6D0BD2CC"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sz w:val="24"/>
                <w:szCs w:val="24"/>
              </w:rPr>
              <w:t>C</w:t>
            </w:r>
          </w:p>
        </w:tc>
        <w:tc>
          <w:tcPr>
            <w:tcW w:w="1336" w:type="dxa"/>
            <w:shd w:val="clear" w:color="auto" w:fill="E2F0D9"/>
            <w:vAlign w:val="center"/>
          </w:tcPr>
          <w:p w14:paraId="79A2D3B1"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3.60 years</w:t>
            </w:r>
          </w:p>
        </w:tc>
        <w:tc>
          <w:tcPr>
            <w:tcW w:w="1336" w:type="dxa"/>
            <w:shd w:val="clear" w:color="auto" w:fill="E2F0D9"/>
            <w:vAlign w:val="center"/>
          </w:tcPr>
          <w:p w14:paraId="76A0299B"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12.00%</w:t>
            </w:r>
          </w:p>
        </w:tc>
        <w:tc>
          <w:tcPr>
            <w:tcW w:w="1336" w:type="dxa"/>
            <w:shd w:val="clear" w:color="auto" w:fill="E2F0D9"/>
            <w:vAlign w:val="center"/>
          </w:tcPr>
          <w:p w14:paraId="79690655"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0.858</w:t>
            </w:r>
          </w:p>
        </w:tc>
        <w:tc>
          <w:tcPr>
            <w:tcW w:w="1336" w:type="dxa"/>
            <w:shd w:val="clear" w:color="auto" w:fill="E2F0D9"/>
            <w:vAlign w:val="center"/>
          </w:tcPr>
          <w:p w14:paraId="4D24E1CA"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1.017</w:t>
            </w:r>
          </w:p>
        </w:tc>
        <w:tc>
          <w:tcPr>
            <w:tcW w:w="1336" w:type="dxa"/>
            <w:shd w:val="clear" w:color="auto" w:fill="E2F0D9"/>
            <w:vAlign w:val="center"/>
          </w:tcPr>
          <w:p w14:paraId="1AF6E66A"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sz w:val="24"/>
                <w:szCs w:val="24"/>
              </w:rPr>
              <w:t>8.59%</w:t>
            </w:r>
          </w:p>
        </w:tc>
        <w:tc>
          <w:tcPr>
            <w:tcW w:w="1336" w:type="dxa"/>
            <w:shd w:val="clear" w:color="auto" w:fill="E2F0D9"/>
            <w:vAlign w:val="center"/>
          </w:tcPr>
          <w:p w14:paraId="0CF236CB" w14:textId="77777777" w:rsidR="00114A68" w:rsidRPr="00F43C12" w:rsidRDefault="00114A68" w:rsidP="00AA5684">
            <w:pPr>
              <w:spacing w:line="360" w:lineRule="auto"/>
              <w:jc w:val="center"/>
              <w:rPr>
                <w:rFonts w:ascii="Arial" w:hAnsi="Arial" w:cs="Arial"/>
                <w:sz w:val="24"/>
                <w:szCs w:val="24"/>
              </w:rPr>
            </w:pPr>
            <w:r w:rsidRPr="00F43C12">
              <w:rPr>
                <w:rFonts w:ascii="Arial" w:hAnsi="Arial" w:cs="Arial"/>
                <w:b/>
                <w:sz w:val="24"/>
                <w:szCs w:val="24"/>
              </w:rPr>
              <w:t>Accept</w:t>
            </w:r>
          </w:p>
        </w:tc>
      </w:tr>
    </w:tbl>
    <w:p w14:paraId="2891AC4B" w14:textId="77777777" w:rsidR="00114A68" w:rsidRPr="00F43C12" w:rsidRDefault="00114A68" w:rsidP="00114A68">
      <w:pPr>
        <w:pStyle w:val="Heading2"/>
        <w:numPr>
          <w:ilvl w:val="1"/>
          <w:numId w:val="2"/>
        </w:numPr>
        <w:spacing w:line="360" w:lineRule="auto"/>
        <w:jc w:val="both"/>
        <w:rPr>
          <w:rFonts w:ascii="Arial" w:hAnsi="Arial" w:cs="Arial"/>
          <w:sz w:val="24"/>
          <w:szCs w:val="24"/>
        </w:rPr>
      </w:pPr>
      <w:bookmarkStart w:id="19" w:name="_Toc235694628"/>
      <w:r w:rsidRPr="00F43C12">
        <w:rPr>
          <w:rFonts w:ascii="Arial" w:hAnsi="Arial" w:cs="Arial"/>
          <w:sz w:val="24"/>
          <w:szCs w:val="24"/>
        </w:rPr>
        <w:t>Appraisal framework</w:t>
      </w:r>
      <w:bookmarkEnd w:id="19"/>
    </w:p>
    <w:p w14:paraId="778B726A" w14:textId="77777777" w:rsidR="00114A68" w:rsidRPr="00F43C12" w:rsidRDefault="00114A68" w:rsidP="00114A68">
      <w:pPr>
        <w:rPr>
          <w:rFonts w:ascii="Arial" w:hAnsi="Arial" w:cs="Arial"/>
          <w:sz w:val="24"/>
          <w:szCs w:val="24"/>
        </w:rPr>
      </w:pPr>
      <w:r w:rsidRPr="00F43C12">
        <w:rPr>
          <w:rFonts w:ascii="Arial" w:hAnsi="Arial" w:cs="Arial"/>
          <w:noProof/>
          <w:sz w:val="24"/>
          <w:szCs w:val="24"/>
        </w:rPr>
        <w:drawing>
          <wp:inline distT="0" distB="0" distL="0" distR="0" wp14:anchorId="6E832288" wp14:editId="37D0ADBF">
            <wp:extent cx="5940425" cy="2903220"/>
            <wp:effectExtent l="0" t="0" r="3175" b="11430"/>
            <wp:docPr id="320620238" name="Chart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0088043" w14:textId="3217EDFA" w:rsidR="00026B0A" w:rsidRPr="00F43C12" w:rsidRDefault="00B136BA" w:rsidP="00114A68">
      <w:pPr>
        <w:spacing w:line="360" w:lineRule="auto"/>
        <w:jc w:val="both"/>
        <w:rPr>
          <w:rFonts w:ascii="Arial" w:hAnsi="Arial" w:cs="Arial"/>
          <w:sz w:val="24"/>
          <w:szCs w:val="24"/>
        </w:rPr>
      </w:pPr>
      <w:r w:rsidRPr="00F43C12">
        <w:rPr>
          <w:rFonts w:ascii="Arial" w:hAnsi="Arial" w:cs="Arial"/>
          <w:sz w:val="24"/>
          <w:szCs w:val="24"/>
        </w:rPr>
        <w:t xml:space="preserve">The three projects are identical upfront costs of £50m and </w:t>
      </w:r>
      <w:r w:rsidR="0062065E" w:rsidRPr="00F43C12">
        <w:rPr>
          <w:rFonts w:ascii="Arial" w:hAnsi="Arial" w:cs="Arial"/>
          <w:sz w:val="24"/>
          <w:szCs w:val="24"/>
        </w:rPr>
        <w:t>5-year</w:t>
      </w:r>
      <w:r w:rsidRPr="00F43C12">
        <w:rPr>
          <w:rFonts w:ascii="Arial" w:hAnsi="Arial" w:cs="Arial"/>
          <w:sz w:val="24"/>
          <w:szCs w:val="24"/>
        </w:rPr>
        <w:t xml:space="preserve"> operation, so comparison is permitted. The Excel model assumes an 8% discount rate, a zero residual value and depreciation of £10 million per annum, straight-line. Payback is related to the speed of recovery; ARR is the comparison of average accounting profit with average investment. NPV discounts future cash flows and subtracts initial cost; profitability index is discounted inflows per pound invested; and internal rate of return is the discount rate at which NPV is zero. Payback and ARR are convenient </w:t>
      </w:r>
      <w:r w:rsidR="0062065E" w:rsidRPr="00F43C12">
        <w:rPr>
          <w:rFonts w:ascii="Arial" w:hAnsi="Arial" w:cs="Arial"/>
          <w:sz w:val="24"/>
          <w:szCs w:val="24"/>
        </w:rPr>
        <w:t>filters,</w:t>
      </w:r>
      <w:r w:rsidRPr="00F43C12">
        <w:rPr>
          <w:rFonts w:ascii="Arial" w:hAnsi="Arial" w:cs="Arial"/>
          <w:sz w:val="24"/>
          <w:szCs w:val="24"/>
        </w:rPr>
        <w:t xml:space="preserve"> but they do not account for the time value of money. Consequently, the most important </w:t>
      </w:r>
      <w:r w:rsidRPr="00F43C12">
        <w:rPr>
          <w:rFonts w:ascii="Arial" w:hAnsi="Arial" w:cs="Arial"/>
          <w:sz w:val="24"/>
          <w:szCs w:val="24"/>
        </w:rPr>
        <w:lastRenderedPageBreak/>
        <w:t>decision criterion is the NPV as a positive NPV indicates that shareholder wealth has increased, and it is supplemented by the PI and the IRR (ACCA, 2026; ICAEW, 2026). Detailed formulas and results are included in the Appendix E.</w:t>
      </w:r>
    </w:p>
    <w:p w14:paraId="197FEEF8" w14:textId="77777777" w:rsidR="00114A68" w:rsidRPr="00F43C12" w:rsidRDefault="00114A68" w:rsidP="00114A68">
      <w:pPr>
        <w:pStyle w:val="Heading2"/>
        <w:numPr>
          <w:ilvl w:val="1"/>
          <w:numId w:val="2"/>
        </w:numPr>
        <w:spacing w:line="360" w:lineRule="auto"/>
        <w:jc w:val="both"/>
        <w:rPr>
          <w:rFonts w:ascii="Arial" w:hAnsi="Arial" w:cs="Arial"/>
          <w:sz w:val="24"/>
          <w:szCs w:val="24"/>
        </w:rPr>
      </w:pPr>
      <w:bookmarkStart w:id="20" w:name="_Toc235694629"/>
      <w:r w:rsidRPr="00F43C12">
        <w:rPr>
          <w:rFonts w:ascii="Arial" w:hAnsi="Arial" w:cs="Arial"/>
          <w:sz w:val="24"/>
          <w:szCs w:val="24"/>
        </w:rPr>
        <w:t>Payback and accounting return</w:t>
      </w:r>
      <w:bookmarkEnd w:id="20"/>
    </w:p>
    <w:p w14:paraId="27BB83AC" w14:textId="22965AF2" w:rsidR="00556870" w:rsidRPr="00F43C12" w:rsidRDefault="00556870" w:rsidP="00556870">
      <w:pPr>
        <w:spacing w:line="360" w:lineRule="auto"/>
        <w:jc w:val="both"/>
        <w:rPr>
          <w:rFonts w:ascii="Arial" w:hAnsi="Arial" w:cs="Arial"/>
          <w:sz w:val="24"/>
          <w:szCs w:val="24"/>
        </w:rPr>
      </w:pPr>
      <w:r w:rsidRPr="00F43C12">
        <w:rPr>
          <w:rFonts w:ascii="Arial" w:hAnsi="Arial" w:cs="Arial"/>
          <w:sz w:val="24"/>
          <w:szCs w:val="24"/>
        </w:rPr>
        <w:t xml:space="preserve">The total appropriate inflows from Project A are £54 million. Cumulative receipts are £46 million at Year 4 and £4 million needs to be recovered from </w:t>
      </w:r>
      <w:r w:rsidR="00AF2BCA" w:rsidRPr="00F43C12">
        <w:rPr>
          <w:rFonts w:ascii="Arial" w:hAnsi="Arial" w:cs="Arial"/>
          <w:sz w:val="24"/>
          <w:szCs w:val="24"/>
        </w:rPr>
        <w:t>Year</w:t>
      </w:r>
      <w:r w:rsidRPr="00F43C12">
        <w:rPr>
          <w:rFonts w:ascii="Arial" w:hAnsi="Arial" w:cs="Arial"/>
          <w:sz w:val="24"/>
          <w:szCs w:val="24"/>
        </w:rPr>
        <w:t xml:space="preserve"> 5 inflow of £8 million. Therefore, </w:t>
      </w:r>
      <w:proofErr w:type="spellStart"/>
      <w:r w:rsidRPr="00F43C12">
        <w:rPr>
          <w:rFonts w:ascii="Arial" w:hAnsi="Arial" w:cs="Arial"/>
          <w:sz w:val="24"/>
          <w:szCs w:val="24"/>
        </w:rPr>
        <w:t>its</w:t>
      </w:r>
      <w:proofErr w:type="spellEnd"/>
      <w:r w:rsidRPr="00F43C12">
        <w:rPr>
          <w:rFonts w:ascii="Arial" w:hAnsi="Arial" w:cs="Arial"/>
          <w:sz w:val="24"/>
          <w:szCs w:val="24"/>
        </w:rPr>
        <w:t xml:space="preserve"> payback period is 4.50 years. Project B has an annual inflow of £11 million and after 4 years the inflow would be £44 million. The rest of £6 million is 6/11 of the final year inflow which is equivalent to 4.55 years payback period. Project C will only receive £5 million in Year 1 and £10 million in Year 2, but better receipts of £20 million in Year 3 and £25 million in Year 4 will speed up recovery. It becomes £35 million at Year 3 and is recovered by 60% of Year 4, yielding the shortest payback of 3.60 years</w:t>
      </w:r>
      <w:r w:rsidR="00DA4B58" w:rsidRPr="00F43C12">
        <w:rPr>
          <w:rFonts w:ascii="Arial" w:hAnsi="Arial" w:cs="Arial"/>
          <w:sz w:val="24"/>
          <w:szCs w:val="24"/>
        </w:rPr>
        <w:t xml:space="preserve"> </w:t>
      </w:r>
      <w:r w:rsidR="00DA4B58" w:rsidRPr="00F43C12">
        <w:rPr>
          <w:rFonts w:ascii="Arial" w:hAnsi="Arial" w:cs="Arial"/>
          <w:sz w:val="24"/>
          <w:szCs w:val="24"/>
        </w:rPr>
        <w:t xml:space="preserve">(Baker et al., 2023). </w:t>
      </w:r>
    </w:p>
    <w:p w14:paraId="66A4333A" w14:textId="5FB732C0" w:rsidR="00B136BA" w:rsidRPr="00F43C12" w:rsidRDefault="00556870" w:rsidP="00556870">
      <w:pPr>
        <w:spacing w:line="360" w:lineRule="auto"/>
        <w:jc w:val="both"/>
        <w:rPr>
          <w:rFonts w:ascii="Arial" w:hAnsi="Arial" w:cs="Arial"/>
          <w:sz w:val="24"/>
          <w:szCs w:val="24"/>
        </w:rPr>
      </w:pPr>
      <w:r w:rsidRPr="00F43C12">
        <w:rPr>
          <w:rFonts w:ascii="Arial" w:hAnsi="Arial" w:cs="Arial"/>
          <w:sz w:val="24"/>
          <w:szCs w:val="24"/>
        </w:rPr>
        <w:t>The annual depreciation for each project is £10,000,000. The respective ARRs of the three projects are then: 3.20% (project A); 4.00% (project B); 12.00% (project C). For both payback and ARR, Project C is again first. However, neither of these measures alone are enough to use for approval because payback does not consider cash received after recovery and ARR is based on accounting profit, not discounted cash (ACCA, 2026).</w:t>
      </w:r>
    </w:p>
    <w:p w14:paraId="50F9F592" w14:textId="77777777" w:rsidR="00114A68" w:rsidRPr="00F43C12" w:rsidRDefault="00114A68" w:rsidP="00114A68">
      <w:pPr>
        <w:pStyle w:val="Heading2"/>
        <w:numPr>
          <w:ilvl w:val="1"/>
          <w:numId w:val="2"/>
        </w:numPr>
        <w:spacing w:line="360" w:lineRule="auto"/>
        <w:jc w:val="both"/>
        <w:rPr>
          <w:rFonts w:ascii="Arial" w:hAnsi="Arial" w:cs="Arial"/>
          <w:sz w:val="24"/>
          <w:szCs w:val="24"/>
        </w:rPr>
      </w:pPr>
      <w:bookmarkStart w:id="21" w:name="_Toc235694630"/>
      <w:r w:rsidRPr="00F43C12">
        <w:rPr>
          <w:rFonts w:ascii="Arial" w:hAnsi="Arial" w:cs="Arial"/>
          <w:sz w:val="24"/>
          <w:szCs w:val="24"/>
        </w:rPr>
        <w:t>Discounted cash-flow evaluation</w:t>
      </w:r>
      <w:bookmarkEnd w:id="21"/>
    </w:p>
    <w:p w14:paraId="490CC221" w14:textId="753A2CE1" w:rsidR="00556870" w:rsidRPr="00F43C12" w:rsidRDefault="00556870" w:rsidP="00556870">
      <w:pPr>
        <w:spacing w:line="360" w:lineRule="auto"/>
        <w:jc w:val="both"/>
        <w:rPr>
          <w:rFonts w:ascii="Arial" w:hAnsi="Arial" w:cs="Arial"/>
          <w:sz w:val="24"/>
          <w:szCs w:val="24"/>
        </w:rPr>
      </w:pPr>
      <w:r w:rsidRPr="00F43C12">
        <w:rPr>
          <w:rFonts w:ascii="Arial" w:hAnsi="Arial" w:cs="Arial"/>
          <w:sz w:val="24"/>
          <w:szCs w:val="24"/>
        </w:rPr>
        <w:t>The present value of the five inflows of Project A is £43.456 million at 8%. With an initial investment of £50m, the NPV is negative £6.544m. Its PI is 0.869 and its IRR is 2.72%. The level inflows for project B have a present value of £43.920 million with the NPV being negative £6.080 million, the PI being 0.878 and the IRR being 3.26%. The discounted cash-flow tests are not passed by both projects as the NPVs are negative, the PIs are below 1.0 and the IRRs are below the required 8%</w:t>
      </w:r>
      <w:r w:rsidR="00506EFE" w:rsidRPr="00F43C12">
        <w:rPr>
          <w:rFonts w:ascii="Arial" w:hAnsi="Arial" w:cs="Arial"/>
          <w:sz w:val="24"/>
          <w:szCs w:val="24"/>
        </w:rPr>
        <w:t xml:space="preserve"> </w:t>
      </w:r>
      <w:r w:rsidR="00506EFE" w:rsidRPr="00F43C12">
        <w:rPr>
          <w:rFonts w:ascii="Arial" w:hAnsi="Arial" w:cs="Arial"/>
          <w:sz w:val="24"/>
          <w:szCs w:val="24"/>
        </w:rPr>
        <w:t xml:space="preserve">(Baker et al., 2023). </w:t>
      </w:r>
    </w:p>
    <w:p w14:paraId="668CBDA3" w14:textId="2E602A6F" w:rsidR="007642C3" w:rsidRPr="00F43C12" w:rsidRDefault="00556870" w:rsidP="00556870">
      <w:pPr>
        <w:spacing w:line="360" w:lineRule="auto"/>
        <w:jc w:val="both"/>
        <w:rPr>
          <w:rFonts w:ascii="Arial" w:hAnsi="Arial" w:cs="Arial"/>
          <w:sz w:val="24"/>
          <w:szCs w:val="24"/>
        </w:rPr>
      </w:pPr>
      <w:r w:rsidRPr="00F43C12">
        <w:rPr>
          <w:rFonts w:ascii="Arial" w:hAnsi="Arial" w:cs="Arial"/>
          <w:sz w:val="24"/>
          <w:szCs w:val="24"/>
        </w:rPr>
        <w:t xml:space="preserve">The project C NPV is positive £0.858 million with a present value of £50.858 million, IRR is 8.59% and the PI is 1.017. If the above assumptions were true, then it is the only project that meets all three of the above discounted criteria. As a result, the positive NPV indicates that Project C will require a £71,000 investment but will generate a required return and an extra present value of around £858,000. This is </w:t>
      </w:r>
      <w:r w:rsidRPr="00F43C12">
        <w:rPr>
          <w:rFonts w:ascii="Arial" w:hAnsi="Arial" w:cs="Arial"/>
          <w:sz w:val="24"/>
          <w:szCs w:val="24"/>
        </w:rPr>
        <w:lastRenderedPageBreak/>
        <w:t>because it has an attractive focus of £45 million of receipts in Years 3 and 4, which is counterbalanced by the poor years at the start. However, the margin is small—its IRR is just 0.59 percentage points above the hurdle rate. Any minor delays, cost escalations or diminished value of benefits may therefore wipe out the value added. Approval should be subject to sensitivity analysis and staged expenditure and benefits-</w:t>
      </w:r>
      <w:proofErr w:type="spellStart"/>
      <w:r w:rsidRPr="00F43C12">
        <w:rPr>
          <w:rFonts w:ascii="Arial" w:hAnsi="Arial" w:cs="Arial"/>
          <w:sz w:val="24"/>
          <w:szCs w:val="24"/>
        </w:rPr>
        <w:t>realisation</w:t>
      </w:r>
      <w:proofErr w:type="spellEnd"/>
      <w:r w:rsidRPr="00F43C12">
        <w:rPr>
          <w:rFonts w:ascii="Arial" w:hAnsi="Arial" w:cs="Arial"/>
          <w:sz w:val="24"/>
          <w:szCs w:val="24"/>
        </w:rPr>
        <w:t xml:space="preserve"> reviews</w:t>
      </w:r>
      <w:r w:rsidR="00507EE7" w:rsidRPr="00F43C12">
        <w:rPr>
          <w:rFonts w:ascii="Arial" w:hAnsi="Arial" w:cs="Arial"/>
          <w:sz w:val="24"/>
          <w:szCs w:val="24"/>
        </w:rPr>
        <w:t xml:space="preserve"> </w:t>
      </w:r>
      <w:r w:rsidR="00507EE7" w:rsidRPr="00F43C12">
        <w:rPr>
          <w:rFonts w:ascii="Arial" w:hAnsi="Arial" w:cs="Arial"/>
          <w:sz w:val="24"/>
          <w:szCs w:val="24"/>
        </w:rPr>
        <w:t xml:space="preserve">(Bruna et al., 2022). </w:t>
      </w:r>
    </w:p>
    <w:p w14:paraId="2584F5B8" w14:textId="77777777" w:rsidR="00114A68" w:rsidRPr="00F43C12" w:rsidRDefault="00114A68" w:rsidP="00114A68">
      <w:pPr>
        <w:spacing w:line="360" w:lineRule="auto"/>
        <w:jc w:val="center"/>
        <w:rPr>
          <w:rFonts w:ascii="Arial" w:hAnsi="Arial" w:cs="Arial"/>
          <w:sz w:val="24"/>
          <w:szCs w:val="24"/>
        </w:rPr>
      </w:pPr>
      <w:r w:rsidRPr="00F43C12">
        <w:rPr>
          <w:rFonts w:ascii="Arial" w:hAnsi="Arial" w:cs="Arial"/>
          <w:noProof/>
          <w:sz w:val="24"/>
          <w:szCs w:val="24"/>
        </w:rPr>
        <w:drawing>
          <wp:inline distT="0" distB="0" distL="0" distR="0" wp14:anchorId="5BA6596B" wp14:editId="3426D057">
            <wp:extent cx="5940425" cy="2903220"/>
            <wp:effectExtent l="0" t="0" r="3175" b="11430"/>
            <wp:docPr id="638126829" name="Chart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D350FB" w14:textId="23DAD78C" w:rsidR="00114A68" w:rsidRPr="00F43C12" w:rsidRDefault="00114A68" w:rsidP="00114A68">
      <w:pPr>
        <w:pStyle w:val="FigureCaption"/>
        <w:spacing w:line="360" w:lineRule="auto"/>
        <w:rPr>
          <w:rFonts w:cs="Arial"/>
          <w:b/>
          <w:bCs/>
          <w:i w:val="0"/>
          <w:sz w:val="24"/>
          <w:szCs w:val="24"/>
          <w:u w:val="single"/>
        </w:rPr>
      </w:pPr>
      <w:r w:rsidRPr="00F43C12">
        <w:rPr>
          <w:rFonts w:cs="Arial"/>
          <w:b/>
          <w:bCs/>
          <w:i w:val="0"/>
          <w:sz w:val="24"/>
          <w:szCs w:val="24"/>
          <w:u w:val="single"/>
        </w:rPr>
        <w:t>Figure. NPV comparison at the 8% discount rate.</w:t>
      </w:r>
    </w:p>
    <w:p w14:paraId="5DD6B5C7" w14:textId="77777777" w:rsidR="00114A68" w:rsidRPr="00F43C12" w:rsidRDefault="00114A68" w:rsidP="00114A68">
      <w:pPr>
        <w:spacing w:line="360" w:lineRule="auto"/>
        <w:jc w:val="center"/>
        <w:rPr>
          <w:rFonts w:ascii="Arial" w:hAnsi="Arial" w:cs="Arial"/>
          <w:sz w:val="24"/>
          <w:szCs w:val="24"/>
        </w:rPr>
      </w:pPr>
      <w:r w:rsidRPr="00F43C12">
        <w:rPr>
          <w:rFonts w:ascii="Arial" w:hAnsi="Arial" w:cs="Arial"/>
          <w:noProof/>
          <w:sz w:val="24"/>
          <w:szCs w:val="24"/>
        </w:rPr>
        <w:drawing>
          <wp:inline distT="0" distB="0" distL="0" distR="0" wp14:anchorId="6BCDA3EA" wp14:editId="646ED6A9">
            <wp:extent cx="5940425" cy="2940050"/>
            <wp:effectExtent l="0" t="0" r="3175" b="12700"/>
            <wp:docPr id="1402845216"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08723B" w14:textId="186406A6" w:rsidR="00114A68" w:rsidRPr="00F43C12" w:rsidRDefault="00114A68" w:rsidP="00114A68">
      <w:pPr>
        <w:pStyle w:val="FigureCaption"/>
        <w:spacing w:line="360" w:lineRule="auto"/>
        <w:rPr>
          <w:rFonts w:cs="Arial"/>
          <w:b/>
          <w:bCs/>
          <w:i w:val="0"/>
          <w:sz w:val="24"/>
          <w:szCs w:val="24"/>
          <w:u w:val="single"/>
        </w:rPr>
      </w:pPr>
      <w:r w:rsidRPr="00F43C12">
        <w:rPr>
          <w:rFonts w:cs="Arial"/>
          <w:b/>
          <w:bCs/>
          <w:i w:val="0"/>
          <w:sz w:val="24"/>
          <w:szCs w:val="24"/>
          <w:u w:val="single"/>
        </w:rPr>
        <w:t>Figure. Project IRRs compared with the 8% required return.</w:t>
      </w:r>
    </w:p>
    <w:p w14:paraId="0C12FA3C" w14:textId="77777777" w:rsidR="00114A68" w:rsidRPr="00F43C12" w:rsidRDefault="00114A68" w:rsidP="00114A68">
      <w:pPr>
        <w:pStyle w:val="Heading2"/>
        <w:numPr>
          <w:ilvl w:val="1"/>
          <w:numId w:val="2"/>
        </w:numPr>
        <w:spacing w:line="360" w:lineRule="auto"/>
        <w:jc w:val="both"/>
        <w:rPr>
          <w:rFonts w:ascii="Arial" w:hAnsi="Arial" w:cs="Arial"/>
          <w:sz w:val="24"/>
          <w:szCs w:val="24"/>
        </w:rPr>
      </w:pPr>
      <w:bookmarkStart w:id="22" w:name="_Toc235694631"/>
      <w:r w:rsidRPr="00F43C12">
        <w:rPr>
          <w:rFonts w:ascii="Arial" w:hAnsi="Arial" w:cs="Arial"/>
          <w:sz w:val="24"/>
          <w:szCs w:val="24"/>
        </w:rPr>
        <w:lastRenderedPageBreak/>
        <w:t>Recommended project and Hilton affordability</w:t>
      </w:r>
      <w:bookmarkEnd w:id="22"/>
    </w:p>
    <w:p w14:paraId="02BAE533" w14:textId="102A23BF" w:rsidR="002D4F04" w:rsidRPr="00F43C12" w:rsidRDefault="002D4F04" w:rsidP="002D4F04">
      <w:pPr>
        <w:spacing w:line="360" w:lineRule="auto"/>
        <w:jc w:val="both"/>
        <w:rPr>
          <w:rFonts w:ascii="Arial" w:hAnsi="Arial" w:cs="Arial"/>
          <w:sz w:val="24"/>
          <w:szCs w:val="24"/>
        </w:rPr>
      </w:pPr>
      <w:r w:rsidRPr="00F43C12">
        <w:rPr>
          <w:rFonts w:ascii="Arial" w:hAnsi="Arial" w:cs="Arial"/>
          <w:sz w:val="24"/>
          <w:szCs w:val="24"/>
        </w:rPr>
        <w:t xml:space="preserve">Projects A and B should be </w:t>
      </w:r>
      <w:r w:rsidRPr="00F43C12">
        <w:rPr>
          <w:rFonts w:ascii="Arial" w:hAnsi="Arial" w:cs="Arial"/>
          <w:sz w:val="24"/>
          <w:szCs w:val="24"/>
        </w:rPr>
        <w:t>rejected,</w:t>
      </w:r>
      <w:r w:rsidRPr="00F43C12">
        <w:rPr>
          <w:rFonts w:ascii="Arial" w:hAnsi="Arial" w:cs="Arial"/>
          <w:sz w:val="24"/>
          <w:szCs w:val="24"/>
        </w:rPr>
        <w:t xml:space="preserve"> and Project C should be accepted. Hilton's financials show that the £50 million is operationally affordable. For 2025, Hilton's revenue was $12.039 billion, operating income was $2.693 billion, net income was $1.461 billion and operating cash flow was $2.129 billion. The figures indicate that the company is profitable and has a high cash generation rate. Hilton's asset light model also supports investments in technology, loyalty, brand and owner support that can be successful and then extended to 9,158 hotels, which may lead to scalable benefits (Hilton Worldwide Holdings Inc., 2026).</w:t>
      </w:r>
    </w:p>
    <w:p w14:paraId="6C7D1614" w14:textId="56F77DC3" w:rsidR="00166D08" w:rsidRPr="00F43C12" w:rsidRDefault="002D4F04" w:rsidP="002D4F04">
      <w:pPr>
        <w:spacing w:line="360" w:lineRule="auto"/>
        <w:jc w:val="both"/>
        <w:rPr>
          <w:rFonts w:ascii="Arial" w:hAnsi="Arial" w:cs="Arial"/>
          <w:sz w:val="24"/>
          <w:szCs w:val="24"/>
        </w:rPr>
      </w:pPr>
      <w:r w:rsidRPr="00F43C12">
        <w:rPr>
          <w:rFonts w:ascii="Arial" w:hAnsi="Arial" w:cs="Arial"/>
          <w:sz w:val="24"/>
          <w:szCs w:val="24"/>
        </w:rPr>
        <w:t>But the idea of financial affordability does not apply to unlimited financial capacity. At the end of 2025, Hilton had $2.996 billion in current assets and $4.508 billion in current liabilities, giving the current ratio a value of 0.66. There were approximately $12.363 billion of debt, of which $970 million was current. The group also repurchased $3.182 billion in common shares this year. Thus, the liquidity and leverage principle allows for selectivity: only projects with positive NPV, even after thorough risk adjustment, should be funded. Project C adheres to that minimum standard, while investment in project A or B would deplete liquidity and create shareholder value destruction (Hilton Worldwide Holdings Inc., 2026).</w:t>
      </w:r>
    </w:p>
    <w:p w14:paraId="14174A8D" w14:textId="77777777" w:rsidR="00114A68" w:rsidRPr="00F43C12" w:rsidRDefault="00114A68" w:rsidP="00114A68">
      <w:pPr>
        <w:pStyle w:val="Heading2"/>
        <w:numPr>
          <w:ilvl w:val="1"/>
          <w:numId w:val="2"/>
        </w:numPr>
        <w:spacing w:line="360" w:lineRule="auto"/>
        <w:jc w:val="both"/>
        <w:rPr>
          <w:rFonts w:ascii="Arial" w:hAnsi="Arial" w:cs="Arial"/>
          <w:sz w:val="24"/>
          <w:szCs w:val="24"/>
        </w:rPr>
      </w:pPr>
      <w:bookmarkStart w:id="23" w:name="_Toc235694632"/>
      <w:r w:rsidRPr="00F43C12">
        <w:rPr>
          <w:rFonts w:ascii="Arial" w:hAnsi="Arial" w:cs="Arial"/>
          <w:sz w:val="24"/>
          <w:szCs w:val="24"/>
        </w:rPr>
        <w:t>Non-financial risk assessment</w:t>
      </w:r>
      <w:bookmarkEnd w:id="23"/>
    </w:p>
    <w:p w14:paraId="6D7CE8D6" w14:textId="0797B650" w:rsidR="003E0A13" w:rsidRPr="00F43C12" w:rsidRDefault="003E0A13" w:rsidP="003E0A13">
      <w:pPr>
        <w:spacing w:line="360" w:lineRule="auto"/>
        <w:jc w:val="both"/>
        <w:rPr>
          <w:rFonts w:ascii="Arial" w:hAnsi="Arial" w:cs="Arial"/>
          <w:sz w:val="24"/>
          <w:szCs w:val="24"/>
        </w:rPr>
      </w:pPr>
      <w:r w:rsidRPr="00F43C12">
        <w:rPr>
          <w:rFonts w:ascii="Arial" w:hAnsi="Arial" w:cs="Arial"/>
          <w:sz w:val="24"/>
          <w:szCs w:val="24"/>
        </w:rPr>
        <w:t>Financial acceptance is required after the cash-flow data, as each project's operational purpose is not identified</w:t>
      </w:r>
      <w:r w:rsidR="00244D58" w:rsidRPr="00F43C12">
        <w:rPr>
          <w:rFonts w:ascii="Arial" w:hAnsi="Arial" w:cs="Arial"/>
          <w:sz w:val="24"/>
          <w:szCs w:val="24"/>
        </w:rPr>
        <w:t xml:space="preserve"> </w:t>
      </w:r>
      <w:r w:rsidR="00244D58" w:rsidRPr="00F43C12">
        <w:rPr>
          <w:rFonts w:ascii="Arial" w:hAnsi="Arial" w:cs="Arial"/>
          <w:sz w:val="24"/>
          <w:szCs w:val="24"/>
        </w:rPr>
        <w:t xml:space="preserve">(Huang, 2021). </w:t>
      </w:r>
      <w:r w:rsidR="00244D58" w:rsidRPr="00F43C12">
        <w:rPr>
          <w:rFonts w:ascii="Arial" w:hAnsi="Arial" w:cs="Arial"/>
          <w:sz w:val="24"/>
          <w:szCs w:val="24"/>
        </w:rPr>
        <w:t xml:space="preserve"> </w:t>
      </w:r>
      <w:r w:rsidRPr="00F43C12">
        <w:rPr>
          <w:rFonts w:ascii="Arial" w:hAnsi="Arial" w:cs="Arial"/>
          <w:sz w:val="24"/>
          <w:szCs w:val="24"/>
        </w:rPr>
        <w:t xml:space="preserve">Political and geopolitical risks encompass war, civil unrest, sanctions, regulatory change, border restrictions and diminished international travel. Hilton admits that geopolitical events and government policies can impact demand, price and hotel development. In addition, Project C is highly sensitive as most of the value is added in Year 3 and 4, where disruption could have a significant impact on NPV. Thus, management is responsible for assessing the </w:t>
      </w:r>
      <w:r w:rsidR="00175E8A" w:rsidRPr="00F43C12">
        <w:rPr>
          <w:rFonts w:ascii="Arial" w:hAnsi="Arial" w:cs="Arial"/>
          <w:sz w:val="24"/>
          <w:szCs w:val="24"/>
        </w:rPr>
        <w:t>country’s</w:t>
      </w:r>
      <w:r w:rsidRPr="00F43C12">
        <w:rPr>
          <w:rFonts w:ascii="Arial" w:hAnsi="Arial" w:cs="Arial"/>
          <w:sz w:val="24"/>
          <w:szCs w:val="24"/>
        </w:rPr>
        <w:t xml:space="preserve"> concentration, contractual safeguards, exit options, and the timing of implementation (Hilton Worldwide Holdings Inc., 2026).</w:t>
      </w:r>
    </w:p>
    <w:p w14:paraId="6BFD52E6" w14:textId="77777777" w:rsidR="003E0A13" w:rsidRPr="00F43C12" w:rsidRDefault="003E0A13" w:rsidP="003E0A13">
      <w:pPr>
        <w:spacing w:line="360" w:lineRule="auto"/>
        <w:jc w:val="both"/>
        <w:rPr>
          <w:rFonts w:ascii="Arial" w:hAnsi="Arial" w:cs="Arial"/>
          <w:sz w:val="24"/>
          <w:szCs w:val="24"/>
        </w:rPr>
      </w:pPr>
      <w:r w:rsidRPr="00F43C12">
        <w:rPr>
          <w:rFonts w:ascii="Arial" w:hAnsi="Arial" w:cs="Arial"/>
          <w:sz w:val="24"/>
          <w:szCs w:val="24"/>
        </w:rPr>
        <w:t xml:space="preserve">Customer loyalty is also crucial. In 2025, Hilton Honors reached a membership of 243 million members and includes repeat bookings and direct distribution and brand engagement. A project impacting reservations, loyalty points, customer information and digital channels should maintain system reliability, privacy, cyber-resilience and </w:t>
      </w:r>
      <w:r w:rsidRPr="00F43C12">
        <w:rPr>
          <w:rFonts w:ascii="Arial" w:hAnsi="Arial" w:cs="Arial"/>
          <w:sz w:val="24"/>
          <w:szCs w:val="24"/>
        </w:rPr>
        <w:lastRenderedPageBreak/>
        <w:t xml:space="preserve">member trust. The loss of service or the loss of </w:t>
      </w:r>
      <w:proofErr w:type="spellStart"/>
      <w:r w:rsidRPr="00F43C12">
        <w:rPr>
          <w:rFonts w:ascii="Arial" w:hAnsi="Arial" w:cs="Arial"/>
          <w:sz w:val="24"/>
          <w:szCs w:val="24"/>
        </w:rPr>
        <w:t>programme</w:t>
      </w:r>
      <w:proofErr w:type="spellEnd"/>
      <w:r w:rsidRPr="00F43C12">
        <w:rPr>
          <w:rFonts w:ascii="Arial" w:hAnsi="Arial" w:cs="Arial"/>
          <w:sz w:val="24"/>
          <w:szCs w:val="24"/>
        </w:rPr>
        <w:t xml:space="preserve"> value may affect future fee income. Prior to releasing each investment stage, Hilton should implement the indications of customer satisfaction, direct-booking, data-security, and member-retention (Hilton Worldwide Holdings Inc., 2026).</w:t>
      </w:r>
    </w:p>
    <w:p w14:paraId="0823541D" w14:textId="341FD559" w:rsidR="002D4F04" w:rsidRPr="00F43C12" w:rsidRDefault="003E0A13" w:rsidP="003E0A13">
      <w:pPr>
        <w:spacing w:line="360" w:lineRule="auto"/>
        <w:jc w:val="both"/>
        <w:rPr>
          <w:rFonts w:ascii="Arial" w:hAnsi="Arial" w:cs="Arial"/>
          <w:sz w:val="24"/>
          <w:szCs w:val="24"/>
        </w:rPr>
      </w:pPr>
      <w:r w:rsidRPr="00F43C12">
        <w:rPr>
          <w:rFonts w:ascii="Arial" w:hAnsi="Arial" w:cs="Arial"/>
          <w:sz w:val="24"/>
          <w:szCs w:val="24"/>
        </w:rPr>
        <w:t xml:space="preserve">The risk checklist is included in Appendix F. </w:t>
      </w:r>
      <w:r w:rsidR="00175E8A" w:rsidRPr="00F43C12">
        <w:rPr>
          <w:rFonts w:ascii="Arial" w:hAnsi="Arial" w:cs="Arial"/>
          <w:sz w:val="24"/>
          <w:szCs w:val="24"/>
        </w:rPr>
        <w:t>Currency,</w:t>
      </w:r>
      <w:r w:rsidRPr="00F43C12">
        <w:rPr>
          <w:rFonts w:ascii="Arial" w:hAnsi="Arial" w:cs="Arial"/>
          <w:sz w:val="24"/>
          <w:szCs w:val="24"/>
        </w:rPr>
        <w:t xml:space="preserve"> and inflation risks also require adjustment where sterling investment supports international operations. Local revenues and costs must be modelled separately, material exposures must be matched and </w:t>
      </w:r>
      <w:r w:rsidR="00175E8A" w:rsidRPr="00F43C12">
        <w:rPr>
          <w:rFonts w:ascii="Arial" w:hAnsi="Arial" w:cs="Arial"/>
          <w:sz w:val="24"/>
          <w:szCs w:val="24"/>
        </w:rPr>
        <w:t>hedged,</w:t>
      </w:r>
      <w:r w:rsidRPr="00F43C12">
        <w:rPr>
          <w:rFonts w:ascii="Arial" w:hAnsi="Arial" w:cs="Arial"/>
          <w:sz w:val="24"/>
          <w:szCs w:val="24"/>
        </w:rPr>
        <w:t xml:space="preserve"> and scenarios must test wage inflation, energy inflation, construction inflation and technology inflation</w:t>
      </w:r>
      <w:r w:rsidR="00244D58" w:rsidRPr="00F43C12">
        <w:rPr>
          <w:rFonts w:ascii="Arial" w:hAnsi="Arial" w:cs="Arial"/>
          <w:sz w:val="24"/>
          <w:szCs w:val="24"/>
        </w:rPr>
        <w:t xml:space="preserve"> </w:t>
      </w:r>
      <w:r w:rsidR="00244D58" w:rsidRPr="00F43C12">
        <w:rPr>
          <w:rFonts w:ascii="Arial" w:hAnsi="Arial" w:cs="Arial"/>
          <w:sz w:val="24"/>
          <w:szCs w:val="24"/>
        </w:rPr>
        <w:t xml:space="preserve">(Huang, 2021). </w:t>
      </w:r>
      <w:r w:rsidRPr="00F43C12">
        <w:rPr>
          <w:rFonts w:ascii="Arial" w:hAnsi="Arial" w:cs="Arial"/>
          <w:sz w:val="24"/>
          <w:szCs w:val="24"/>
        </w:rPr>
        <w:t xml:space="preserve">Environmental and social screening should include lifecycle emissions, water, waste, accessibility, </w:t>
      </w:r>
      <w:proofErr w:type="spellStart"/>
      <w:r w:rsidRPr="00F43C12">
        <w:rPr>
          <w:rFonts w:ascii="Arial" w:hAnsi="Arial" w:cs="Arial"/>
          <w:sz w:val="24"/>
          <w:szCs w:val="24"/>
        </w:rPr>
        <w:t>labour</w:t>
      </w:r>
      <w:proofErr w:type="spellEnd"/>
      <w:r w:rsidRPr="00F43C12">
        <w:rPr>
          <w:rFonts w:ascii="Arial" w:hAnsi="Arial" w:cs="Arial"/>
          <w:sz w:val="24"/>
          <w:szCs w:val="24"/>
        </w:rPr>
        <w:t xml:space="preserve"> standards and responsible procurement. These controls support Hilton's Travel with Purpose goals and the reduction of emissions as well as water use and waste intensity (Hilton, 2026).</w:t>
      </w:r>
    </w:p>
    <w:p w14:paraId="47EB210F" w14:textId="77777777" w:rsidR="00114A68" w:rsidRPr="00F43C12" w:rsidRDefault="00114A68" w:rsidP="00114A68">
      <w:pPr>
        <w:pStyle w:val="Heading2"/>
        <w:numPr>
          <w:ilvl w:val="1"/>
          <w:numId w:val="2"/>
        </w:numPr>
        <w:spacing w:line="360" w:lineRule="auto"/>
        <w:jc w:val="both"/>
        <w:rPr>
          <w:rFonts w:ascii="Arial" w:hAnsi="Arial" w:cs="Arial"/>
          <w:sz w:val="24"/>
          <w:szCs w:val="24"/>
        </w:rPr>
      </w:pPr>
      <w:bookmarkStart w:id="24" w:name="_Toc235694633"/>
      <w:r w:rsidRPr="00F43C12">
        <w:rPr>
          <w:rFonts w:ascii="Arial" w:hAnsi="Arial" w:cs="Arial"/>
          <w:sz w:val="24"/>
          <w:szCs w:val="24"/>
        </w:rPr>
        <w:t>Capital rationing</w:t>
      </w:r>
      <w:bookmarkEnd w:id="24"/>
    </w:p>
    <w:p w14:paraId="6DEE51F7" w14:textId="79B6C28E" w:rsidR="00175E8A" w:rsidRPr="00F43C12" w:rsidRDefault="00175E8A" w:rsidP="00175E8A">
      <w:pPr>
        <w:spacing w:line="360" w:lineRule="auto"/>
        <w:jc w:val="both"/>
        <w:rPr>
          <w:rFonts w:ascii="Arial" w:hAnsi="Arial" w:cs="Arial"/>
          <w:sz w:val="24"/>
          <w:szCs w:val="24"/>
        </w:rPr>
      </w:pPr>
      <w:r w:rsidRPr="00F43C12">
        <w:rPr>
          <w:rFonts w:ascii="Arial" w:hAnsi="Arial" w:cs="Arial"/>
          <w:sz w:val="24"/>
          <w:szCs w:val="24"/>
        </w:rPr>
        <w:t xml:space="preserve">Portfolio results are </w:t>
      </w:r>
      <w:proofErr w:type="spellStart"/>
      <w:r w:rsidRPr="00F43C12">
        <w:rPr>
          <w:rFonts w:ascii="Arial" w:hAnsi="Arial" w:cs="Arial"/>
          <w:sz w:val="24"/>
          <w:szCs w:val="24"/>
        </w:rPr>
        <w:t>summarised</w:t>
      </w:r>
      <w:proofErr w:type="spellEnd"/>
      <w:r w:rsidRPr="00F43C12">
        <w:rPr>
          <w:rFonts w:ascii="Arial" w:hAnsi="Arial" w:cs="Arial"/>
          <w:sz w:val="24"/>
          <w:szCs w:val="24"/>
        </w:rPr>
        <w:t xml:space="preserve"> in Appendix F. With a maximum budget of £100 million and indivisible projects, Hilton can finance any single project or one of three two-project combinations. Project A and B's NPV is negative £12.624 million and its PI is 0.874 with a combined cost of £100 million. The full budget is also used in Project A and an NPV of negative £5.686 million and a PI of 0.943 is obtained with Project C. The strongest two-project portfolio is that of Project B combined with Project C, which has an NPV of -£5.222 million and a PI of just 0.948. All three would cost £150 million so would exceed the stated limit</w:t>
      </w:r>
      <w:r w:rsidR="00244D58" w:rsidRPr="00F43C12">
        <w:rPr>
          <w:rFonts w:ascii="Arial" w:hAnsi="Arial" w:cs="Arial"/>
          <w:sz w:val="24"/>
          <w:szCs w:val="24"/>
        </w:rPr>
        <w:t xml:space="preserve"> </w:t>
      </w:r>
      <w:r w:rsidR="00244D58" w:rsidRPr="00F43C12">
        <w:rPr>
          <w:rFonts w:ascii="Arial" w:hAnsi="Arial" w:cs="Arial"/>
          <w:sz w:val="24"/>
          <w:szCs w:val="24"/>
        </w:rPr>
        <w:t>(</w:t>
      </w:r>
      <w:proofErr w:type="spellStart"/>
      <w:r w:rsidR="00244D58" w:rsidRPr="00F43C12">
        <w:rPr>
          <w:rFonts w:ascii="Arial" w:hAnsi="Arial" w:cs="Arial"/>
          <w:sz w:val="24"/>
          <w:szCs w:val="24"/>
        </w:rPr>
        <w:t>Derowitsch</w:t>
      </w:r>
      <w:proofErr w:type="spellEnd"/>
      <w:r w:rsidR="00244D58" w:rsidRPr="00F43C12">
        <w:rPr>
          <w:rFonts w:ascii="Arial" w:hAnsi="Arial" w:cs="Arial"/>
          <w:sz w:val="24"/>
          <w:szCs w:val="24"/>
        </w:rPr>
        <w:t xml:space="preserve"> et al., 2025). </w:t>
      </w:r>
    </w:p>
    <w:p w14:paraId="740FCA13" w14:textId="36C39433" w:rsidR="003E0A13" w:rsidRPr="00F43C12" w:rsidRDefault="00175E8A" w:rsidP="00175E8A">
      <w:pPr>
        <w:spacing w:line="360" w:lineRule="auto"/>
        <w:jc w:val="both"/>
        <w:rPr>
          <w:rFonts w:ascii="Arial" w:hAnsi="Arial" w:cs="Arial"/>
          <w:sz w:val="24"/>
          <w:szCs w:val="24"/>
        </w:rPr>
      </w:pPr>
      <w:r w:rsidRPr="00F43C12">
        <w:rPr>
          <w:rFonts w:ascii="Arial" w:hAnsi="Arial" w:cs="Arial"/>
          <w:sz w:val="24"/>
          <w:szCs w:val="24"/>
        </w:rPr>
        <w:t xml:space="preserve">The objective of capital rationing should be to </w:t>
      </w:r>
      <w:proofErr w:type="spellStart"/>
      <w:r w:rsidRPr="00F43C12">
        <w:rPr>
          <w:rFonts w:ascii="Arial" w:hAnsi="Arial" w:cs="Arial"/>
          <w:sz w:val="24"/>
          <w:szCs w:val="24"/>
        </w:rPr>
        <w:t>maximise</w:t>
      </w:r>
      <w:proofErr w:type="spellEnd"/>
      <w:r w:rsidRPr="00F43C12">
        <w:rPr>
          <w:rFonts w:ascii="Arial" w:hAnsi="Arial" w:cs="Arial"/>
          <w:sz w:val="24"/>
          <w:szCs w:val="24"/>
        </w:rPr>
        <w:t xml:space="preserve"> positive NPV, not to completely use up available money. Project C alone entails a cost of £50 million, generates maximum possible NPV of positive £0.858 million, and generates cash to protect against liquidity risk, reduce debt, or create a future positive-NPV opportunity of £50 million. The optimal portfolio is Project C only. If management is forced to give exactly £100 million, it should reject B plus C as it is the worst pair of investments, but it should be rejected because it destroys present value. Unused Budget has option value and should not be "sacrificed" just to fill the budget</w:t>
      </w:r>
      <w:r w:rsidR="00244D58" w:rsidRPr="00F43C12">
        <w:rPr>
          <w:rFonts w:ascii="Arial" w:hAnsi="Arial" w:cs="Arial"/>
          <w:sz w:val="24"/>
          <w:szCs w:val="24"/>
        </w:rPr>
        <w:t xml:space="preserve"> </w:t>
      </w:r>
      <w:r w:rsidR="00244D58" w:rsidRPr="00F43C12">
        <w:rPr>
          <w:rFonts w:ascii="Arial" w:hAnsi="Arial" w:cs="Arial"/>
          <w:sz w:val="24"/>
          <w:szCs w:val="24"/>
        </w:rPr>
        <w:t xml:space="preserve">(Okafor, Adeleye and Adusei, 2021). </w:t>
      </w:r>
    </w:p>
    <w:p w14:paraId="579465CE" w14:textId="77777777" w:rsidR="00000D25" w:rsidRPr="00F43C12" w:rsidRDefault="00000D25" w:rsidP="00114A68">
      <w:pPr>
        <w:spacing w:line="360" w:lineRule="auto"/>
        <w:jc w:val="both"/>
        <w:rPr>
          <w:rFonts w:ascii="Arial" w:hAnsi="Arial" w:cs="Arial"/>
          <w:sz w:val="24"/>
          <w:szCs w:val="24"/>
        </w:rPr>
      </w:pPr>
    </w:p>
    <w:p w14:paraId="277898D7" w14:textId="77777777" w:rsidR="00114A68" w:rsidRPr="00F43C12" w:rsidRDefault="00114A68" w:rsidP="00DF49D0">
      <w:pPr>
        <w:spacing w:line="360" w:lineRule="auto"/>
        <w:rPr>
          <w:rFonts w:ascii="Arial" w:hAnsi="Arial" w:cs="Arial"/>
          <w:sz w:val="24"/>
          <w:szCs w:val="24"/>
        </w:rPr>
      </w:pPr>
      <w:r w:rsidRPr="00F43C12">
        <w:rPr>
          <w:rFonts w:ascii="Arial" w:hAnsi="Arial" w:cs="Arial"/>
          <w:noProof/>
          <w:sz w:val="24"/>
          <w:szCs w:val="24"/>
        </w:rPr>
        <w:lastRenderedPageBreak/>
        <w:drawing>
          <wp:inline distT="0" distB="0" distL="0" distR="0" wp14:anchorId="2EC38979" wp14:editId="6E842EEC">
            <wp:extent cx="5894363" cy="3179298"/>
            <wp:effectExtent l="0" t="0" r="11430" b="2540"/>
            <wp:docPr id="1667117586" name="Chart 1">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88C418D" w14:textId="3668D0F5" w:rsidR="00114A68" w:rsidRPr="00F43C12" w:rsidRDefault="00114A68" w:rsidP="00114A68">
      <w:pPr>
        <w:pStyle w:val="FigureCaption"/>
        <w:spacing w:line="360" w:lineRule="auto"/>
        <w:rPr>
          <w:rFonts w:cs="Arial"/>
          <w:b/>
          <w:bCs/>
          <w:i w:val="0"/>
          <w:sz w:val="24"/>
          <w:szCs w:val="24"/>
          <w:u w:val="single"/>
        </w:rPr>
      </w:pPr>
      <w:r w:rsidRPr="00F43C12">
        <w:rPr>
          <w:rFonts w:cs="Arial"/>
          <w:b/>
          <w:bCs/>
          <w:i w:val="0"/>
          <w:sz w:val="24"/>
          <w:szCs w:val="24"/>
          <w:u w:val="single"/>
        </w:rPr>
        <w:t>Figure. Portfolio NPV under the £100 million capital ceiling.</w:t>
      </w:r>
    </w:p>
    <w:p w14:paraId="17BBA913" w14:textId="5360E610" w:rsidR="00114A68" w:rsidRPr="00F43C12" w:rsidRDefault="00114A68" w:rsidP="00114A68">
      <w:pPr>
        <w:pStyle w:val="Heading2"/>
        <w:numPr>
          <w:ilvl w:val="1"/>
          <w:numId w:val="2"/>
        </w:numPr>
        <w:spacing w:line="360" w:lineRule="auto"/>
        <w:rPr>
          <w:rFonts w:ascii="Arial" w:hAnsi="Arial" w:cs="Arial"/>
          <w:sz w:val="24"/>
          <w:szCs w:val="24"/>
        </w:rPr>
      </w:pPr>
      <w:bookmarkStart w:id="25" w:name="_Toc235694634"/>
      <w:r w:rsidRPr="00F43C12">
        <w:rPr>
          <w:rFonts w:ascii="Arial" w:hAnsi="Arial" w:cs="Arial"/>
          <w:sz w:val="24"/>
          <w:szCs w:val="24"/>
        </w:rPr>
        <w:t>Conclusion</w:t>
      </w:r>
      <w:bookmarkEnd w:id="25"/>
    </w:p>
    <w:p w14:paraId="38C24E5C" w14:textId="2D1F4DC0" w:rsidR="00F2292D" w:rsidRPr="00F43C12" w:rsidRDefault="0081535B" w:rsidP="00114A68">
      <w:pPr>
        <w:spacing w:line="360" w:lineRule="auto"/>
        <w:jc w:val="both"/>
        <w:rPr>
          <w:rFonts w:ascii="Arial" w:hAnsi="Arial" w:cs="Arial"/>
          <w:sz w:val="24"/>
          <w:szCs w:val="24"/>
        </w:rPr>
      </w:pPr>
      <w:r w:rsidRPr="00F43C12">
        <w:rPr>
          <w:rFonts w:ascii="Arial" w:hAnsi="Arial" w:cs="Arial"/>
          <w:sz w:val="24"/>
          <w:szCs w:val="24"/>
        </w:rPr>
        <w:t>Project C provides the shortest payback, highest ARR, only positive NPV, only PI above one and only IRR above 8%. It should go through a series of approvals, including defined milestones and downside controls. Projects A and B should not be accepted as is unless cash flows are changed, or viable synergies are identified. Under the £100 million limit, Project C alone is the responsible choice.</w:t>
      </w:r>
    </w:p>
    <w:p w14:paraId="03C2A69F" w14:textId="77777777" w:rsidR="00114A68" w:rsidRPr="00F43C12" w:rsidRDefault="00114A68" w:rsidP="00114A68">
      <w:pPr>
        <w:spacing w:line="360" w:lineRule="auto"/>
        <w:jc w:val="center"/>
        <w:rPr>
          <w:rFonts w:ascii="Arial" w:hAnsi="Arial" w:cs="Arial"/>
          <w:sz w:val="24"/>
          <w:szCs w:val="24"/>
        </w:rPr>
      </w:pPr>
      <w:r w:rsidRPr="00F43C12">
        <w:rPr>
          <w:rFonts w:ascii="Arial" w:hAnsi="Arial" w:cs="Arial"/>
          <w:noProof/>
          <w:sz w:val="24"/>
          <w:szCs w:val="24"/>
        </w:rPr>
        <w:drawing>
          <wp:inline distT="0" distB="0" distL="0" distR="0" wp14:anchorId="59CA3EBC" wp14:editId="3ED5AAC8">
            <wp:extent cx="5940425" cy="2940050"/>
            <wp:effectExtent l="0" t="0" r="3175" b="12700"/>
            <wp:docPr id="619218788"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936369" w14:textId="1C3C3F42" w:rsidR="00E76A08" w:rsidRPr="00F43C12" w:rsidRDefault="00114A68" w:rsidP="009B3040">
      <w:pPr>
        <w:pStyle w:val="FigureCaption"/>
        <w:spacing w:line="360" w:lineRule="auto"/>
        <w:rPr>
          <w:rFonts w:cs="Arial"/>
          <w:b/>
          <w:bCs/>
          <w:i w:val="0"/>
          <w:sz w:val="24"/>
          <w:szCs w:val="24"/>
          <w:u w:val="single"/>
        </w:rPr>
      </w:pPr>
      <w:r w:rsidRPr="00F43C12">
        <w:rPr>
          <w:rFonts w:cs="Arial"/>
          <w:b/>
          <w:bCs/>
          <w:i w:val="0"/>
          <w:sz w:val="24"/>
          <w:szCs w:val="24"/>
          <w:u w:val="single"/>
        </w:rPr>
        <w:t>Figure. Cumulative cash-flow profiles and payback timing.</w:t>
      </w:r>
    </w:p>
    <w:p w14:paraId="5003D095" w14:textId="77777777" w:rsidR="00B131A9" w:rsidRPr="00F43C12" w:rsidRDefault="00B131A9" w:rsidP="00B131A9">
      <w:pPr>
        <w:pStyle w:val="Heading1"/>
        <w:numPr>
          <w:ilvl w:val="0"/>
          <w:numId w:val="2"/>
        </w:numPr>
        <w:spacing w:line="360" w:lineRule="auto"/>
        <w:rPr>
          <w:rFonts w:ascii="Arial" w:hAnsi="Arial" w:cs="Arial"/>
          <w:sz w:val="24"/>
          <w:szCs w:val="24"/>
        </w:rPr>
      </w:pPr>
      <w:bookmarkStart w:id="26" w:name="_Toc235694635"/>
      <w:r w:rsidRPr="00F43C12">
        <w:rPr>
          <w:rFonts w:ascii="Arial" w:hAnsi="Arial" w:cs="Arial"/>
          <w:sz w:val="24"/>
          <w:szCs w:val="24"/>
        </w:rPr>
        <w:lastRenderedPageBreak/>
        <w:t>Critical Reflection on AI Usage</w:t>
      </w:r>
      <w:bookmarkEnd w:id="26"/>
    </w:p>
    <w:p w14:paraId="3D65D100" w14:textId="77777777" w:rsidR="00B131A9" w:rsidRPr="00F43C12" w:rsidRDefault="00B131A9" w:rsidP="00B131A9">
      <w:pPr>
        <w:pStyle w:val="Heading2"/>
        <w:numPr>
          <w:ilvl w:val="1"/>
          <w:numId w:val="2"/>
        </w:numPr>
        <w:spacing w:line="360" w:lineRule="auto"/>
        <w:rPr>
          <w:rFonts w:ascii="Arial" w:hAnsi="Arial" w:cs="Arial"/>
          <w:sz w:val="24"/>
          <w:szCs w:val="24"/>
        </w:rPr>
      </w:pPr>
      <w:bookmarkStart w:id="27" w:name="_Toc235694636"/>
      <w:r w:rsidRPr="00F43C12">
        <w:rPr>
          <w:rFonts w:ascii="Arial" w:hAnsi="Arial" w:cs="Arial"/>
          <w:sz w:val="24"/>
          <w:szCs w:val="24"/>
        </w:rPr>
        <w:t>Tool Disclosure</w:t>
      </w:r>
      <w:bookmarkEnd w:id="27"/>
    </w:p>
    <w:p w14:paraId="1A286800" w14:textId="0D9BE0FF" w:rsidR="001D29D4" w:rsidRPr="00F43C12" w:rsidRDefault="00BE4F9D" w:rsidP="00551AEB">
      <w:pPr>
        <w:spacing w:line="360" w:lineRule="auto"/>
        <w:jc w:val="both"/>
        <w:rPr>
          <w:rFonts w:ascii="Arial" w:hAnsi="Arial" w:cs="Arial"/>
          <w:sz w:val="24"/>
          <w:szCs w:val="24"/>
        </w:rPr>
      </w:pPr>
      <w:r w:rsidRPr="00F43C12">
        <w:rPr>
          <w:rFonts w:ascii="Arial" w:hAnsi="Arial" w:cs="Arial"/>
          <w:sz w:val="24"/>
          <w:szCs w:val="24"/>
        </w:rPr>
        <w:t xml:space="preserve">The financial report was researched, calculated and critically evaluated independently. I obtained Hilton's financial data from audited corporate reports, built all the calculations on Excel and made the recommendations based on my own conclusion. To help </w:t>
      </w:r>
      <w:proofErr w:type="spellStart"/>
      <w:r w:rsidRPr="00F43C12">
        <w:rPr>
          <w:rFonts w:ascii="Arial" w:hAnsi="Arial" w:cs="Arial"/>
          <w:sz w:val="24"/>
          <w:szCs w:val="24"/>
        </w:rPr>
        <w:t>organise</w:t>
      </w:r>
      <w:proofErr w:type="spellEnd"/>
      <w:r w:rsidRPr="00F43C12">
        <w:rPr>
          <w:rFonts w:ascii="Arial" w:hAnsi="Arial" w:cs="Arial"/>
          <w:sz w:val="24"/>
          <w:szCs w:val="24"/>
        </w:rPr>
        <w:t xml:space="preserve"> this reflection, clarify sentences and address the required assessment points, Generative Artificial Intelligence, specifically ChatGPT, was used only after the main report has been finished. Not used to produce Financial Ratios, Investment Appraisal outcomes, Company evidence, or Strategic conclusions. This limited use is disclosed in the AI-use acknowledgement to ensure transparency and avoid presenting AI-assisted wording as independent professional analysis.</w:t>
      </w:r>
    </w:p>
    <w:p w14:paraId="25DBDCD3" w14:textId="77777777" w:rsidR="00B131A9" w:rsidRPr="00F43C12" w:rsidRDefault="00B131A9" w:rsidP="00551AEB">
      <w:pPr>
        <w:pStyle w:val="Heading2"/>
        <w:numPr>
          <w:ilvl w:val="1"/>
          <w:numId w:val="2"/>
        </w:numPr>
        <w:spacing w:line="360" w:lineRule="auto"/>
        <w:jc w:val="both"/>
        <w:rPr>
          <w:rFonts w:ascii="Arial" w:hAnsi="Arial" w:cs="Arial"/>
          <w:sz w:val="24"/>
          <w:szCs w:val="24"/>
        </w:rPr>
      </w:pPr>
      <w:bookmarkStart w:id="28" w:name="_Toc235694637"/>
      <w:r w:rsidRPr="00F43C12">
        <w:rPr>
          <w:rFonts w:ascii="Arial" w:hAnsi="Arial" w:cs="Arial"/>
          <w:sz w:val="24"/>
          <w:szCs w:val="24"/>
        </w:rPr>
        <w:t>Critical Evaluation of AI Output</w:t>
      </w:r>
      <w:bookmarkEnd w:id="28"/>
    </w:p>
    <w:p w14:paraId="49ABDFA7" w14:textId="13473D14" w:rsidR="00BE4F9D" w:rsidRPr="00F43C12" w:rsidRDefault="008809D0" w:rsidP="00551AEB">
      <w:pPr>
        <w:spacing w:line="360" w:lineRule="auto"/>
        <w:jc w:val="both"/>
        <w:rPr>
          <w:rFonts w:ascii="Arial" w:hAnsi="Arial" w:cs="Arial"/>
          <w:sz w:val="24"/>
          <w:szCs w:val="24"/>
        </w:rPr>
      </w:pPr>
      <w:r w:rsidRPr="00F43C12">
        <w:rPr>
          <w:rFonts w:ascii="Arial" w:hAnsi="Arial" w:cs="Arial"/>
          <w:sz w:val="24"/>
          <w:szCs w:val="24"/>
        </w:rPr>
        <w:t>All AI-generated wording was considered an unconfirmed draft and not an authoritative source. I compared each statement to the information found in Hilton's audited Form 10-K and to the Excel calculations and the original professional or academic source. All ratio interpretations were checked against the numerator, the denominator and the year-on-year trend, while all investment decisions were independently re-calculated and the results checked against payback, ARR, NPV, profitability index and IRR. This was crucial because generative AI can generate coherent but unsupported claims, which it is called hallucinations. Structured governance, testing and human oversight are recommended when AI outputs can affect decisions (NIST, 2023). Eliminated unsupported claims, corrected inconsistent terminology and rejected interpretations based on unverified evidence. Logical checks were also performed, such as Hilton's negative equity, which rendered conventional debt-to-equity and return-on-equity ratios meaningless and were therefore not considered as a valid performance indicator.</w:t>
      </w:r>
    </w:p>
    <w:p w14:paraId="3E68DDE4" w14:textId="77777777" w:rsidR="00B131A9" w:rsidRPr="00F43C12" w:rsidRDefault="00B131A9" w:rsidP="00551AEB">
      <w:pPr>
        <w:pStyle w:val="Heading2"/>
        <w:numPr>
          <w:ilvl w:val="1"/>
          <w:numId w:val="2"/>
        </w:numPr>
        <w:spacing w:line="360" w:lineRule="auto"/>
        <w:jc w:val="both"/>
        <w:rPr>
          <w:rFonts w:ascii="Arial" w:hAnsi="Arial" w:cs="Arial"/>
          <w:sz w:val="24"/>
          <w:szCs w:val="24"/>
        </w:rPr>
      </w:pPr>
      <w:bookmarkStart w:id="29" w:name="_Toc235694638"/>
      <w:r w:rsidRPr="00F43C12">
        <w:rPr>
          <w:rFonts w:ascii="Arial" w:hAnsi="Arial" w:cs="Arial"/>
          <w:sz w:val="24"/>
          <w:szCs w:val="24"/>
        </w:rPr>
        <w:t>Contribution Analysis</w:t>
      </w:r>
      <w:bookmarkEnd w:id="29"/>
    </w:p>
    <w:p w14:paraId="52BB4702" w14:textId="61174DC3" w:rsidR="008809D0" w:rsidRPr="00F43C12" w:rsidRDefault="00551AEB" w:rsidP="00551AEB">
      <w:pPr>
        <w:spacing w:line="360" w:lineRule="auto"/>
        <w:jc w:val="both"/>
        <w:rPr>
          <w:rFonts w:ascii="Arial" w:hAnsi="Arial" w:cs="Arial"/>
          <w:sz w:val="24"/>
          <w:szCs w:val="24"/>
        </w:rPr>
      </w:pPr>
      <w:r w:rsidRPr="00F43C12">
        <w:rPr>
          <w:rFonts w:ascii="Arial" w:hAnsi="Arial" w:cs="Arial"/>
          <w:sz w:val="24"/>
          <w:szCs w:val="24"/>
        </w:rPr>
        <w:t>The distinction between AI support and my own contribution remained clear. AI supported only for activities at the presentation level (</w:t>
      </w:r>
      <w:proofErr w:type="spellStart"/>
      <w:r w:rsidRPr="00F43C12">
        <w:rPr>
          <w:rFonts w:ascii="Arial" w:hAnsi="Arial" w:cs="Arial"/>
          <w:sz w:val="24"/>
          <w:szCs w:val="24"/>
        </w:rPr>
        <w:t>organising</w:t>
      </w:r>
      <w:proofErr w:type="spellEnd"/>
      <w:r w:rsidRPr="00F43C12">
        <w:rPr>
          <w:rFonts w:ascii="Arial" w:hAnsi="Arial" w:cs="Arial"/>
          <w:sz w:val="24"/>
          <w:szCs w:val="24"/>
        </w:rPr>
        <w:t xml:space="preserve"> headings, </w:t>
      </w:r>
      <w:proofErr w:type="spellStart"/>
      <w:r w:rsidRPr="00F43C12">
        <w:rPr>
          <w:rFonts w:ascii="Arial" w:hAnsi="Arial" w:cs="Arial"/>
          <w:sz w:val="24"/>
          <w:szCs w:val="24"/>
        </w:rPr>
        <w:t>minimising</w:t>
      </w:r>
      <w:proofErr w:type="spellEnd"/>
      <w:r w:rsidRPr="00F43C12">
        <w:rPr>
          <w:rFonts w:ascii="Arial" w:hAnsi="Arial" w:cs="Arial"/>
          <w:sz w:val="24"/>
          <w:szCs w:val="24"/>
        </w:rPr>
        <w:t xml:space="preserve"> repetition and coherence of this reflection). The substantive was my work, in so far as I had to select the five year period, separate reported revenue from core revenue, </w:t>
      </w:r>
      <w:r w:rsidRPr="00F43C12">
        <w:rPr>
          <w:rFonts w:ascii="Arial" w:hAnsi="Arial" w:cs="Arial"/>
          <w:sz w:val="24"/>
          <w:szCs w:val="24"/>
        </w:rPr>
        <w:lastRenderedPageBreak/>
        <w:t xml:space="preserve">calculate ratios, compare liquidity ratios with the peers, evaluate the capital structure of Hilton, and develop the CFO strategy for the three investment projects. The strategic synthesis, including the plan to restrict share repurchases, the debt reduction priorities and the staged approval of Project C, was based on my interpretation of verified evidence. This mirrors ICAEW's position that AI could assist finance professionals, but that professional analysis and judgement is still needed in the process of turning information into </w:t>
      </w:r>
      <w:proofErr w:type="spellStart"/>
      <w:r w:rsidRPr="00F43C12">
        <w:rPr>
          <w:rFonts w:ascii="Arial" w:hAnsi="Arial" w:cs="Arial"/>
          <w:sz w:val="24"/>
          <w:szCs w:val="24"/>
        </w:rPr>
        <w:t>organisation</w:t>
      </w:r>
      <w:proofErr w:type="spellEnd"/>
      <w:r w:rsidRPr="00F43C12">
        <w:rPr>
          <w:rFonts w:ascii="Arial" w:hAnsi="Arial" w:cs="Arial"/>
          <w:sz w:val="24"/>
          <w:szCs w:val="24"/>
        </w:rPr>
        <w:t xml:space="preserve"> decisions (ICAEW, 2024).</w:t>
      </w:r>
    </w:p>
    <w:p w14:paraId="458D9C91" w14:textId="77777777" w:rsidR="00B131A9" w:rsidRPr="00F43C12" w:rsidRDefault="00B131A9" w:rsidP="00551AEB">
      <w:pPr>
        <w:pStyle w:val="Heading2"/>
        <w:numPr>
          <w:ilvl w:val="1"/>
          <w:numId w:val="2"/>
        </w:numPr>
        <w:spacing w:line="360" w:lineRule="auto"/>
        <w:jc w:val="both"/>
        <w:rPr>
          <w:rFonts w:ascii="Arial" w:hAnsi="Arial" w:cs="Arial"/>
          <w:sz w:val="24"/>
          <w:szCs w:val="24"/>
        </w:rPr>
      </w:pPr>
      <w:bookmarkStart w:id="30" w:name="_Toc235694639"/>
      <w:r w:rsidRPr="00F43C12">
        <w:rPr>
          <w:rFonts w:ascii="Arial" w:hAnsi="Arial" w:cs="Arial"/>
          <w:sz w:val="24"/>
          <w:szCs w:val="24"/>
        </w:rPr>
        <w:t>Ethical and Professional Reflection</w:t>
      </w:r>
      <w:bookmarkEnd w:id="30"/>
    </w:p>
    <w:p w14:paraId="6B03CDD1" w14:textId="142BB80F" w:rsidR="009B3040" w:rsidRPr="00F43C12" w:rsidRDefault="00551AEB" w:rsidP="00551AEB">
      <w:pPr>
        <w:pStyle w:val="FigureCaption"/>
        <w:spacing w:line="360" w:lineRule="auto"/>
        <w:jc w:val="both"/>
        <w:rPr>
          <w:rFonts w:cs="Arial"/>
          <w:b/>
          <w:bCs/>
          <w:i w:val="0"/>
          <w:sz w:val="24"/>
          <w:szCs w:val="24"/>
          <w:u w:val="single"/>
        </w:rPr>
      </w:pPr>
      <w:r w:rsidRPr="00F43C12">
        <w:rPr>
          <w:rFonts w:cs="Arial"/>
          <w:i w:val="0"/>
          <w:sz w:val="24"/>
          <w:szCs w:val="24"/>
        </w:rPr>
        <w:t>This exercise demonstrated the importance of transparency, confidentiality and human accountability in responsible use of AI in finance. Stakeholders should be aware of the role of AI in the creation of evidence and recommendations. Confidential data, such as corporate, client, or personal information, should not be fed into any public AI without consent as it can lead to legal or reputation damage if confidentiality is compromised. Trustworthy AI is rooted in privacy, transparency, accountability, and meaningful human oversight, OECD (2024). At the executive level, over-reliance is particularly risky because a convincing but wrong result may affect the investment/financing/ restructuring and/or distribution of shares decisions. ACCA stress that AI is not a substitute for integrity, objectivity, professional competence or accountability in finance (ACCA, 2025). Hence, AI should be used as a controlled support tool, while the CFO and finance team are responsible for verification, professional challenge, ethical judgement, and final decisions.</w:t>
      </w:r>
    </w:p>
    <w:p w14:paraId="7DF7C325" w14:textId="77777777" w:rsidR="001617D7" w:rsidRPr="00F43C12" w:rsidRDefault="001617D7" w:rsidP="009B3040">
      <w:pPr>
        <w:pStyle w:val="FigureCaption"/>
        <w:spacing w:line="360" w:lineRule="auto"/>
        <w:jc w:val="left"/>
        <w:rPr>
          <w:rFonts w:cs="Arial"/>
          <w:b/>
          <w:bCs/>
          <w:i w:val="0"/>
          <w:sz w:val="24"/>
          <w:szCs w:val="24"/>
          <w:u w:val="single"/>
        </w:rPr>
      </w:pPr>
    </w:p>
    <w:p w14:paraId="0FCAC1F5" w14:textId="77777777" w:rsidR="009B3040" w:rsidRPr="00F43C12" w:rsidRDefault="009B3040" w:rsidP="009B3040">
      <w:pPr>
        <w:pStyle w:val="FigureCaption"/>
        <w:spacing w:line="360" w:lineRule="auto"/>
        <w:jc w:val="left"/>
        <w:rPr>
          <w:rFonts w:cs="Arial"/>
          <w:b/>
          <w:bCs/>
          <w:i w:val="0"/>
          <w:sz w:val="24"/>
          <w:szCs w:val="24"/>
          <w:u w:val="single"/>
        </w:rPr>
      </w:pPr>
    </w:p>
    <w:p w14:paraId="76534C8D" w14:textId="77777777" w:rsidR="009B3040" w:rsidRPr="00F43C12" w:rsidRDefault="009B3040" w:rsidP="009B3040">
      <w:pPr>
        <w:pStyle w:val="FigureCaption"/>
        <w:spacing w:line="360" w:lineRule="auto"/>
        <w:jc w:val="left"/>
        <w:rPr>
          <w:rFonts w:cs="Arial"/>
          <w:b/>
          <w:bCs/>
          <w:i w:val="0"/>
          <w:sz w:val="24"/>
          <w:szCs w:val="24"/>
          <w:u w:val="single"/>
        </w:rPr>
      </w:pPr>
    </w:p>
    <w:p w14:paraId="7CAF372E" w14:textId="77777777" w:rsidR="009B3040" w:rsidRPr="00F43C12" w:rsidRDefault="009B3040" w:rsidP="009B3040">
      <w:pPr>
        <w:pStyle w:val="FigureCaption"/>
        <w:spacing w:line="360" w:lineRule="auto"/>
        <w:jc w:val="left"/>
        <w:rPr>
          <w:rFonts w:cs="Arial"/>
          <w:b/>
          <w:bCs/>
          <w:i w:val="0"/>
          <w:sz w:val="24"/>
          <w:szCs w:val="24"/>
          <w:u w:val="single"/>
        </w:rPr>
      </w:pPr>
    </w:p>
    <w:p w14:paraId="32630B22" w14:textId="77777777" w:rsidR="009B3040" w:rsidRPr="00F43C12" w:rsidRDefault="009B3040" w:rsidP="009B3040">
      <w:pPr>
        <w:pStyle w:val="FigureCaption"/>
        <w:spacing w:line="360" w:lineRule="auto"/>
        <w:jc w:val="left"/>
        <w:rPr>
          <w:rFonts w:cs="Arial"/>
          <w:b/>
          <w:bCs/>
          <w:i w:val="0"/>
          <w:sz w:val="24"/>
          <w:szCs w:val="24"/>
          <w:u w:val="single"/>
        </w:rPr>
      </w:pPr>
    </w:p>
    <w:p w14:paraId="7AB991B3" w14:textId="77777777" w:rsidR="009B3040" w:rsidRPr="00F43C12" w:rsidRDefault="009B3040" w:rsidP="009B3040">
      <w:pPr>
        <w:pStyle w:val="FigureCaption"/>
        <w:spacing w:line="360" w:lineRule="auto"/>
        <w:jc w:val="left"/>
        <w:rPr>
          <w:rFonts w:cs="Arial"/>
          <w:b/>
          <w:bCs/>
          <w:i w:val="0"/>
          <w:sz w:val="24"/>
          <w:szCs w:val="24"/>
          <w:u w:val="single"/>
        </w:rPr>
      </w:pPr>
    </w:p>
    <w:p w14:paraId="56AE7E26" w14:textId="48EAEE62" w:rsidR="00424987" w:rsidRPr="00F43C12" w:rsidRDefault="00424987" w:rsidP="00146E7A">
      <w:pPr>
        <w:pStyle w:val="Heading1"/>
        <w:spacing w:line="360" w:lineRule="auto"/>
        <w:rPr>
          <w:rFonts w:ascii="Arial" w:hAnsi="Arial" w:cs="Arial"/>
          <w:sz w:val="24"/>
          <w:szCs w:val="24"/>
        </w:rPr>
      </w:pPr>
      <w:bookmarkStart w:id="31" w:name="_Toc235694640"/>
      <w:r w:rsidRPr="00F43C12">
        <w:rPr>
          <w:rFonts w:ascii="Arial" w:hAnsi="Arial" w:cs="Arial"/>
          <w:sz w:val="24"/>
          <w:szCs w:val="24"/>
        </w:rPr>
        <w:lastRenderedPageBreak/>
        <w:t>References</w:t>
      </w:r>
      <w:bookmarkEnd w:id="31"/>
    </w:p>
    <w:p w14:paraId="6B7F7968"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ACCA (n.d.) ‘Advanced investment appraisal’. Available at: </w:t>
      </w:r>
      <w:hyperlink r:id="rId16" w:history="1">
        <w:r w:rsidRPr="00F43C12">
          <w:rPr>
            <w:rStyle w:val="Hyperlink"/>
            <w:rFonts w:ascii="Arial" w:hAnsi="Arial" w:cs="Arial"/>
            <w:sz w:val="24"/>
            <w:szCs w:val="24"/>
          </w:rPr>
          <w:t>https://www.accaglobal.com/gb/en/student/exam-support-resources/fundamentals-exams-study-resources/f9/technical-articles/advanced-investment-appraisal.html</w:t>
        </w:r>
      </w:hyperlink>
      <w:r w:rsidRPr="00F43C12">
        <w:rPr>
          <w:rFonts w:ascii="Arial" w:hAnsi="Arial" w:cs="Arial"/>
          <w:sz w:val="24"/>
          <w:szCs w:val="24"/>
        </w:rPr>
        <w:t xml:space="preserve"> (Accessed: 23 July 2026).</w:t>
      </w:r>
    </w:p>
    <w:p w14:paraId="146186A4"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Association of Chartered Certified Accountants (ACCA) (2025) ‘Accountants’ professional judgement critical to success in the age of AI’. ACCA Global, 27 February. [Online] Available through: ACCA website [Accessed 23 July 2026]. </w:t>
      </w:r>
    </w:p>
    <w:p w14:paraId="7C76FECB"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Baker, H., </w:t>
      </w:r>
      <w:proofErr w:type="spellStart"/>
      <w:r w:rsidRPr="00F43C12">
        <w:rPr>
          <w:rFonts w:ascii="Arial" w:hAnsi="Arial" w:cs="Arial"/>
          <w:sz w:val="24"/>
          <w:szCs w:val="24"/>
        </w:rPr>
        <w:t>Kaddumi</w:t>
      </w:r>
      <w:proofErr w:type="spellEnd"/>
      <w:r w:rsidRPr="00F43C12">
        <w:rPr>
          <w:rFonts w:ascii="Arial" w:hAnsi="Arial" w:cs="Arial"/>
          <w:sz w:val="24"/>
          <w:szCs w:val="24"/>
        </w:rPr>
        <w:t xml:space="preserve">, T.A., Nassar, M.D. and Muqattash, R.S. (2023). Impact of Financial Technology on Improvement of Banks’ Financial Performance. </w:t>
      </w:r>
      <w:r w:rsidRPr="00F43C12">
        <w:rPr>
          <w:rFonts w:ascii="Arial" w:hAnsi="Arial" w:cs="Arial"/>
          <w:i/>
          <w:iCs/>
          <w:sz w:val="24"/>
          <w:szCs w:val="24"/>
        </w:rPr>
        <w:t>Journal of Risk and Financial Management</w:t>
      </w:r>
      <w:r w:rsidRPr="00F43C12">
        <w:rPr>
          <w:rFonts w:ascii="Arial" w:hAnsi="Arial" w:cs="Arial"/>
          <w:sz w:val="24"/>
          <w:szCs w:val="24"/>
        </w:rPr>
        <w:t>, [online] 16(4), p.230. doi:10.3390/jrfm16040230.</w:t>
      </w:r>
    </w:p>
    <w:p w14:paraId="7C199AF1"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Bruna, M.G., </w:t>
      </w:r>
      <w:proofErr w:type="spellStart"/>
      <w:r w:rsidRPr="00F43C12">
        <w:rPr>
          <w:rFonts w:ascii="Arial" w:hAnsi="Arial" w:cs="Arial"/>
          <w:sz w:val="24"/>
          <w:szCs w:val="24"/>
        </w:rPr>
        <w:t>Loprevite</w:t>
      </w:r>
      <w:proofErr w:type="spellEnd"/>
      <w:r w:rsidRPr="00F43C12">
        <w:rPr>
          <w:rFonts w:ascii="Arial" w:hAnsi="Arial" w:cs="Arial"/>
          <w:sz w:val="24"/>
          <w:szCs w:val="24"/>
        </w:rPr>
        <w:t xml:space="preserve">, S., Raucci, D., Ricca, B. and </w:t>
      </w:r>
      <w:proofErr w:type="spellStart"/>
      <w:r w:rsidRPr="00F43C12">
        <w:rPr>
          <w:rFonts w:ascii="Arial" w:hAnsi="Arial" w:cs="Arial"/>
          <w:sz w:val="24"/>
          <w:szCs w:val="24"/>
        </w:rPr>
        <w:t>Rupo</w:t>
      </w:r>
      <w:proofErr w:type="spellEnd"/>
      <w:r w:rsidRPr="00F43C12">
        <w:rPr>
          <w:rFonts w:ascii="Arial" w:hAnsi="Arial" w:cs="Arial"/>
          <w:sz w:val="24"/>
          <w:szCs w:val="24"/>
        </w:rPr>
        <w:t xml:space="preserve">, D. (2022). Investigating the marginal impact of ESG results on corporate financial performance. </w:t>
      </w:r>
      <w:r w:rsidRPr="00F43C12">
        <w:rPr>
          <w:rFonts w:ascii="Arial" w:hAnsi="Arial" w:cs="Arial"/>
          <w:i/>
          <w:iCs/>
          <w:sz w:val="24"/>
          <w:szCs w:val="24"/>
        </w:rPr>
        <w:t>Finance Research Letters</w:t>
      </w:r>
      <w:r w:rsidRPr="00F43C12">
        <w:rPr>
          <w:rFonts w:ascii="Arial" w:hAnsi="Arial" w:cs="Arial"/>
          <w:sz w:val="24"/>
          <w:szCs w:val="24"/>
        </w:rPr>
        <w:t>, 47(1), p.102828. doi:10.1016/j.frl.2022.102828.</w:t>
      </w:r>
    </w:p>
    <w:p w14:paraId="7D5A10A6"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Choice Hotels International, Inc. (2026) Annual report 2025. North Bethesda, MD: Choice Hotels International, Inc. Available at: </w:t>
      </w:r>
      <w:hyperlink r:id="rId17" w:history="1">
        <w:r w:rsidRPr="00F43C12">
          <w:rPr>
            <w:rStyle w:val="Hyperlink"/>
            <w:rFonts w:ascii="Arial" w:hAnsi="Arial" w:cs="Arial"/>
            <w:sz w:val="24"/>
            <w:szCs w:val="24"/>
          </w:rPr>
          <w:t>https://www.sec.gov/Archives/edgar/data/1046311/000104631126000008/chh-20251231.htm</w:t>
        </w:r>
      </w:hyperlink>
      <w:r w:rsidRPr="00F43C12">
        <w:rPr>
          <w:rFonts w:ascii="Arial" w:hAnsi="Arial" w:cs="Arial"/>
          <w:sz w:val="24"/>
          <w:szCs w:val="24"/>
        </w:rPr>
        <w:t xml:space="preserve"> (Accessed: 23 July 2026).</w:t>
      </w:r>
    </w:p>
    <w:p w14:paraId="033DAF50" w14:textId="77777777" w:rsidR="00EF34FD" w:rsidRPr="00F43C12" w:rsidRDefault="00EF34FD" w:rsidP="00EF34FD">
      <w:pPr>
        <w:spacing w:line="360" w:lineRule="auto"/>
        <w:jc w:val="both"/>
        <w:rPr>
          <w:rFonts w:ascii="Arial" w:hAnsi="Arial" w:cs="Arial"/>
          <w:sz w:val="24"/>
          <w:szCs w:val="24"/>
        </w:rPr>
      </w:pPr>
      <w:proofErr w:type="spellStart"/>
      <w:r w:rsidRPr="00F43C12">
        <w:rPr>
          <w:rFonts w:ascii="Arial" w:hAnsi="Arial" w:cs="Arial"/>
          <w:sz w:val="24"/>
          <w:szCs w:val="24"/>
        </w:rPr>
        <w:t>Derowitsch</w:t>
      </w:r>
      <w:proofErr w:type="spellEnd"/>
      <w:r w:rsidRPr="00F43C12">
        <w:rPr>
          <w:rFonts w:ascii="Arial" w:hAnsi="Arial" w:cs="Arial"/>
          <w:sz w:val="24"/>
          <w:szCs w:val="24"/>
        </w:rPr>
        <w:t xml:space="preserve">, J., Ngo, T., Katt, T., Henning, M. and Soukup, L. (2025). </w:t>
      </w:r>
      <w:r w:rsidRPr="00F43C12">
        <w:rPr>
          <w:rFonts w:ascii="Arial" w:hAnsi="Arial" w:cs="Arial"/>
          <w:i/>
          <w:iCs/>
          <w:sz w:val="24"/>
          <w:szCs w:val="24"/>
        </w:rPr>
        <w:t>Strategic Audit: Hilton Worldwide Holdings, Inc.</w:t>
      </w:r>
      <w:r w:rsidRPr="00F43C12">
        <w:rPr>
          <w:rFonts w:ascii="Arial" w:hAnsi="Arial" w:cs="Arial"/>
          <w:sz w:val="24"/>
          <w:szCs w:val="24"/>
        </w:rPr>
        <w:t xml:space="preserve"> [online] </w:t>
      </w:r>
      <w:proofErr w:type="spellStart"/>
      <w:r w:rsidRPr="00F43C12">
        <w:rPr>
          <w:rFonts w:ascii="Arial" w:hAnsi="Arial" w:cs="Arial"/>
          <w:i/>
          <w:iCs/>
          <w:sz w:val="24"/>
          <w:szCs w:val="24"/>
        </w:rPr>
        <w:t>DigitalCommons@University</w:t>
      </w:r>
      <w:proofErr w:type="spellEnd"/>
      <w:r w:rsidRPr="00F43C12">
        <w:rPr>
          <w:rFonts w:ascii="Arial" w:hAnsi="Arial" w:cs="Arial"/>
          <w:i/>
          <w:iCs/>
          <w:sz w:val="24"/>
          <w:szCs w:val="24"/>
        </w:rPr>
        <w:t xml:space="preserve"> of Nebraska - Lincoln</w:t>
      </w:r>
      <w:r w:rsidRPr="00F43C12">
        <w:rPr>
          <w:rFonts w:ascii="Arial" w:hAnsi="Arial" w:cs="Arial"/>
          <w:sz w:val="24"/>
          <w:szCs w:val="24"/>
        </w:rPr>
        <w:t>. Available at: https://digitalcommons.unl.edu/honorstheses/797/ [Accessed 23 July 2026].</w:t>
      </w:r>
    </w:p>
    <w:p w14:paraId="707B3F0A"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Hilton (2026) 2025 Travel with Purpose report. McLean, VA: Hilton. Available at: </w:t>
      </w:r>
      <w:hyperlink r:id="rId18" w:history="1">
        <w:r w:rsidRPr="00F43C12">
          <w:rPr>
            <w:rStyle w:val="Hyperlink"/>
            <w:rFonts w:ascii="Arial" w:hAnsi="Arial" w:cs="Arial"/>
            <w:sz w:val="24"/>
            <w:szCs w:val="24"/>
          </w:rPr>
          <w:t>https://travelwithpurpose.hilton.com/our-reporting/</w:t>
        </w:r>
      </w:hyperlink>
      <w:r w:rsidRPr="00F43C12">
        <w:rPr>
          <w:rFonts w:ascii="Arial" w:hAnsi="Arial" w:cs="Arial"/>
          <w:sz w:val="24"/>
          <w:szCs w:val="24"/>
        </w:rPr>
        <w:t xml:space="preserve"> (Accessed: 23 July 2026).</w:t>
      </w:r>
    </w:p>
    <w:p w14:paraId="432E5E91"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Hilton Worldwide Holdings Inc. (2022) Annual report 2021. McLean, VA: Hilton Worldwide Holdings Inc. Available at: </w:t>
      </w:r>
      <w:hyperlink r:id="rId19" w:history="1">
        <w:r w:rsidRPr="00F43C12">
          <w:rPr>
            <w:rStyle w:val="Hyperlink"/>
            <w:rFonts w:ascii="Arial" w:hAnsi="Arial" w:cs="Arial"/>
            <w:sz w:val="24"/>
            <w:szCs w:val="24"/>
          </w:rPr>
          <w:t>https://www.sec.gov/Archives/edgar/data/1585689/000158568922000013/hlt-20211231.htm</w:t>
        </w:r>
      </w:hyperlink>
      <w:r w:rsidRPr="00F43C12">
        <w:rPr>
          <w:rFonts w:ascii="Arial" w:hAnsi="Arial" w:cs="Arial"/>
          <w:sz w:val="24"/>
          <w:szCs w:val="24"/>
        </w:rPr>
        <w:t xml:space="preserve"> (Accessed: 23 July 2026).</w:t>
      </w:r>
    </w:p>
    <w:p w14:paraId="64EEBBDD"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Hilton Worldwide Holdings Inc. (2024) Annual report 2023. McLean, VA: Hilton Worldwide Holdings Inc. Available at: </w:t>
      </w:r>
      <w:hyperlink r:id="rId20" w:history="1">
        <w:r w:rsidRPr="00F43C12">
          <w:rPr>
            <w:rStyle w:val="Hyperlink"/>
            <w:rFonts w:ascii="Arial" w:hAnsi="Arial" w:cs="Arial"/>
            <w:sz w:val="24"/>
            <w:szCs w:val="24"/>
          </w:rPr>
          <w:t>https://www.sec.gov/Archives/edgar/data/1585689/000158568924000027/hlt-20231231.htm</w:t>
        </w:r>
      </w:hyperlink>
      <w:r w:rsidRPr="00F43C12">
        <w:rPr>
          <w:rFonts w:ascii="Arial" w:hAnsi="Arial" w:cs="Arial"/>
          <w:sz w:val="24"/>
          <w:szCs w:val="24"/>
        </w:rPr>
        <w:t xml:space="preserve"> (Accessed: 23 July 2026).</w:t>
      </w:r>
    </w:p>
    <w:p w14:paraId="35A9E94C"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Hilton Worldwide Holdings Inc. (2026) Annual report 2025. McLean, VA: Hilton Worldwide Holdings Inc. Available at: </w:t>
      </w:r>
      <w:hyperlink r:id="rId21" w:history="1">
        <w:r w:rsidRPr="00F43C12">
          <w:rPr>
            <w:rStyle w:val="Hyperlink"/>
            <w:rFonts w:ascii="Arial" w:hAnsi="Arial" w:cs="Arial"/>
            <w:sz w:val="24"/>
            <w:szCs w:val="24"/>
          </w:rPr>
          <w:t>https://www.sec.gov/Archives/edgar/data/1585689/000158568926000007/hlt-20251231.htm</w:t>
        </w:r>
      </w:hyperlink>
      <w:r w:rsidRPr="00F43C12">
        <w:rPr>
          <w:rFonts w:ascii="Arial" w:hAnsi="Arial" w:cs="Arial"/>
          <w:sz w:val="24"/>
          <w:szCs w:val="24"/>
        </w:rPr>
        <w:t xml:space="preserve"> (Accessed: 23 July 2026).</w:t>
      </w:r>
    </w:p>
    <w:p w14:paraId="5267E48C"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Hospitality Institute (2024) ‘Key liquidity ratios for hotel financial health’, 11 April. Available at: </w:t>
      </w:r>
      <w:hyperlink r:id="rId22" w:history="1">
        <w:r w:rsidRPr="00F43C12">
          <w:rPr>
            <w:rStyle w:val="Hyperlink"/>
            <w:rFonts w:ascii="Arial" w:hAnsi="Arial" w:cs="Arial"/>
            <w:sz w:val="24"/>
            <w:szCs w:val="24"/>
          </w:rPr>
          <w:t>https://hospitality.institute/mha805/key-liquidity-ratios-hotel-financial-health/</w:t>
        </w:r>
      </w:hyperlink>
      <w:r w:rsidRPr="00F43C12">
        <w:rPr>
          <w:rFonts w:ascii="Arial" w:hAnsi="Arial" w:cs="Arial"/>
          <w:sz w:val="24"/>
          <w:szCs w:val="24"/>
        </w:rPr>
        <w:t xml:space="preserve"> (Accessed: 23 July 2026).</w:t>
      </w:r>
    </w:p>
    <w:p w14:paraId="76B7A3D3"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Huang, D.Z.X. (2021). Environmental, social and governance (ESG) activity and firm performance: a review and consolidation. </w:t>
      </w:r>
      <w:r w:rsidRPr="00F43C12">
        <w:rPr>
          <w:rFonts w:ascii="Arial" w:hAnsi="Arial" w:cs="Arial"/>
          <w:i/>
          <w:iCs/>
          <w:sz w:val="24"/>
          <w:szCs w:val="24"/>
        </w:rPr>
        <w:t>Accounting &amp; Finance</w:t>
      </w:r>
      <w:r w:rsidRPr="00F43C12">
        <w:rPr>
          <w:rFonts w:ascii="Arial" w:hAnsi="Arial" w:cs="Arial"/>
          <w:sz w:val="24"/>
          <w:szCs w:val="24"/>
        </w:rPr>
        <w:t>, 61(1), pp.335–360. doi:10.1111/acfi.12569.</w:t>
      </w:r>
    </w:p>
    <w:p w14:paraId="7E14D51A"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ICAEW (n.d.) ‘Carrying out investment appraisals’. Available at: </w:t>
      </w:r>
      <w:hyperlink r:id="rId23" w:history="1">
        <w:r w:rsidRPr="00F43C12">
          <w:rPr>
            <w:rStyle w:val="Hyperlink"/>
            <w:rFonts w:ascii="Arial" w:hAnsi="Arial" w:cs="Arial"/>
            <w:sz w:val="24"/>
            <w:szCs w:val="24"/>
          </w:rPr>
          <w:t>https://www.icaew.com/technical/business/financial-management/carrying-out-investment-appraisals</w:t>
        </w:r>
      </w:hyperlink>
      <w:r w:rsidRPr="00F43C12">
        <w:rPr>
          <w:rFonts w:ascii="Arial" w:hAnsi="Arial" w:cs="Arial"/>
          <w:sz w:val="24"/>
          <w:szCs w:val="24"/>
        </w:rPr>
        <w:t xml:space="preserve"> (Accessed: 23 July 2026).</w:t>
      </w:r>
    </w:p>
    <w:p w14:paraId="0040459A"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Institute of Chartered Accountants in England and Wales (ICAEW) (2024) ‘Harnessing AI’s potential: a guide for finance professionals’. ICAEW Insights, 15 October. [Online] Available through: ICAEW website [Accessed 23 July 2026]. </w:t>
      </w:r>
    </w:p>
    <w:p w14:paraId="3CBAE1DD" w14:textId="77777777" w:rsidR="00EF34FD" w:rsidRPr="00F43C12" w:rsidRDefault="00EF34FD" w:rsidP="00EF34FD">
      <w:pPr>
        <w:spacing w:line="360" w:lineRule="auto"/>
        <w:jc w:val="both"/>
        <w:rPr>
          <w:rFonts w:ascii="Arial" w:hAnsi="Arial" w:cs="Arial"/>
          <w:sz w:val="24"/>
          <w:szCs w:val="24"/>
        </w:rPr>
      </w:pPr>
      <w:proofErr w:type="spellStart"/>
      <w:r w:rsidRPr="00F43C12">
        <w:rPr>
          <w:rFonts w:ascii="Arial" w:hAnsi="Arial" w:cs="Arial"/>
          <w:sz w:val="24"/>
          <w:szCs w:val="24"/>
        </w:rPr>
        <w:t>Klychova</w:t>
      </w:r>
      <w:proofErr w:type="spellEnd"/>
      <w:r w:rsidRPr="00F43C12">
        <w:rPr>
          <w:rFonts w:ascii="Arial" w:hAnsi="Arial" w:cs="Arial"/>
          <w:sz w:val="24"/>
          <w:szCs w:val="24"/>
        </w:rPr>
        <w:t xml:space="preserve">, G., Zaugarova, E., Zakirova, A., Dyatlova, A. and </w:t>
      </w:r>
      <w:proofErr w:type="spellStart"/>
      <w:r w:rsidRPr="00F43C12">
        <w:rPr>
          <w:rFonts w:ascii="Arial" w:hAnsi="Arial" w:cs="Arial"/>
          <w:sz w:val="24"/>
          <w:szCs w:val="24"/>
        </w:rPr>
        <w:t>Gimadiev</w:t>
      </w:r>
      <w:proofErr w:type="spellEnd"/>
      <w:r w:rsidRPr="00F43C12">
        <w:rPr>
          <w:rFonts w:ascii="Arial" w:hAnsi="Arial" w:cs="Arial"/>
          <w:sz w:val="24"/>
          <w:szCs w:val="24"/>
        </w:rPr>
        <w:t xml:space="preserve">, I. (2021). Control and analytical aspects of the management of financial results of enterprises. </w:t>
      </w:r>
      <w:r w:rsidRPr="00F43C12">
        <w:rPr>
          <w:rFonts w:ascii="Arial" w:hAnsi="Arial" w:cs="Arial"/>
          <w:i/>
          <w:iCs/>
          <w:sz w:val="24"/>
          <w:szCs w:val="24"/>
        </w:rPr>
        <w:t>E3S Web of Conferences</w:t>
      </w:r>
      <w:r w:rsidRPr="00F43C12">
        <w:rPr>
          <w:rFonts w:ascii="Arial" w:hAnsi="Arial" w:cs="Arial"/>
          <w:sz w:val="24"/>
          <w:szCs w:val="24"/>
        </w:rPr>
        <w:t>, [online] 273, p.10039. doi:10.1051/e3sconf/202127310039.</w:t>
      </w:r>
    </w:p>
    <w:p w14:paraId="6877A89C"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Krieger, A.E. (2025). </w:t>
      </w:r>
      <w:r w:rsidRPr="00F43C12">
        <w:rPr>
          <w:rFonts w:ascii="Arial" w:hAnsi="Arial" w:cs="Arial"/>
          <w:i/>
          <w:iCs/>
          <w:sz w:val="24"/>
          <w:szCs w:val="24"/>
        </w:rPr>
        <w:t>A Strategic Audit of Hilton Hotels</w:t>
      </w:r>
      <w:r w:rsidRPr="00F43C12">
        <w:rPr>
          <w:rFonts w:ascii="Arial" w:hAnsi="Arial" w:cs="Arial"/>
          <w:sz w:val="24"/>
          <w:szCs w:val="24"/>
        </w:rPr>
        <w:t xml:space="preserve">. [online] </w:t>
      </w:r>
      <w:proofErr w:type="spellStart"/>
      <w:r w:rsidRPr="00F43C12">
        <w:rPr>
          <w:rFonts w:ascii="Arial" w:hAnsi="Arial" w:cs="Arial"/>
          <w:i/>
          <w:iCs/>
          <w:sz w:val="24"/>
          <w:szCs w:val="24"/>
        </w:rPr>
        <w:t>DigitalCommons@University</w:t>
      </w:r>
      <w:proofErr w:type="spellEnd"/>
      <w:r w:rsidRPr="00F43C12">
        <w:rPr>
          <w:rFonts w:ascii="Arial" w:hAnsi="Arial" w:cs="Arial"/>
          <w:i/>
          <w:iCs/>
          <w:sz w:val="24"/>
          <w:szCs w:val="24"/>
        </w:rPr>
        <w:t xml:space="preserve"> of Nebraska - Lincoln</w:t>
      </w:r>
      <w:r w:rsidRPr="00F43C12">
        <w:rPr>
          <w:rFonts w:ascii="Arial" w:hAnsi="Arial" w:cs="Arial"/>
          <w:sz w:val="24"/>
          <w:szCs w:val="24"/>
        </w:rPr>
        <w:t>. Available at: https://digitalcommons.unl.edu/honorstheses/826/ [Accessed 23 July 2026].</w:t>
      </w:r>
    </w:p>
    <w:p w14:paraId="518C6248"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Marriott International, Inc. (2026) Annual report 2025. Bethesda, MD: Marriott International, Inc. Available at: </w:t>
      </w:r>
      <w:hyperlink r:id="rId24" w:history="1">
        <w:r w:rsidRPr="00F43C12">
          <w:rPr>
            <w:rStyle w:val="Hyperlink"/>
            <w:rFonts w:ascii="Arial" w:hAnsi="Arial" w:cs="Arial"/>
            <w:sz w:val="24"/>
            <w:szCs w:val="24"/>
          </w:rPr>
          <w:t>https://www.sec.gov/Archives/edgar/data/1048286/000104828626000007/mar-20251231.htm</w:t>
        </w:r>
      </w:hyperlink>
      <w:r w:rsidRPr="00F43C12">
        <w:rPr>
          <w:rFonts w:ascii="Arial" w:hAnsi="Arial" w:cs="Arial"/>
          <w:sz w:val="24"/>
          <w:szCs w:val="24"/>
        </w:rPr>
        <w:t xml:space="preserve"> (Accessed: 23 July 2026).</w:t>
      </w:r>
    </w:p>
    <w:p w14:paraId="11A3366E"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Matosas-López, L. (2026). </w:t>
      </w:r>
      <w:r w:rsidRPr="00F43C12">
        <w:rPr>
          <w:rFonts w:ascii="Arial" w:hAnsi="Arial" w:cs="Arial"/>
          <w:i/>
          <w:iCs/>
          <w:sz w:val="24"/>
          <w:szCs w:val="24"/>
        </w:rPr>
        <w:t>The Hilton Case: Designing a Global Loyalty Program, Supported by a CRM System</w:t>
      </w:r>
      <w:r w:rsidRPr="00F43C12">
        <w:rPr>
          <w:rFonts w:ascii="Arial" w:hAnsi="Arial" w:cs="Arial"/>
          <w:sz w:val="24"/>
          <w:szCs w:val="24"/>
        </w:rPr>
        <w:t xml:space="preserve">. [online] 1 Oliver’s Yard,  55 City Road,  London  EC1Y </w:t>
      </w:r>
      <w:r w:rsidRPr="00F43C12">
        <w:rPr>
          <w:rFonts w:ascii="Arial" w:hAnsi="Arial" w:cs="Arial"/>
          <w:sz w:val="24"/>
          <w:szCs w:val="24"/>
        </w:rPr>
        <w:lastRenderedPageBreak/>
        <w:t>1SP  United Kingdom  United States: SAGE Publications: SAGE Business Cases Originals. doi:10.4135/9781071919309.</w:t>
      </w:r>
    </w:p>
    <w:p w14:paraId="3D6BDE5F"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National Institute of Standards and Technology (NIST) (2023) Artificial Intelligence Risk Management Framework (AI RMF 1.0). NIST AI 100-1. Gaithersburg, MD: National Institute of Standards and Technology. </w:t>
      </w:r>
      <w:proofErr w:type="spellStart"/>
      <w:r w:rsidRPr="00F43C12">
        <w:rPr>
          <w:rFonts w:ascii="Arial" w:hAnsi="Arial" w:cs="Arial"/>
          <w:sz w:val="24"/>
          <w:szCs w:val="24"/>
        </w:rPr>
        <w:t>doi</w:t>
      </w:r>
      <w:proofErr w:type="spellEnd"/>
      <w:r w:rsidRPr="00F43C12">
        <w:rPr>
          <w:rFonts w:ascii="Arial" w:hAnsi="Arial" w:cs="Arial"/>
          <w:sz w:val="24"/>
          <w:szCs w:val="24"/>
        </w:rPr>
        <w:t xml:space="preserve">: 10.6028/NIST.AI.100-1. </w:t>
      </w:r>
    </w:p>
    <w:p w14:paraId="6E3EB621"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Ngoc, T., </w:t>
      </w:r>
      <w:proofErr w:type="spellStart"/>
      <w:r w:rsidRPr="00F43C12">
        <w:rPr>
          <w:rFonts w:ascii="Arial" w:hAnsi="Arial" w:cs="Arial"/>
          <w:sz w:val="24"/>
          <w:szCs w:val="24"/>
        </w:rPr>
        <w:t>Thi</w:t>
      </w:r>
      <w:proofErr w:type="spellEnd"/>
      <w:r w:rsidRPr="00F43C12">
        <w:rPr>
          <w:rFonts w:ascii="Arial" w:hAnsi="Arial" w:cs="Arial"/>
          <w:sz w:val="24"/>
          <w:szCs w:val="24"/>
        </w:rPr>
        <w:t xml:space="preserve">, A. and Cong Van Nguyen (2023). Internal factors affecting the financial performance of an </w:t>
      </w:r>
      <w:proofErr w:type="spellStart"/>
      <w:r w:rsidRPr="00F43C12">
        <w:rPr>
          <w:rFonts w:ascii="Arial" w:hAnsi="Arial" w:cs="Arial"/>
          <w:sz w:val="24"/>
          <w:szCs w:val="24"/>
        </w:rPr>
        <w:t>organisation’s</w:t>
      </w:r>
      <w:proofErr w:type="spellEnd"/>
      <w:r w:rsidRPr="00F43C12">
        <w:rPr>
          <w:rFonts w:ascii="Arial" w:hAnsi="Arial" w:cs="Arial"/>
          <w:sz w:val="24"/>
          <w:szCs w:val="24"/>
        </w:rPr>
        <w:t xml:space="preserve"> business processes. </w:t>
      </w:r>
      <w:r w:rsidRPr="00F43C12">
        <w:rPr>
          <w:rFonts w:ascii="Arial" w:hAnsi="Arial" w:cs="Arial"/>
          <w:i/>
          <w:iCs/>
          <w:sz w:val="24"/>
          <w:szCs w:val="24"/>
        </w:rPr>
        <w:t>Business Process Management Journal</w:t>
      </w:r>
      <w:r w:rsidRPr="00F43C12">
        <w:rPr>
          <w:rFonts w:ascii="Arial" w:hAnsi="Arial" w:cs="Arial"/>
          <w:sz w:val="24"/>
          <w:szCs w:val="24"/>
        </w:rPr>
        <w:t>. doi:10.1108/bpmj-10-2022-0486.</w:t>
      </w:r>
    </w:p>
    <w:p w14:paraId="76DE0519"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Okafor, A., Adeleye, B.N. and Adusei, M. (2021). Corporate social responsibility and financial performance: Evidence from U.S tech firms. </w:t>
      </w:r>
      <w:r w:rsidRPr="00F43C12">
        <w:rPr>
          <w:rFonts w:ascii="Arial" w:hAnsi="Arial" w:cs="Arial"/>
          <w:i/>
          <w:iCs/>
          <w:sz w:val="24"/>
          <w:szCs w:val="24"/>
        </w:rPr>
        <w:t>Journal of Cleaner Production</w:t>
      </w:r>
      <w:r w:rsidRPr="00F43C12">
        <w:rPr>
          <w:rFonts w:ascii="Arial" w:hAnsi="Arial" w:cs="Arial"/>
          <w:sz w:val="24"/>
          <w:szCs w:val="24"/>
        </w:rPr>
        <w:t>, [online] 292(1), p.126078. doi:10.1016/j.jclepro.2021.126078.</w:t>
      </w:r>
    </w:p>
    <w:p w14:paraId="3E768CB0" w14:textId="77777777" w:rsidR="00EF34FD" w:rsidRPr="00F43C12" w:rsidRDefault="00EF34FD" w:rsidP="00EF34FD">
      <w:pPr>
        <w:spacing w:line="360" w:lineRule="auto"/>
        <w:jc w:val="both"/>
        <w:rPr>
          <w:rFonts w:ascii="Arial" w:hAnsi="Arial" w:cs="Arial"/>
          <w:sz w:val="24"/>
          <w:szCs w:val="24"/>
        </w:rPr>
      </w:pPr>
      <w:proofErr w:type="spellStart"/>
      <w:r w:rsidRPr="00F43C12">
        <w:rPr>
          <w:rFonts w:ascii="Arial" w:hAnsi="Arial" w:cs="Arial"/>
          <w:sz w:val="24"/>
          <w:szCs w:val="24"/>
        </w:rPr>
        <w:t>Organisation</w:t>
      </w:r>
      <w:proofErr w:type="spellEnd"/>
      <w:r w:rsidRPr="00F43C12">
        <w:rPr>
          <w:rFonts w:ascii="Arial" w:hAnsi="Arial" w:cs="Arial"/>
          <w:sz w:val="24"/>
          <w:szCs w:val="24"/>
        </w:rPr>
        <w:t xml:space="preserve"> for Economic Co-operation and Development (OECD) (2024) ‘AI principles’. OECD Artificial Intelligence. [Online] Available through: OECD website [Accessed 23 July 2026]. </w:t>
      </w:r>
    </w:p>
    <w:p w14:paraId="65001879" w14:textId="77777777" w:rsidR="00EF34FD" w:rsidRPr="00F43C12" w:rsidRDefault="00EF34FD" w:rsidP="00EF34FD">
      <w:pPr>
        <w:spacing w:line="360" w:lineRule="auto"/>
        <w:jc w:val="both"/>
        <w:rPr>
          <w:rFonts w:ascii="Arial" w:hAnsi="Arial" w:cs="Arial"/>
          <w:sz w:val="24"/>
          <w:szCs w:val="24"/>
        </w:rPr>
      </w:pPr>
      <w:r w:rsidRPr="00F43C12">
        <w:rPr>
          <w:rFonts w:ascii="Arial" w:hAnsi="Arial" w:cs="Arial"/>
          <w:sz w:val="24"/>
          <w:szCs w:val="24"/>
        </w:rPr>
        <w:t xml:space="preserve">Wyndham Hotels &amp; Resorts, Inc. (2026) Annual report 2025. Parsippany, NJ: Wyndham Hotels &amp; Resorts, Inc. Available at: </w:t>
      </w:r>
      <w:hyperlink r:id="rId25" w:history="1">
        <w:r w:rsidRPr="00F43C12">
          <w:rPr>
            <w:rStyle w:val="Hyperlink"/>
            <w:rFonts w:ascii="Arial" w:hAnsi="Arial" w:cs="Arial"/>
            <w:sz w:val="24"/>
            <w:szCs w:val="24"/>
          </w:rPr>
          <w:t>https://www.sec.gov/Archives/edgar/data/1722684/000172268426000007/wh-20251231.htm</w:t>
        </w:r>
      </w:hyperlink>
      <w:r w:rsidRPr="00F43C12">
        <w:rPr>
          <w:rFonts w:ascii="Arial" w:hAnsi="Arial" w:cs="Arial"/>
          <w:sz w:val="24"/>
          <w:szCs w:val="24"/>
        </w:rPr>
        <w:t xml:space="preserve"> (Accessed: 23 July 2026).</w:t>
      </w:r>
    </w:p>
    <w:p w14:paraId="27DD83AE" w14:textId="77777777" w:rsidR="00E41AED" w:rsidRPr="00F43C12" w:rsidRDefault="00E41AED" w:rsidP="00E41AED">
      <w:pPr>
        <w:spacing w:line="360" w:lineRule="auto"/>
        <w:jc w:val="both"/>
        <w:rPr>
          <w:rFonts w:ascii="Arial" w:hAnsi="Arial" w:cs="Arial"/>
          <w:sz w:val="24"/>
          <w:szCs w:val="24"/>
        </w:rPr>
      </w:pPr>
    </w:p>
    <w:p w14:paraId="0889EB07" w14:textId="77777777" w:rsidR="00424987" w:rsidRPr="00F43C12" w:rsidRDefault="00424987" w:rsidP="00424987">
      <w:pPr>
        <w:spacing w:line="360" w:lineRule="auto"/>
        <w:rPr>
          <w:rFonts w:ascii="Arial" w:hAnsi="Arial" w:cs="Arial"/>
          <w:sz w:val="24"/>
          <w:szCs w:val="24"/>
        </w:rPr>
      </w:pPr>
    </w:p>
    <w:p w14:paraId="1A3D64A3" w14:textId="77777777" w:rsidR="004724A7" w:rsidRPr="00F43C12" w:rsidRDefault="004724A7" w:rsidP="00424987">
      <w:pPr>
        <w:spacing w:line="360" w:lineRule="auto"/>
        <w:rPr>
          <w:rFonts w:ascii="Arial" w:hAnsi="Arial" w:cs="Arial"/>
          <w:sz w:val="24"/>
          <w:szCs w:val="24"/>
        </w:rPr>
      </w:pPr>
    </w:p>
    <w:p w14:paraId="2D65F449" w14:textId="77777777" w:rsidR="004724A7" w:rsidRPr="00F43C12" w:rsidRDefault="004724A7" w:rsidP="00424987">
      <w:pPr>
        <w:spacing w:line="360" w:lineRule="auto"/>
        <w:rPr>
          <w:rFonts w:ascii="Arial" w:hAnsi="Arial" w:cs="Arial"/>
          <w:sz w:val="24"/>
          <w:szCs w:val="24"/>
        </w:rPr>
      </w:pPr>
    </w:p>
    <w:p w14:paraId="6C51061D" w14:textId="77777777" w:rsidR="004724A7" w:rsidRPr="00F43C12" w:rsidRDefault="004724A7" w:rsidP="00424987">
      <w:pPr>
        <w:spacing w:line="360" w:lineRule="auto"/>
        <w:rPr>
          <w:rFonts w:ascii="Arial" w:hAnsi="Arial" w:cs="Arial"/>
          <w:sz w:val="24"/>
          <w:szCs w:val="24"/>
        </w:rPr>
      </w:pPr>
    </w:p>
    <w:p w14:paraId="5ABFD056" w14:textId="77777777" w:rsidR="004724A7" w:rsidRPr="00F43C12" w:rsidRDefault="004724A7" w:rsidP="00424987">
      <w:pPr>
        <w:spacing w:line="360" w:lineRule="auto"/>
        <w:rPr>
          <w:rFonts w:ascii="Arial" w:hAnsi="Arial" w:cs="Arial"/>
          <w:sz w:val="24"/>
          <w:szCs w:val="24"/>
        </w:rPr>
      </w:pPr>
    </w:p>
    <w:p w14:paraId="553CD24C" w14:textId="77777777" w:rsidR="004724A7" w:rsidRPr="00F43C12" w:rsidRDefault="004724A7" w:rsidP="00424987">
      <w:pPr>
        <w:spacing w:line="360" w:lineRule="auto"/>
        <w:rPr>
          <w:rFonts w:ascii="Arial" w:hAnsi="Arial" w:cs="Arial"/>
          <w:sz w:val="24"/>
          <w:szCs w:val="24"/>
        </w:rPr>
      </w:pPr>
    </w:p>
    <w:p w14:paraId="3A3448CE" w14:textId="77777777" w:rsidR="00424987" w:rsidRPr="00424987" w:rsidRDefault="00424987" w:rsidP="00424987">
      <w:pPr>
        <w:spacing w:line="360" w:lineRule="auto"/>
        <w:rPr>
          <w:rFonts w:ascii="Arial" w:hAnsi="Arial" w:cs="Arial"/>
          <w:sz w:val="24"/>
          <w:szCs w:val="24"/>
        </w:rPr>
      </w:pPr>
    </w:p>
    <w:p w14:paraId="2E1D8843" w14:textId="77777777" w:rsidR="00424987" w:rsidRPr="00424987" w:rsidRDefault="00424987" w:rsidP="00424987">
      <w:pPr>
        <w:pStyle w:val="Heading1"/>
        <w:spacing w:line="360" w:lineRule="auto"/>
        <w:rPr>
          <w:rFonts w:ascii="Arial" w:hAnsi="Arial" w:cs="Arial"/>
          <w:sz w:val="24"/>
          <w:szCs w:val="24"/>
        </w:rPr>
      </w:pPr>
      <w:bookmarkStart w:id="32" w:name="_Toc235694641"/>
      <w:r w:rsidRPr="00424987">
        <w:rPr>
          <w:rFonts w:ascii="Arial" w:hAnsi="Arial" w:cs="Arial"/>
          <w:sz w:val="24"/>
          <w:szCs w:val="24"/>
        </w:rPr>
        <w:lastRenderedPageBreak/>
        <w:t>Appendices</w:t>
      </w:r>
      <w:bookmarkEnd w:id="32"/>
    </w:p>
    <w:p w14:paraId="3E012DE9" w14:textId="77777777" w:rsidR="00424987" w:rsidRPr="00424987" w:rsidRDefault="00424987" w:rsidP="00424987">
      <w:pPr>
        <w:pStyle w:val="Heading2"/>
        <w:spacing w:line="360" w:lineRule="auto"/>
        <w:rPr>
          <w:rFonts w:ascii="Arial" w:hAnsi="Arial" w:cs="Arial"/>
          <w:sz w:val="24"/>
          <w:szCs w:val="24"/>
        </w:rPr>
      </w:pPr>
      <w:bookmarkStart w:id="33" w:name="_Toc235694642"/>
      <w:r w:rsidRPr="00424987">
        <w:rPr>
          <w:rFonts w:ascii="Arial" w:hAnsi="Arial" w:cs="Arial"/>
          <w:sz w:val="24"/>
          <w:szCs w:val="24"/>
        </w:rPr>
        <w:t>Appendix A: Selected Five-Year Financial Statements</w:t>
      </w:r>
      <w:bookmarkEnd w:id="33"/>
    </w:p>
    <w:tbl>
      <w:tblPr>
        <w:tblW w:w="9026" w:type="dxa"/>
        <w:tblLook w:val="04A0" w:firstRow="1" w:lastRow="0" w:firstColumn="1" w:lastColumn="0" w:noHBand="0" w:noVBand="1"/>
      </w:tblPr>
      <w:tblGrid>
        <w:gridCol w:w="2806"/>
        <w:gridCol w:w="1335"/>
        <w:gridCol w:w="977"/>
        <w:gridCol w:w="977"/>
        <w:gridCol w:w="977"/>
        <w:gridCol w:w="977"/>
        <w:gridCol w:w="977"/>
      </w:tblGrid>
      <w:tr w:rsidR="00424987" w:rsidRPr="00424987" w14:paraId="1DA29CE0" w14:textId="77777777" w:rsidTr="00424987">
        <w:trPr>
          <w:trHeight w:val="476"/>
        </w:trPr>
        <w:tc>
          <w:tcPr>
            <w:tcW w:w="0" w:type="auto"/>
            <w:gridSpan w:val="7"/>
            <w:tcBorders>
              <w:top w:val="nil"/>
              <w:left w:val="nil"/>
              <w:bottom w:val="nil"/>
              <w:right w:val="nil"/>
            </w:tcBorders>
            <w:shd w:val="clear" w:color="000000" w:fill="17365D"/>
            <w:noWrap/>
            <w:vAlign w:val="center"/>
            <w:hideMark/>
          </w:tcPr>
          <w:p w14:paraId="3D666E4F" w14:textId="73496F29"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 xml:space="preserve">Hilton Worldwide Holdings </w:t>
            </w:r>
            <w:r w:rsidR="005E7FC2" w:rsidRPr="00424987">
              <w:rPr>
                <w:rFonts w:ascii="Arial" w:eastAsia="Times New Roman" w:hAnsi="Arial" w:cs="Arial"/>
                <w:b/>
                <w:bCs/>
                <w:color w:val="FFFFFF"/>
                <w:sz w:val="24"/>
                <w:szCs w:val="24"/>
              </w:rPr>
              <w:t>Inc.</w:t>
            </w:r>
            <w:r w:rsidRPr="00424987">
              <w:rPr>
                <w:rFonts w:ascii="Arial" w:eastAsia="Times New Roman" w:hAnsi="Arial" w:cs="Arial"/>
                <w:b/>
                <w:bCs/>
                <w:color w:val="FFFFFF"/>
                <w:sz w:val="24"/>
                <w:szCs w:val="24"/>
              </w:rPr>
              <w:t xml:space="preserve"> Five-Year Financial Statements</w:t>
            </w:r>
          </w:p>
        </w:tc>
      </w:tr>
      <w:tr w:rsidR="00424987" w:rsidRPr="00424987" w14:paraId="761B7342" w14:textId="77777777" w:rsidTr="00424987">
        <w:trPr>
          <w:trHeight w:val="288"/>
        </w:trPr>
        <w:tc>
          <w:tcPr>
            <w:tcW w:w="0" w:type="auto"/>
            <w:tcBorders>
              <w:top w:val="nil"/>
              <w:left w:val="nil"/>
              <w:bottom w:val="nil"/>
              <w:right w:val="nil"/>
            </w:tcBorders>
            <w:noWrap/>
            <w:vAlign w:val="center"/>
            <w:hideMark/>
          </w:tcPr>
          <w:p w14:paraId="0EBFE225" w14:textId="77777777" w:rsidR="00424987" w:rsidRPr="00424987" w:rsidRDefault="00424987" w:rsidP="00424987">
            <w:pPr>
              <w:spacing w:after="0" w:line="360" w:lineRule="auto"/>
              <w:rPr>
                <w:rFonts w:ascii="Arial" w:eastAsia="Times New Roman" w:hAnsi="Arial" w:cs="Arial"/>
                <w:i/>
                <w:iCs/>
                <w:color w:val="17365D"/>
                <w:sz w:val="24"/>
                <w:szCs w:val="24"/>
              </w:rPr>
            </w:pPr>
          </w:p>
        </w:tc>
        <w:tc>
          <w:tcPr>
            <w:tcW w:w="0" w:type="auto"/>
            <w:tcBorders>
              <w:top w:val="nil"/>
              <w:left w:val="nil"/>
              <w:bottom w:val="nil"/>
              <w:right w:val="nil"/>
            </w:tcBorders>
            <w:noWrap/>
            <w:vAlign w:val="center"/>
            <w:hideMark/>
          </w:tcPr>
          <w:p w14:paraId="72535BC3"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02F43C22"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6EB3943A"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7A4A77E5"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15E682A8"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472F2140"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754C1917" w14:textId="77777777" w:rsidTr="00424987">
        <w:trPr>
          <w:trHeight w:val="288"/>
        </w:trPr>
        <w:tc>
          <w:tcPr>
            <w:tcW w:w="0" w:type="auto"/>
            <w:tcBorders>
              <w:top w:val="nil"/>
              <w:left w:val="nil"/>
              <w:bottom w:val="nil"/>
              <w:right w:val="nil"/>
            </w:tcBorders>
            <w:shd w:val="clear" w:color="000000" w:fill="0B1F33"/>
            <w:vAlign w:val="center"/>
            <w:hideMark/>
          </w:tcPr>
          <w:p w14:paraId="1621911B"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Line item</w:t>
            </w:r>
          </w:p>
        </w:tc>
        <w:tc>
          <w:tcPr>
            <w:tcW w:w="0" w:type="auto"/>
            <w:tcBorders>
              <w:top w:val="nil"/>
              <w:left w:val="nil"/>
              <w:bottom w:val="nil"/>
              <w:right w:val="nil"/>
            </w:tcBorders>
            <w:shd w:val="clear" w:color="000000" w:fill="A6A6A6"/>
            <w:vAlign w:val="center"/>
            <w:hideMark/>
          </w:tcPr>
          <w:p w14:paraId="20C88277"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2020 Opening</w:t>
            </w:r>
          </w:p>
        </w:tc>
        <w:tc>
          <w:tcPr>
            <w:tcW w:w="0" w:type="auto"/>
            <w:tcBorders>
              <w:top w:val="nil"/>
              <w:left w:val="nil"/>
              <w:bottom w:val="nil"/>
              <w:right w:val="nil"/>
            </w:tcBorders>
            <w:shd w:val="clear" w:color="000000" w:fill="0B1F33"/>
            <w:vAlign w:val="center"/>
            <w:hideMark/>
          </w:tcPr>
          <w:p w14:paraId="4741D7E9"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2021</w:t>
            </w:r>
          </w:p>
        </w:tc>
        <w:tc>
          <w:tcPr>
            <w:tcW w:w="0" w:type="auto"/>
            <w:tcBorders>
              <w:top w:val="nil"/>
              <w:left w:val="nil"/>
              <w:bottom w:val="nil"/>
              <w:right w:val="nil"/>
            </w:tcBorders>
            <w:shd w:val="clear" w:color="000000" w:fill="0B1F33"/>
            <w:vAlign w:val="center"/>
            <w:hideMark/>
          </w:tcPr>
          <w:p w14:paraId="4404E6D4"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2022</w:t>
            </w:r>
          </w:p>
        </w:tc>
        <w:tc>
          <w:tcPr>
            <w:tcW w:w="0" w:type="auto"/>
            <w:tcBorders>
              <w:top w:val="nil"/>
              <w:left w:val="nil"/>
              <w:bottom w:val="nil"/>
              <w:right w:val="nil"/>
            </w:tcBorders>
            <w:shd w:val="clear" w:color="000000" w:fill="0B1F33"/>
            <w:vAlign w:val="center"/>
            <w:hideMark/>
          </w:tcPr>
          <w:p w14:paraId="0B181D0C"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2023</w:t>
            </w:r>
          </w:p>
        </w:tc>
        <w:tc>
          <w:tcPr>
            <w:tcW w:w="0" w:type="auto"/>
            <w:tcBorders>
              <w:top w:val="nil"/>
              <w:left w:val="nil"/>
              <w:bottom w:val="nil"/>
              <w:right w:val="nil"/>
            </w:tcBorders>
            <w:shd w:val="clear" w:color="000000" w:fill="0B1F33"/>
            <w:vAlign w:val="center"/>
            <w:hideMark/>
          </w:tcPr>
          <w:p w14:paraId="371F1A85"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2024</w:t>
            </w:r>
          </w:p>
        </w:tc>
        <w:tc>
          <w:tcPr>
            <w:tcW w:w="0" w:type="auto"/>
            <w:tcBorders>
              <w:top w:val="nil"/>
              <w:left w:val="nil"/>
              <w:bottom w:val="nil"/>
              <w:right w:val="nil"/>
            </w:tcBorders>
            <w:shd w:val="clear" w:color="000000" w:fill="0B1F33"/>
            <w:vAlign w:val="center"/>
            <w:hideMark/>
          </w:tcPr>
          <w:p w14:paraId="3F492CE5"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2025</w:t>
            </w:r>
          </w:p>
        </w:tc>
      </w:tr>
      <w:tr w:rsidR="00424987" w:rsidRPr="00424987" w14:paraId="4F3F2A7E" w14:textId="77777777" w:rsidTr="00424987">
        <w:trPr>
          <w:trHeight w:val="288"/>
        </w:trPr>
        <w:tc>
          <w:tcPr>
            <w:tcW w:w="0" w:type="auto"/>
            <w:gridSpan w:val="7"/>
            <w:tcBorders>
              <w:top w:val="nil"/>
              <w:left w:val="nil"/>
              <w:bottom w:val="nil"/>
              <w:right w:val="nil"/>
            </w:tcBorders>
            <w:shd w:val="clear" w:color="000000" w:fill="17365D"/>
            <w:vAlign w:val="center"/>
            <w:hideMark/>
          </w:tcPr>
          <w:p w14:paraId="036B87A3"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INCOME STATEMENT</w:t>
            </w:r>
          </w:p>
        </w:tc>
      </w:tr>
      <w:tr w:rsidR="00424987" w:rsidRPr="00424987" w14:paraId="2B5D39FA" w14:textId="77777777" w:rsidTr="00424987">
        <w:trPr>
          <w:trHeight w:val="288"/>
        </w:trPr>
        <w:tc>
          <w:tcPr>
            <w:tcW w:w="0" w:type="auto"/>
            <w:tcBorders>
              <w:top w:val="nil"/>
              <w:left w:val="nil"/>
              <w:bottom w:val="nil"/>
              <w:right w:val="nil"/>
            </w:tcBorders>
            <w:vAlign w:val="center"/>
            <w:hideMark/>
          </w:tcPr>
          <w:p w14:paraId="454DF90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Franchise and licensing fees</w:t>
            </w:r>
          </w:p>
        </w:tc>
        <w:tc>
          <w:tcPr>
            <w:tcW w:w="0" w:type="auto"/>
            <w:tcBorders>
              <w:top w:val="nil"/>
              <w:left w:val="nil"/>
              <w:bottom w:val="nil"/>
              <w:right w:val="nil"/>
            </w:tcBorders>
            <w:shd w:val="clear" w:color="000000" w:fill="E7E6E6"/>
            <w:noWrap/>
            <w:vAlign w:val="center"/>
            <w:hideMark/>
          </w:tcPr>
          <w:p w14:paraId="5B57E998"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56A95AD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1,493</w:t>
            </w:r>
          </w:p>
        </w:tc>
        <w:tc>
          <w:tcPr>
            <w:tcW w:w="0" w:type="auto"/>
            <w:tcBorders>
              <w:top w:val="nil"/>
              <w:left w:val="nil"/>
              <w:bottom w:val="nil"/>
              <w:right w:val="nil"/>
            </w:tcBorders>
            <w:noWrap/>
            <w:vAlign w:val="center"/>
            <w:hideMark/>
          </w:tcPr>
          <w:p w14:paraId="3A0DBB4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2,068</w:t>
            </w:r>
          </w:p>
        </w:tc>
        <w:tc>
          <w:tcPr>
            <w:tcW w:w="0" w:type="auto"/>
            <w:tcBorders>
              <w:top w:val="nil"/>
              <w:left w:val="nil"/>
              <w:bottom w:val="nil"/>
              <w:right w:val="nil"/>
            </w:tcBorders>
            <w:noWrap/>
            <w:vAlign w:val="center"/>
            <w:hideMark/>
          </w:tcPr>
          <w:p w14:paraId="3BD7355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2,370</w:t>
            </w:r>
          </w:p>
        </w:tc>
        <w:tc>
          <w:tcPr>
            <w:tcW w:w="0" w:type="auto"/>
            <w:tcBorders>
              <w:top w:val="nil"/>
              <w:left w:val="nil"/>
              <w:bottom w:val="nil"/>
              <w:right w:val="nil"/>
            </w:tcBorders>
            <w:noWrap/>
            <w:vAlign w:val="center"/>
            <w:hideMark/>
          </w:tcPr>
          <w:p w14:paraId="4A271A0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2,600</w:t>
            </w:r>
          </w:p>
        </w:tc>
        <w:tc>
          <w:tcPr>
            <w:tcW w:w="0" w:type="auto"/>
            <w:tcBorders>
              <w:top w:val="nil"/>
              <w:left w:val="nil"/>
              <w:bottom w:val="nil"/>
              <w:right w:val="nil"/>
            </w:tcBorders>
            <w:noWrap/>
            <w:vAlign w:val="center"/>
            <w:hideMark/>
          </w:tcPr>
          <w:p w14:paraId="591F932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2,780</w:t>
            </w:r>
          </w:p>
        </w:tc>
      </w:tr>
      <w:tr w:rsidR="00424987" w:rsidRPr="00424987" w14:paraId="100E25BB" w14:textId="77777777" w:rsidTr="00424987">
        <w:trPr>
          <w:trHeight w:val="288"/>
        </w:trPr>
        <w:tc>
          <w:tcPr>
            <w:tcW w:w="0" w:type="auto"/>
            <w:tcBorders>
              <w:top w:val="nil"/>
              <w:left w:val="nil"/>
              <w:bottom w:val="nil"/>
              <w:right w:val="nil"/>
            </w:tcBorders>
            <w:vAlign w:val="center"/>
            <w:hideMark/>
          </w:tcPr>
          <w:p w14:paraId="3285FA7F"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Base and other management fees</w:t>
            </w:r>
          </w:p>
        </w:tc>
        <w:tc>
          <w:tcPr>
            <w:tcW w:w="0" w:type="auto"/>
            <w:tcBorders>
              <w:top w:val="nil"/>
              <w:left w:val="nil"/>
              <w:bottom w:val="nil"/>
              <w:right w:val="nil"/>
            </w:tcBorders>
            <w:shd w:val="clear" w:color="000000" w:fill="E7E6E6"/>
            <w:noWrap/>
            <w:vAlign w:val="center"/>
            <w:hideMark/>
          </w:tcPr>
          <w:p w14:paraId="58E7A956"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4A5821D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176</w:t>
            </w:r>
          </w:p>
        </w:tc>
        <w:tc>
          <w:tcPr>
            <w:tcW w:w="0" w:type="auto"/>
            <w:tcBorders>
              <w:top w:val="nil"/>
              <w:left w:val="nil"/>
              <w:bottom w:val="nil"/>
              <w:right w:val="nil"/>
            </w:tcBorders>
            <w:noWrap/>
            <w:vAlign w:val="center"/>
            <w:hideMark/>
          </w:tcPr>
          <w:p w14:paraId="3217B1B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294</w:t>
            </w:r>
          </w:p>
        </w:tc>
        <w:tc>
          <w:tcPr>
            <w:tcW w:w="0" w:type="auto"/>
            <w:tcBorders>
              <w:top w:val="nil"/>
              <w:left w:val="nil"/>
              <w:bottom w:val="nil"/>
              <w:right w:val="nil"/>
            </w:tcBorders>
            <w:noWrap/>
            <w:vAlign w:val="center"/>
            <w:hideMark/>
          </w:tcPr>
          <w:p w14:paraId="520892B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342</w:t>
            </w:r>
          </w:p>
        </w:tc>
        <w:tc>
          <w:tcPr>
            <w:tcW w:w="0" w:type="auto"/>
            <w:tcBorders>
              <w:top w:val="nil"/>
              <w:left w:val="nil"/>
              <w:bottom w:val="nil"/>
              <w:right w:val="nil"/>
            </w:tcBorders>
            <w:noWrap/>
            <w:vAlign w:val="center"/>
            <w:hideMark/>
          </w:tcPr>
          <w:p w14:paraId="2DF05D6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369</w:t>
            </w:r>
          </w:p>
        </w:tc>
        <w:tc>
          <w:tcPr>
            <w:tcW w:w="0" w:type="auto"/>
            <w:tcBorders>
              <w:top w:val="nil"/>
              <w:left w:val="nil"/>
              <w:bottom w:val="nil"/>
              <w:right w:val="nil"/>
            </w:tcBorders>
            <w:noWrap/>
            <w:vAlign w:val="center"/>
            <w:hideMark/>
          </w:tcPr>
          <w:p w14:paraId="793C0EB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376</w:t>
            </w:r>
          </w:p>
        </w:tc>
      </w:tr>
      <w:tr w:rsidR="00424987" w:rsidRPr="00424987" w14:paraId="6D55917B" w14:textId="77777777" w:rsidTr="00424987">
        <w:trPr>
          <w:trHeight w:val="288"/>
        </w:trPr>
        <w:tc>
          <w:tcPr>
            <w:tcW w:w="0" w:type="auto"/>
            <w:tcBorders>
              <w:top w:val="nil"/>
              <w:left w:val="nil"/>
              <w:bottom w:val="nil"/>
              <w:right w:val="nil"/>
            </w:tcBorders>
            <w:vAlign w:val="center"/>
            <w:hideMark/>
          </w:tcPr>
          <w:p w14:paraId="09CA2BE9"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Incentive management fees</w:t>
            </w:r>
          </w:p>
        </w:tc>
        <w:tc>
          <w:tcPr>
            <w:tcW w:w="0" w:type="auto"/>
            <w:tcBorders>
              <w:top w:val="nil"/>
              <w:left w:val="nil"/>
              <w:bottom w:val="nil"/>
              <w:right w:val="nil"/>
            </w:tcBorders>
            <w:shd w:val="clear" w:color="000000" w:fill="E7E6E6"/>
            <w:noWrap/>
            <w:vAlign w:val="center"/>
            <w:hideMark/>
          </w:tcPr>
          <w:p w14:paraId="2C034D3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15B6A42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98</w:t>
            </w:r>
          </w:p>
        </w:tc>
        <w:tc>
          <w:tcPr>
            <w:tcW w:w="0" w:type="auto"/>
            <w:tcBorders>
              <w:top w:val="nil"/>
              <w:left w:val="nil"/>
              <w:bottom w:val="nil"/>
              <w:right w:val="nil"/>
            </w:tcBorders>
            <w:noWrap/>
            <w:vAlign w:val="center"/>
            <w:hideMark/>
          </w:tcPr>
          <w:p w14:paraId="1AC35BB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196</w:t>
            </w:r>
          </w:p>
        </w:tc>
        <w:tc>
          <w:tcPr>
            <w:tcW w:w="0" w:type="auto"/>
            <w:tcBorders>
              <w:top w:val="nil"/>
              <w:left w:val="nil"/>
              <w:bottom w:val="nil"/>
              <w:right w:val="nil"/>
            </w:tcBorders>
            <w:noWrap/>
            <w:vAlign w:val="center"/>
            <w:hideMark/>
          </w:tcPr>
          <w:p w14:paraId="53A200C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274</w:t>
            </w:r>
          </w:p>
        </w:tc>
        <w:tc>
          <w:tcPr>
            <w:tcW w:w="0" w:type="auto"/>
            <w:tcBorders>
              <w:top w:val="nil"/>
              <w:left w:val="nil"/>
              <w:bottom w:val="nil"/>
              <w:right w:val="nil"/>
            </w:tcBorders>
            <w:noWrap/>
            <w:vAlign w:val="center"/>
            <w:hideMark/>
          </w:tcPr>
          <w:p w14:paraId="09058E5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290</w:t>
            </w:r>
          </w:p>
        </w:tc>
        <w:tc>
          <w:tcPr>
            <w:tcW w:w="0" w:type="auto"/>
            <w:tcBorders>
              <w:top w:val="nil"/>
              <w:left w:val="nil"/>
              <w:bottom w:val="nil"/>
              <w:right w:val="nil"/>
            </w:tcBorders>
            <w:noWrap/>
            <w:vAlign w:val="center"/>
            <w:hideMark/>
          </w:tcPr>
          <w:p w14:paraId="35327F9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313</w:t>
            </w:r>
          </w:p>
        </w:tc>
      </w:tr>
      <w:tr w:rsidR="00424987" w:rsidRPr="00424987" w14:paraId="46C1907A" w14:textId="77777777" w:rsidTr="00424987">
        <w:trPr>
          <w:trHeight w:val="288"/>
        </w:trPr>
        <w:tc>
          <w:tcPr>
            <w:tcW w:w="0" w:type="auto"/>
            <w:tcBorders>
              <w:top w:val="nil"/>
              <w:left w:val="nil"/>
              <w:bottom w:val="nil"/>
              <w:right w:val="nil"/>
            </w:tcBorders>
            <w:vAlign w:val="center"/>
            <w:hideMark/>
          </w:tcPr>
          <w:p w14:paraId="06BAFC6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Ownership / owned and leased hotel revenue</w:t>
            </w:r>
          </w:p>
        </w:tc>
        <w:tc>
          <w:tcPr>
            <w:tcW w:w="0" w:type="auto"/>
            <w:tcBorders>
              <w:top w:val="nil"/>
              <w:left w:val="nil"/>
              <w:bottom w:val="nil"/>
              <w:right w:val="nil"/>
            </w:tcBorders>
            <w:shd w:val="clear" w:color="000000" w:fill="E7E6E6"/>
            <w:noWrap/>
            <w:vAlign w:val="center"/>
            <w:hideMark/>
          </w:tcPr>
          <w:p w14:paraId="4E725B87"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142E2EE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598</w:t>
            </w:r>
          </w:p>
        </w:tc>
        <w:tc>
          <w:tcPr>
            <w:tcW w:w="0" w:type="auto"/>
            <w:tcBorders>
              <w:top w:val="nil"/>
              <w:left w:val="nil"/>
              <w:bottom w:val="nil"/>
              <w:right w:val="nil"/>
            </w:tcBorders>
            <w:noWrap/>
            <w:vAlign w:val="center"/>
            <w:hideMark/>
          </w:tcPr>
          <w:p w14:paraId="4AC9F3C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1,076</w:t>
            </w:r>
          </w:p>
        </w:tc>
        <w:tc>
          <w:tcPr>
            <w:tcW w:w="0" w:type="auto"/>
            <w:tcBorders>
              <w:top w:val="nil"/>
              <w:left w:val="nil"/>
              <w:bottom w:val="nil"/>
              <w:right w:val="nil"/>
            </w:tcBorders>
            <w:noWrap/>
            <w:vAlign w:val="center"/>
            <w:hideMark/>
          </w:tcPr>
          <w:p w14:paraId="4099613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1,244</w:t>
            </w:r>
          </w:p>
        </w:tc>
        <w:tc>
          <w:tcPr>
            <w:tcW w:w="0" w:type="auto"/>
            <w:tcBorders>
              <w:top w:val="nil"/>
              <w:left w:val="nil"/>
              <w:bottom w:val="nil"/>
              <w:right w:val="nil"/>
            </w:tcBorders>
            <w:noWrap/>
            <w:vAlign w:val="center"/>
            <w:hideMark/>
          </w:tcPr>
          <w:p w14:paraId="57348CD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1,255</w:t>
            </w:r>
          </w:p>
        </w:tc>
        <w:tc>
          <w:tcPr>
            <w:tcW w:w="0" w:type="auto"/>
            <w:tcBorders>
              <w:top w:val="nil"/>
              <w:left w:val="nil"/>
              <w:bottom w:val="nil"/>
              <w:right w:val="nil"/>
            </w:tcBorders>
            <w:noWrap/>
            <w:vAlign w:val="center"/>
            <w:hideMark/>
          </w:tcPr>
          <w:p w14:paraId="160B337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1,233</w:t>
            </w:r>
          </w:p>
        </w:tc>
      </w:tr>
      <w:tr w:rsidR="00424987" w:rsidRPr="00424987" w14:paraId="0159D749" w14:textId="77777777" w:rsidTr="00424987">
        <w:trPr>
          <w:trHeight w:val="288"/>
        </w:trPr>
        <w:tc>
          <w:tcPr>
            <w:tcW w:w="0" w:type="auto"/>
            <w:tcBorders>
              <w:top w:val="nil"/>
              <w:left w:val="nil"/>
              <w:bottom w:val="nil"/>
              <w:right w:val="nil"/>
            </w:tcBorders>
            <w:vAlign w:val="center"/>
            <w:hideMark/>
          </w:tcPr>
          <w:p w14:paraId="0AD08006"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Other revenue</w:t>
            </w:r>
          </w:p>
        </w:tc>
        <w:tc>
          <w:tcPr>
            <w:tcW w:w="0" w:type="auto"/>
            <w:tcBorders>
              <w:top w:val="nil"/>
              <w:left w:val="nil"/>
              <w:bottom w:val="nil"/>
              <w:right w:val="nil"/>
            </w:tcBorders>
            <w:shd w:val="clear" w:color="000000" w:fill="E7E6E6"/>
            <w:noWrap/>
            <w:vAlign w:val="center"/>
            <w:hideMark/>
          </w:tcPr>
          <w:p w14:paraId="7BCC28A3"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623FF9D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79</w:t>
            </w:r>
          </w:p>
        </w:tc>
        <w:tc>
          <w:tcPr>
            <w:tcW w:w="0" w:type="auto"/>
            <w:tcBorders>
              <w:top w:val="nil"/>
              <w:left w:val="nil"/>
              <w:bottom w:val="nil"/>
              <w:right w:val="nil"/>
            </w:tcBorders>
            <w:noWrap/>
            <w:vAlign w:val="center"/>
            <w:hideMark/>
          </w:tcPr>
          <w:p w14:paraId="4B60741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102</w:t>
            </w:r>
          </w:p>
        </w:tc>
        <w:tc>
          <w:tcPr>
            <w:tcW w:w="0" w:type="auto"/>
            <w:tcBorders>
              <w:top w:val="nil"/>
              <w:left w:val="nil"/>
              <w:bottom w:val="nil"/>
              <w:right w:val="nil"/>
            </w:tcBorders>
            <w:noWrap/>
            <w:vAlign w:val="center"/>
            <w:hideMark/>
          </w:tcPr>
          <w:p w14:paraId="4E51642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178</w:t>
            </w:r>
          </w:p>
        </w:tc>
        <w:tc>
          <w:tcPr>
            <w:tcW w:w="0" w:type="auto"/>
            <w:tcBorders>
              <w:top w:val="nil"/>
              <w:left w:val="nil"/>
              <w:bottom w:val="nil"/>
              <w:right w:val="nil"/>
            </w:tcBorders>
            <w:noWrap/>
            <w:vAlign w:val="center"/>
            <w:hideMark/>
          </w:tcPr>
          <w:p w14:paraId="237CEE7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232</w:t>
            </w:r>
          </w:p>
        </w:tc>
        <w:tc>
          <w:tcPr>
            <w:tcW w:w="0" w:type="auto"/>
            <w:tcBorders>
              <w:top w:val="nil"/>
              <w:left w:val="nil"/>
              <w:bottom w:val="nil"/>
              <w:right w:val="nil"/>
            </w:tcBorders>
            <w:noWrap/>
            <w:vAlign w:val="center"/>
            <w:hideMark/>
          </w:tcPr>
          <w:p w14:paraId="0AD3FB3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252</w:t>
            </w:r>
          </w:p>
        </w:tc>
      </w:tr>
      <w:tr w:rsidR="00424987" w:rsidRPr="00424987" w14:paraId="7980AB47" w14:textId="77777777" w:rsidTr="00424987">
        <w:trPr>
          <w:trHeight w:val="288"/>
        </w:trPr>
        <w:tc>
          <w:tcPr>
            <w:tcW w:w="0" w:type="auto"/>
            <w:tcBorders>
              <w:top w:val="single" w:sz="4" w:space="0" w:color="17365D"/>
              <w:left w:val="nil"/>
              <w:bottom w:val="nil"/>
              <w:right w:val="nil"/>
            </w:tcBorders>
            <w:vAlign w:val="center"/>
            <w:hideMark/>
          </w:tcPr>
          <w:p w14:paraId="6EA4BE9E"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Core revenue subtotal</w:t>
            </w:r>
          </w:p>
        </w:tc>
        <w:tc>
          <w:tcPr>
            <w:tcW w:w="0" w:type="auto"/>
            <w:tcBorders>
              <w:top w:val="single" w:sz="4" w:space="0" w:color="17365D"/>
              <w:left w:val="nil"/>
              <w:bottom w:val="nil"/>
              <w:right w:val="nil"/>
            </w:tcBorders>
            <w:shd w:val="clear" w:color="000000" w:fill="E7E6E6"/>
            <w:noWrap/>
            <w:vAlign w:val="center"/>
            <w:hideMark/>
          </w:tcPr>
          <w:p w14:paraId="4131AEF5"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single" w:sz="4" w:space="0" w:color="17365D"/>
              <w:left w:val="nil"/>
              <w:bottom w:val="nil"/>
              <w:right w:val="nil"/>
            </w:tcBorders>
            <w:noWrap/>
            <w:vAlign w:val="center"/>
            <w:hideMark/>
          </w:tcPr>
          <w:p w14:paraId="2A11C040"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2,444</w:t>
            </w:r>
          </w:p>
        </w:tc>
        <w:tc>
          <w:tcPr>
            <w:tcW w:w="0" w:type="auto"/>
            <w:tcBorders>
              <w:top w:val="single" w:sz="4" w:space="0" w:color="17365D"/>
              <w:left w:val="nil"/>
              <w:bottom w:val="nil"/>
              <w:right w:val="nil"/>
            </w:tcBorders>
            <w:noWrap/>
            <w:vAlign w:val="center"/>
            <w:hideMark/>
          </w:tcPr>
          <w:p w14:paraId="06092986"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3,736</w:t>
            </w:r>
          </w:p>
        </w:tc>
        <w:tc>
          <w:tcPr>
            <w:tcW w:w="0" w:type="auto"/>
            <w:tcBorders>
              <w:top w:val="single" w:sz="4" w:space="0" w:color="17365D"/>
              <w:left w:val="nil"/>
              <w:bottom w:val="nil"/>
              <w:right w:val="nil"/>
            </w:tcBorders>
            <w:noWrap/>
            <w:vAlign w:val="center"/>
            <w:hideMark/>
          </w:tcPr>
          <w:p w14:paraId="288ABE1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4,408</w:t>
            </w:r>
          </w:p>
        </w:tc>
        <w:tc>
          <w:tcPr>
            <w:tcW w:w="0" w:type="auto"/>
            <w:tcBorders>
              <w:top w:val="single" w:sz="4" w:space="0" w:color="17365D"/>
              <w:left w:val="nil"/>
              <w:bottom w:val="nil"/>
              <w:right w:val="nil"/>
            </w:tcBorders>
            <w:noWrap/>
            <w:vAlign w:val="center"/>
            <w:hideMark/>
          </w:tcPr>
          <w:p w14:paraId="6DAB4BF9"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4,746</w:t>
            </w:r>
          </w:p>
        </w:tc>
        <w:tc>
          <w:tcPr>
            <w:tcW w:w="0" w:type="auto"/>
            <w:tcBorders>
              <w:top w:val="single" w:sz="4" w:space="0" w:color="17365D"/>
              <w:left w:val="nil"/>
              <w:bottom w:val="nil"/>
              <w:right w:val="nil"/>
            </w:tcBorders>
            <w:noWrap/>
            <w:vAlign w:val="center"/>
            <w:hideMark/>
          </w:tcPr>
          <w:p w14:paraId="5F8E8491"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4,954</w:t>
            </w:r>
          </w:p>
        </w:tc>
      </w:tr>
      <w:tr w:rsidR="00424987" w:rsidRPr="00424987" w14:paraId="68BFB0AD" w14:textId="77777777" w:rsidTr="00424987">
        <w:trPr>
          <w:trHeight w:val="288"/>
        </w:trPr>
        <w:tc>
          <w:tcPr>
            <w:tcW w:w="0" w:type="auto"/>
            <w:tcBorders>
              <w:top w:val="nil"/>
              <w:left w:val="nil"/>
              <w:bottom w:val="nil"/>
              <w:right w:val="nil"/>
            </w:tcBorders>
            <w:vAlign w:val="center"/>
            <w:hideMark/>
          </w:tcPr>
          <w:p w14:paraId="5837C59E"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Cost reimbursement revenue</w:t>
            </w:r>
          </w:p>
        </w:tc>
        <w:tc>
          <w:tcPr>
            <w:tcW w:w="0" w:type="auto"/>
            <w:tcBorders>
              <w:top w:val="nil"/>
              <w:left w:val="nil"/>
              <w:bottom w:val="nil"/>
              <w:right w:val="nil"/>
            </w:tcBorders>
            <w:shd w:val="clear" w:color="000000" w:fill="E7E6E6"/>
            <w:noWrap/>
            <w:vAlign w:val="center"/>
            <w:hideMark/>
          </w:tcPr>
          <w:p w14:paraId="6EA51DEE"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nil"/>
              <w:left w:val="nil"/>
              <w:bottom w:val="nil"/>
              <w:right w:val="nil"/>
            </w:tcBorders>
            <w:noWrap/>
            <w:vAlign w:val="center"/>
            <w:hideMark/>
          </w:tcPr>
          <w:p w14:paraId="4F7A2401"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3,344</w:t>
            </w:r>
          </w:p>
        </w:tc>
        <w:tc>
          <w:tcPr>
            <w:tcW w:w="0" w:type="auto"/>
            <w:tcBorders>
              <w:top w:val="nil"/>
              <w:left w:val="nil"/>
              <w:bottom w:val="nil"/>
              <w:right w:val="nil"/>
            </w:tcBorders>
            <w:noWrap/>
            <w:vAlign w:val="center"/>
            <w:hideMark/>
          </w:tcPr>
          <w:p w14:paraId="1BC40D9C"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5,037</w:t>
            </w:r>
          </w:p>
        </w:tc>
        <w:tc>
          <w:tcPr>
            <w:tcW w:w="0" w:type="auto"/>
            <w:tcBorders>
              <w:top w:val="nil"/>
              <w:left w:val="nil"/>
              <w:bottom w:val="nil"/>
              <w:right w:val="nil"/>
            </w:tcBorders>
            <w:noWrap/>
            <w:vAlign w:val="center"/>
            <w:hideMark/>
          </w:tcPr>
          <w:p w14:paraId="4B4AEBF1"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5,827</w:t>
            </w:r>
          </w:p>
        </w:tc>
        <w:tc>
          <w:tcPr>
            <w:tcW w:w="0" w:type="auto"/>
            <w:tcBorders>
              <w:top w:val="nil"/>
              <w:left w:val="nil"/>
              <w:bottom w:val="nil"/>
              <w:right w:val="nil"/>
            </w:tcBorders>
            <w:noWrap/>
            <w:vAlign w:val="center"/>
            <w:hideMark/>
          </w:tcPr>
          <w:p w14:paraId="144A6754"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6,428</w:t>
            </w:r>
          </w:p>
        </w:tc>
        <w:tc>
          <w:tcPr>
            <w:tcW w:w="0" w:type="auto"/>
            <w:tcBorders>
              <w:top w:val="nil"/>
              <w:left w:val="nil"/>
              <w:bottom w:val="nil"/>
              <w:right w:val="nil"/>
            </w:tcBorders>
            <w:noWrap/>
            <w:vAlign w:val="center"/>
            <w:hideMark/>
          </w:tcPr>
          <w:p w14:paraId="056AAEC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7,085</w:t>
            </w:r>
          </w:p>
        </w:tc>
      </w:tr>
      <w:tr w:rsidR="00424987" w:rsidRPr="00424987" w14:paraId="21D9191D" w14:textId="77777777" w:rsidTr="00424987">
        <w:trPr>
          <w:trHeight w:val="288"/>
        </w:trPr>
        <w:tc>
          <w:tcPr>
            <w:tcW w:w="0" w:type="auto"/>
            <w:tcBorders>
              <w:top w:val="single" w:sz="4" w:space="0" w:color="17365D"/>
              <w:left w:val="nil"/>
              <w:bottom w:val="nil"/>
              <w:right w:val="nil"/>
            </w:tcBorders>
            <w:vAlign w:val="center"/>
            <w:hideMark/>
          </w:tcPr>
          <w:p w14:paraId="1CE9D962"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Total revenue</w:t>
            </w:r>
          </w:p>
        </w:tc>
        <w:tc>
          <w:tcPr>
            <w:tcW w:w="0" w:type="auto"/>
            <w:tcBorders>
              <w:top w:val="single" w:sz="4" w:space="0" w:color="17365D"/>
              <w:left w:val="nil"/>
              <w:bottom w:val="nil"/>
              <w:right w:val="nil"/>
            </w:tcBorders>
            <w:shd w:val="clear" w:color="000000" w:fill="E7E6E6"/>
            <w:noWrap/>
            <w:vAlign w:val="center"/>
            <w:hideMark/>
          </w:tcPr>
          <w:p w14:paraId="524533BB"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single" w:sz="4" w:space="0" w:color="17365D"/>
              <w:left w:val="nil"/>
              <w:bottom w:val="nil"/>
              <w:right w:val="nil"/>
            </w:tcBorders>
            <w:noWrap/>
            <w:vAlign w:val="center"/>
            <w:hideMark/>
          </w:tcPr>
          <w:p w14:paraId="43DE7070"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5,788</w:t>
            </w:r>
          </w:p>
        </w:tc>
        <w:tc>
          <w:tcPr>
            <w:tcW w:w="0" w:type="auto"/>
            <w:tcBorders>
              <w:top w:val="single" w:sz="4" w:space="0" w:color="17365D"/>
              <w:left w:val="nil"/>
              <w:bottom w:val="nil"/>
              <w:right w:val="nil"/>
            </w:tcBorders>
            <w:noWrap/>
            <w:vAlign w:val="center"/>
            <w:hideMark/>
          </w:tcPr>
          <w:p w14:paraId="478C5AEB"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8,773</w:t>
            </w:r>
          </w:p>
        </w:tc>
        <w:tc>
          <w:tcPr>
            <w:tcW w:w="0" w:type="auto"/>
            <w:tcBorders>
              <w:top w:val="single" w:sz="4" w:space="0" w:color="17365D"/>
              <w:left w:val="nil"/>
              <w:bottom w:val="nil"/>
              <w:right w:val="nil"/>
            </w:tcBorders>
            <w:noWrap/>
            <w:vAlign w:val="center"/>
            <w:hideMark/>
          </w:tcPr>
          <w:p w14:paraId="6E88C83A"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10,235</w:t>
            </w:r>
          </w:p>
        </w:tc>
        <w:tc>
          <w:tcPr>
            <w:tcW w:w="0" w:type="auto"/>
            <w:tcBorders>
              <w:top w:val="single" w:sz="4" w:space="0" w:color="17365D"/>
              <w:left w:val="nil"/>
              <w:bottom w:val="nil"/>
              <w:right w:val="nil"/>
            </w:tcBorders>
            <w:noWrap/>
            <w:vAlign w:val="center"/>
            <w:hideMark/>
          </w:tcPr>
          <w:p w14:paraId="107657A1"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11,174</w:t>
            </w:r>
          </w:p>
        </w:tc>
        <w:tc>
          <w:tcPr>
            <w:tcW w:w="0" w:type="auto"/>
            <w:tcBorders>
              <w:top w:val="single" w:sz="4" w:space="0" w:color="17365D"/>
              <w:left w:val="nil"/>
              <w:bottom w:val="nil"/>
              <w:right w:val="nil"/>
            </w:tcBorders>
            <w:noWrap/>
            <w:vAlign w:val="center"/>
            <w:hideMark/>
          </w:tcPr>
          <w:p w14:paraId="270C6706"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12,039</w:t>
            </w:r>
          </w:p>
        </w:tc>
      </w:tr>
      <w:tr w:rsidR="00424987" w:rsidRPr="00424987" w14:paraId="4B8E5842" w14:textId="77777777" w:rsidTr="00424987">
        <w:trPr>
          <w:trHeight w:val="288"/>
        </w:trPr>
        <w:tc>
          <w:tcPr>
            <w:tcW w:w="0" w:type="auto"/>
            <w:tcBorders>
              <w:top w:val="nil"/>
              <w:left w:val="nil"/>
              <w:bottom w:val="nil"/>
              <w:right w:val="nil"/>
            </w:tcBorders>
            <w:vAlign w:val="center"/>
            <w:hideMark/>
          </w:tcPr>
          <w:p w14:paraId="20A52F66" w14:textId="77777777" w:rsidR="00424987" w:rsidRPr="00424987" w:rsidRDefault="00424987" w:rsidP="00424987">
            <w:pPr>
              <w:spacing w:after="0" w:line="360" w:lineRule="auto"/>
              <w:jc w:val="right"/>
              <w:rPr>
                <w:rFonts w:ascii="Arial" w:eastAsia="Times New Roman" w:hAnsi="Arial" w:cs="Arial"/>
                <w:b/>
                <w:bCs/>
                <w:color w:val="000000"/>
                <w:sz w:val="24"/>
                <w:szCs w:val="24"/>
              </w:rPr>
            </w:pPr>
          </w:p>
        </w:tc>
        <w:tc>
          <w:tcPr>
            <w:tcW w:w="0" w:type="auto"/>
            <w:tcBorders>
              <w:top w:val="nil"/>
              <w:left w:val="nil"/>
              <w:bottom w:val="nil"/>
              <w:right w:val="nil"/>
            </w:tcBorders>
            <w:shd w:val="clear" w:color="000000" w:fill="E7E6E6"/>
            <w:noWrap/>
            <w:vAlign w:val="center"/>
            <w:hideMark/>
          </w:tcPr>
          <w:p w14:paraId="7C1828EE"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45E71A3D"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c>
          <w:tcPr>
            <w:tcW w:w="0" w:type="auto"/>
            <w:tcBorders>
              <w:top w:val="nil"/>
              <w:left w:val="nil"/>
              <w:bottom w:val="nil"/>
              <w:right w:val="nil"/>
            </w:tcBorders>
            <w:noWrap/>
            <w:vAlign w:val="center"/>
            <w:hideMark/>
          </w:tcPr>
          <w:p w14:paraId="4DE65FAA"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c>
          <w:tcPr>
            <w:tcW w:w="0" w:type="auto"/>
            <w:tcBorders>
              <w:top w:val="nil"/>
              <w:left w:val="nil"/>
              <w:bottom w:val="nil"/>
              <w:right w:val="nil"/>
            </w:tcBorders>
            <w:noWrap/>
            <w:vAlign w:val="center"/>
            <w:hideMark/>
          </w:tcPr>
          <w:p w14:paraId="19F0DDDE"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c>
          <w:tcPr>
            <w:tcW w:w="0" w:type="auto"/>
            <w:tcBorders>
              <w:top w:val="nil"/>
              <w:left w:val="nil"/>
              <w:bottom w:val="nil"/>
              <w:right w:val="nil"/>
            </w:tcBorders>
            <w:noWrap/>
            <w:vAlign w:val="center"/>
            <w:hideMark/>
          </w:tcPr>
          <w:p w14:paraId="487C50B6"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c>
          <w:tcPr>
            <w:tcW w:w="0" w:type="auto"/>
            <w:tcBorders>
              <w:top w:val="nil"/>
              <w:left w:val="nil"/>
              <w:bottom w:val="nil"/>
              <w:right w:val="nil"/>
            </w:tcBorders>
            <w:noWrap/>
            <w:vAlign w:val="center"/>
            <w:hideMark/>
          </w:tcPr>
          <w:p w14:paraId="64311F65"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r>
      <w:tr w:rsidR="00424987" w:rsidRPr="00424987" w14:paraId="71700270" w14:textId="77777777" w:rsidTr="00424987">
        <w:trPr>
          <w:trHeight w:val="288"/>
        </w:trPr>
        <w:tc>
          <w:tcPr>
            <w:tcW w:w="0" w:type="auto"/>
            <w:tcBorders>
              <w:top w:val="nil"/>
              <w:left w:val="nil"/>
              <w:bottom w:val="nil"/>
              <w:right w:val="nil"/>
            </w:tcBorders>
            <w:vAlign w:val="center"/>
            <w:hideMark/>
          </w:tcPr>
          <w:p w14:paraId="2EDCAB67"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shd w:val="clear" w:color="000000" w:fill="E7E6E6"/>
            <w:noWrap/>
            <w:vAlign w:val="center"/>
            <w:hideMark/>
          </w:tcPr>
          <w:p w14:paraId="62A85692"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6F0E1C2B"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c>
          <w:tcPr>
            <w:tcW w:w="0" w:type="auto"/>
            <w:tcBorders>
              <w:top w:val="nil"/>
              <w:left w:val="nil"/>
              <w:bottom w:val="nil"/>
              <w:right w:val="nil"/>
            </w:tcBorders>
            <w:noWrap/>
            <w:vAlign w:val="center"/>
            <w:hideMark/>
          </w:tcPr>
          <w:p w14:paraId="0B5B8480"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c>
          <w:tcPr>
            <w:tcW w:w="0" w:type="auto"/>
            <w:tcBorders>
              <w:top w:val="nil"/>
              <w:left w:val="nil"/>
              <w:bottom w:val="nil"/>
              <w:right w:val="nil"/>
            </w:tcBorders>
            <w:noWrap/>
            <w:vAlign w:val="center"/>
            <w:hideMark/>
          </w:tcPr>
          <w:p w14:paraId="50F6E51C"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c>
          <w:tcPr>
            <w:tcW w:w="0" w:type="auto"/>
            <w:tcBorders>
              <w:top w:val="nil"/>
              <w:left w:val="nil"/>
              <w:bottom w:val="nil"/>
              <w:right w:val="nil"/>
            </w:tcBorders>
            <w:noWrap/>
            <w:vAlign w:val="center"/>
            <w:hideMark/>
          </w:tcPr>
          <w:p w14:paraId="2AC04F5F"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c>
          <w:tcPr>
            <w:tcW w:w="0" w:type="auto"/>
            <w:tcBorders>
              <w:top w:val="nil"/>
              <w:left w:val="nil"/>
              <w:bottom w:val="nil"/>
              <w:right w:val="nil"/>
            </w:tcBorders>
            <w:noWrap/>
            <w:vAlign w:val="center"/>
            <w:hideMark/>
          </w:tcPr>
          <w:p w14:paraId="2EB1AE14" w14:textId="77777777" w:rsidR="00424987" w:rsidRPr="002C17CC" w:rsidRDefault="00424987" w:rsidP="00424987">
            <w:pPr>
              <w:spacing w:after="0" w:line="360" w:lineRule="auto"/>
              <w:rPr>
                <w:rFonts w:ascii="Arial" w:eastAsia="Times New Roman" w:hAnsi="Arial" w:cs="Arial"/>
                <w:color w:val="000000" w:themeColor="text1"/>
                <w:sz w:val="24"/>
                <w:szCs w:val="24"/>
              </w:rPr>
            </w:pPr>
          </w:p>
        </w:tc>
      </w:tr>
      <w:tr w:rsidR="00424987" w:rsidRPr="00424987" w14:paraId="05D31B74" w14:textId="77777777" w:rsidTr="00424987">
        <w:trPr>
          <w:trHeight w:val="288"/>
        </w:trPr>
        <w:tc>
          <w:tcPr>
            <w:tcW w:w="0" w:type="auto"/>
            <w:tcBorders>
              <w:top w:val="nil"/>
              <w:left w:val="nil"/>
              <w:bottom w:val="nil"/>
              <w:right w:val="nil"/>
            </w:tcBorders>
            <w:vAlign w:val="center"/>
            <w:hideMark/>
          </w:tcPr>
          <w:p w14:paraId="711A8655"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Ownership / owned and leased hotel expense</w:t>
            </w:r>
          </w:p>
        </w:tc>
        <w:tc>
          <w:tcPr>
            <w:tcW w:w="0" w:type="auto"/>
            <w:tcBorders>
              <w:top w:val="nil"/>
              <w:left w:val="nil"/>
              <w:bottom w:val="nil"/>
              <w:right w:val="nil"/>
            </w:tcBorders>
            <w:shd w:val="clear" w:color="000000" w:fill="E7E6E6"/>
            <w:noWrap/>
            <w:vAlign w:val="center"/>
            <w:hideMark/>
          </w:tcPr>
          <w:p w14:paraId="21A070A1"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230D8CC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679</w:t>
            </w:r>
          </w:p>
        </w:tc>
        <w:tc>
          <w:tcPr>
            <w:tcW w:w="0" w:type="auto"/>
            <w:tcBorders>
              <w:top w:val="nil"/>
              <w:left w:val="nil"/>
              <w:bottom w:val="nil"/>
              <w:right w:val="nil"/>
            </w:tcBorders>
            <w:noWrap/>
            <w:vAlign w:val="center"/>
            <w:hideMark/>
          </w:tcPr>
          <w:p w14:paraId="59DF9D2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999</w:t>
            </w:r>
          </w:p>
        </w:tc>
        <w:tc>
          <w:tcPr>
            <w:tcW w:w="0" w:type="auto"/>
            <w:tcBorders>
              <w:top w:val="nil"/>
              <w:left w:val="nil"/>
              <w:bottom w:val="nil"/>
              <w:right w:val="nil"/>
            </w:tcBorders>
            <w:noWrap/>
            <w:vAlign w:val="center"/>
            <w:hideMark/>
          </w:tcPr>
          <w:p w14:paraId="729C53E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1,141</w:t>
            </w:r>
          </w:p>
        </w:tc>
        <w:tc>
          <w:tcPr>
            <w:tcW w:w="0" w:type="auto"/>
            <w:tcBorders>
              <w:top w:val="nil"/>
              <w:left w:val="nil"/>
              <w:bottom w:val="nil"/>
              <w:right w:val="nil"/>
            </w:tcBorders>
            <w:noWrap/>
            <w:vAlign w:val="center"/>
            <w:hideMark/>
          </w:tcPr>
          <w:p w14:paraId="724BBF5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1,126</w:t>
            </w:r>
          </w:p>
        </w:tc>
        <w:tc>
          <w:tcPr>
            <w:tcW w:w="0" w:type="auto"/>
            <w:tcBorders>
              <w:top w:val="nil"/>
              <w:left w:val="nil"/>
              <w:bottom w:val="nil"/>
              <w:right w:val="nil"/>
            </w:tcBorders>
            <w:noWrap/>
            <w:vAlign w:val="center"/>
            <w:hideMark/>
          </w:tcPr>
          <w:p w14:paraId="5EF8B20A"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1,094</w:t>
            </w:r>
          </w:p>
        </w:tc>
      </w:tr>
      <w:tr w:rsidR="00424987" w:rsidRPr="00424987" w14:paraId="762A9B07" w14:textId="77777777" w:rsidTr="00424987">
        <w:trPr>
          <w:trHeight w:val="288"/>
        </w:trPr>
        <w:tc>
          <w:tcPr>
            <w:tcW w:w="0" w:type="auto"/>
            <w:tcBorders>
              <w:top w:val="nil"/>
              <w:left w:val="nil"/>
              <w:bottom w:val="nil"/>
              <w:right w:val="nil"/>
            </w:tcBorders>
            <w:vAlign w:val="center"/>
            <w:hideMark/>
          </w:tcPr>
          <w:p w14:paraId="0ED0E13F"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xml:space="preserve">Depreciation and </w:t>
            </w:r>
            <w:proofErr w:type="spellStart"/>
            <w:r w:rsidRPr="00424987">
              <w:rPr>
                <w:rFonts w:ascii="Arial" w:eastAsia="Times New Roman" w:hAnsi="Arial" w:cs="Arial"/>
                <w:sz w:val="24"/>
                <w:szCs w:val="24"/>
              </w:rPr>
              <w:t>amortisation</w:t>
            </w:r>
            <w:proofErr w:type="spellEnd"/>
          </w:p>
        </w:tc>
        <w:tc>
          <w:tcPr>
            <w:tcW w:w="0" w:type="auto"/>
            <w:tcBorders>
              <w:top w:val="nil"/>
              <w:left w:val="nil"/>
              <w:bottom w:val="nil"/>
              <w:right w:val="nil"/>
            </w:tcBorders>
            <w:shd w:val="clear" w:color="000000" w:fill="E7E6E6"/>
            <w:noWrap/>
            <w:vAlign w:val="center"/>
            <w:hideMark/>
          </w:tcPr>
          <w:p w14:paraId="7E5DF8E3"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762215D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188</w:t>
            </w:r>
          </w:p>
        </w:tc>
        <w:tc>
          <w:tcPr>
            <w:tcW w:w="0" w:type="auto"/>
            <w:tcBorders>
              <w:top w:val="nil"/>
              <w:left w:val="nil"/>
              <w:bottom w:val="nil"/>
              <w:right w:val="nil"/>
            </w:tcBorders>
            <w:noWrap/>
            <w:vAlign w:val="center"/>
            <w:hideMark/>
          </w:tcPr>
          <w:p w14:paraId="14AD099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162</w:t>
            </w:r>
          </w:p>
        </w:tc>
        <w:tc>
          <w:tcPr>
            <w:tcW w:w="0" w:type="auto"/>
            <w:tcBorders>
              <w:top w:val="nil"/>
              <w:left w:val="nil"/>
              <w:bottom w:val="nil"/>
              <w:right w:val="nil"/>
            </w:tcBorders>
            <w:noWrap/>
            <w:vAlign w:val="center"/>
            <w:hideMark/>
          </w:tcPr>
          <w:p w14:paraId="4D54AA2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147</w:t>
            </w:r>
          </w:p>
        </w:tc>
        <w:tc>
          <w:tcPr>
            <w:tcW w:w="0" w:type="auto"/>
            <w:tcBorders>
              <w:top w:val="nil"/>
              <w:left w:val="nil"/>
              <w:bottom w:val="nil"/>
              <w:right w:val="nil"/>
            </w:tcBorders>
            <w:noWrap/>
            <w:vAlign w:val="center"/>
            <w:hideMark/>
          </w:tcPr>
          <w:p w14:paraId="4410C05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146</w:t>
            </w:r>
          </w:p>
        </w:tc>
        <w:tc>
          <w:tcPr>
            <w:tcW w:w="0" w:type="auto"/>
            <w:tcBorders>
              <w:top w:val="nil"/>
              <w:left w:val="nil"/>
              <w:bottom w:val="nil"/>
              <w:right w:val="nil"/>
            </w:tcBorders>
            <w:noWrap/>
            <w:vAlign w:val="center"/>
            <w:hideMark/>
          </w:tcPr>
          <w:p w14:paraId="51B05E9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177</w:t>
            </w:r>
          </w:p>
        </w:tc>
      </w:tr>
      <w:tr w:rsidR="00424987" w:rsidRPr="00424987" w14:paraId="6DF83A13" w14:textId="77777777" w:rsidTr="00424987">
        <w:trPr>
          <w:trHeight w:val="288"/>
        </w:trPr>
        <w:tc>
          <w:tcPr>
            <w:tcW w:w="0" w:type="auto"/>
            <w:tcBorders>
              <w:top w:val="nil"/>
              <w:left w:val="nil"/>
              <w:bottom w:val="nil"/>
              <w:right w:val="nil"/>
            </w:tcBorders>
            <w:vAlign w:val="center"/>
            <w:hideMark/>
          </w:tcPr>
          <w:p w14:paraId="5B8A4E42"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General and administrative</w:t>
            </w:r>
          </w:p>
        </w:tc>
        <w:tc>
          <w:tcPr>
            <w:tcW w:w="0" w:type="auto"/>
            <w:tcBorders>
              <w:top w:val="nil"/>
              <w:left w:val="nil"/>
              <w:bottom w:val="nil"/>
              <w:right w:val="nil"/>
            </w:tcBorders>
            <w:shd w:val="clear" w:color="000000" w:fill="E7E6E6"/>
            <w:noWrap/>
            <w:vAlign w:val="center"/>
            <w:hideMark/>
          </w:tcPr>
          <w:p w14:paraId="63E91769"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0034046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405</w:t>
            </w:r>
          </w:p>
        </w:tc>
        <w:tc>
          <w:tcPr>
            <w:tcW w:w="0" w:type="auto"/>
            <w:tcBorders>
              <w:top w:val="nil"/>
              <w:left w:val="nil"/>
              <w:bottom w:val="nil"/>
              <w:right w:val="nil"/>
            </w:tcBorders>
            <w:noWrap/>
            <w:vAlign w:val="center"/>
            <w:hideMark/>
          </w:tcPr>
          <w:p w14:paraId="669943B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382</w:t>
            </w:r>
          </w:p>
        </w:tc>
        <w:tc>
          <w:tcPr>
            <w:tcW w:w="0" w:type="auto"/>
            <w:tcBorders>
              <w:top w:val="nil"/>
              <w:left w:val="nil"/>
              <w:bottom w:val="nil"/>
              <w:right w:val="nil"/>
            </w:tcBorders>
            <w:noWrap/>
            <w:vAlign w:val="center"/>
            <w:hideMark/>
          </w:tcPr>
          <w:p w14:paraId="20C7F06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408</w:t>
            </w:r>
          </w:p>
        </w:tc>
        <w:tc>
          <w:tcPr>
            <w:tcW w:w="0" w:type="auto"/>
            <w:tcBorders>
              <w:top w:val="nil"/>
              <w:left w:val="nil"/>
              <w:bottom w:val="nil"/>
              <w:right w:val="nil"/>
            </w:tcBorders>
            <w:noWrap/>
            <w:vAlign w:val="center"/>
            <w:hideMark/>
          </w:tcPr>
          <w:p w14:paraId="315F036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415</w:t>
            </w:r>
          </w:p>
        </w:tc>
        <w:tc>
          <w:tcPr>
            <w:tcW w:w="0" w:type="auto"/>
            <w:tcBorders>
              <w:top w:val="nil"/>
              <w:left w:val="nil"/>
              <w:bottom w:val="nil"/>
              <w:right w:val="nil"/>
            </w:tcBorders>
            <w:noWrap/>
            <w:vAlign w:val="center"/>
            <w:hideMark/>
          </w:tcPr>
          <w:p w14:paraId="25133C2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393</w:t>
            </w:r>
          </w:p>
        </w:tc>
      </w:tr>
      <w:tr w:rsidR="00424987" w:rsidRPr="00424987" w14:paraId="548CAC1A" w14:textId="77777777" w:rsidTr="00424987">
        <w:trPr>
          <w:trHeight w:val="288"/>
        </w:trPr>
        <w:tc>
          <w:tcPr>
            <w:tcW w:w="0" w:type="auto"/>
            <w:tcBorders>
              <w:top w:val="nil"/>
              <w:left w:val="nil"/>
              <w:bottom w:val="nil"/>
              <w:right w:val="nil"/>
            </w:tcBorders>
            <w:vAlign w:val="center"/>
            <w:hideMark/>
          </w:tcPr>
          <w:p w14:paraId="66D8DFCA"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Impairment losses</w:t>
            </w:r>
          </w:p>
        </w:tc>
        <w:tc>
          <w:tcPr>
            <w:tcW w:w="0" w:type="auto"/>
            <w:tcBorders>
              <w:top w:val="nil"/>
              <w:left w:val="nil"/>
              <w:bottom w:val="nil"/>
              <w:right w:val="nil"/>
            </w:tcBorders>
            <w:shd w:val="clear" w:color="000000" w:fill="E7E6E6"/>
            <w:noWrap/>
            <w:vAlign w:val="center"/>
            <w:hideMark/>
          </w:tcPr>
          <w:p w14:paraId="290E3003"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20549E9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w:t>
            </w:r>
          </w:p>
        </w:tc>
        <w:tc>
          <w:tcPr>
            <w:tcW w:w="0" w:type="auto"/>
            <w:tcBorders>
              <w:top w:val="nil"/>
              <w:left w:val="nil"/>
              <w:bottom w:val="nil"/>
              <w:right w:val="nil"/>
            </w:tcBorders>
            <w:noWrap/>
            <w:vAlign w:val="center"/>
            <w:hideMark/>
          </w:tcPr>
          <w:p w14:paraId="69549C8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w:t>
            </w:r>
          </w:p>
        </w:tc>
        <w:tc>
          <w:tcPr>
            <w:tcW w:w="0" w:type="auto"/>
            <w:tcBorders>
              <w:top w:val="nil"/>
              <w:left w:val="nil"/>
              <w:bottom w:val="nil"/>
              <w:right w:val="nil"/>
            </w:tcBorders>
            <w:noWrap/>
            <w:vAlign w:val="center"/>
            <w:hideMark/>
          </w:tcPr>
          <w:p w14:paraId="6E05140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38</w:t>
            </w:r>
          </w:p>
        </w:tc>
        <w:tc>
          <w:tcPr>
            <w:tcW w:w="0" w:type="auto"/>
            <w:tcBorders>
              <w:top w:val="nil"/>
              <w:left w:val="nil"/>
              <w:bottom w:val="nil"/>
              <w:right w:val="nil"/>
            </w:tcBorders>
            <w:noWrap/>
            <w:vAlign w:val="center"/>
            <w:hideMark/>
          </w:tcPr>
          <w:p w14:paraId="53DDFA2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w:t>
            </w:r>
          </w:p>
        </w:tc>
        <w:tc>
          <w:tcPr>
            <w:tcW w:w="0" w:type="auto"/>
            <w:tcBorders>
              <w:top w:val="nil"/>
              <w:left w:val="nil"/>
              <w:bottom w:val="nil"/>
              <w:right w:val="nil"/>
            </w:tcBorders>
            <w:noWrap/>
            <w:vAlign w:val="center"/>
            <w:hideMark/>
          </w:tcPr>
          <w:p w14:paraId="05D196A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w:t>
            </w:r>
          </w:p>
        </w:tc>
      </w:tr>
      <w:tr w:rsidR="00424987" w:rsidRPr="00424987" w14:paraId="6A7E6EEB" w14:textId="77777777" w:rsidTr="00424987">
        <w:trPr>
          <w:trHeight w:val="288"/>
        </w:trPr>
        <w:tc>
          <w:tcPr>
            <w:tcW w:w="0" w:type="auto"/>
            <w:tcBorders>
              <w:top w:val="nil"/>
              <w:left w:val="nil"/>
              <w:bottom w:val="nil"/>
              <w:right w:val="nil"/>
            </w:tcBorders>
            <w:vAlign w:val="center"/>
            <w:hideMark/>
          </w:tcPr>
          <w:p w14:paraId="33B346D3"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Other expenses</w:t>
            </w:r>
          </w:p>
        </w:tc>
        <w:tc>
          <w:tcPr>
            <w:tcW w:w="0" w:type="auto"/>
            <w:tcBorders>
              <w:top w:val="nil"/>
              <w:left w:val="nil"/>
              <w:bottom w:val="nil"/>
              <w:right w:val="nil"/>
            </w:tcBorders>
            <w:shd w:val="clear" w:color="000000" w:fill="E7E6E6"/>
            <w:noWrap/>
            <w:vAlign w:val="center"/>
            <w:hideMark/>
          </w:tcPr>
          <w:p w14:paraId="7FB0DD46"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3F25B15A"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45</w:t>
            </w:r>
          </w:p>
        </w:tc>
        <w:tc>
          <w:tcPr>
            <w:tcW w:w="0" w:type="auto"/>
            <w:tcBorders>
              <w:top w:val="nil"/>
              <w:left w:val="nil"/>
              <w:bottom w:val="nil"/>
              <w:right w:val="nil"/>
            </w:tcBorders>
            <w:noWrap/>
            <w:vAlign w:val="center"/>
            <w:hideMark/>
          </w:tcPr>
          <w:p w14:paraId="2411AB5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60</w:t>
            </w:r>
          </w:p>
        </w:tc>
        <w:tc>
          <w:tcPr>
            <w:tcW w:w="0" w:type="auto"/>
            <w:tcBorders>
              <w:top w:val="nil"/>
              <w:left w:val="nil"/>
              <w:bottom w:val="nil"/>
              <w:right w:val="nil"/>
            </w:tcBorders>
            <w:noWrap/>
            <w:vAlign w:val="center"/>
            <w:hideMark/>
          </w:tcPr>
          <w:p w14:paraId="54E682F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112</w:t>
            </w:r>
          </w:p>
        </w:tc>
        <w:tc>
          <w:tcPr>
            <w:tcW w:w="0" w:type="auto"/>
            <w:tcBorders>
              <w:top w:val="nil"/>
              <w:left w:val="nil"/>
              <w:bottom w:val="nil"/>
              <w:right w:val="nil"/>
            </w:tcBorders>
            <w:noWrap/>
            <w:vAlign w:val="center"/>
            <w:hideMark/>
          </w:tcPr>
          <w:p w14:paraId="2A3C1D1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137</w:t>
            </w:r>
          </w:p>
        </w:tc>
        <w:tc>
          <w:tcPr>
            <w:tcW w:w="0" w:type="auto"/>
            <w:tcBorders>
              <w:top w:val="nil"/>
              <w:left w:val="nil"/>
              <w:bottom w:val="nil"/>
              <w:right w:val="nil"/>
            </w:tcBorders>
            <w:noWrap/>
            <w:vAlign w:val="center"/>
            <w:hideMark/>
          </w:tcPr>
          <w:p w14:paraId="5F340A5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132</w:t>
            </w:r>
          </w:p>
        </w:tc>
      </w:tr>
      <w:tr w:rsidR="00424987" w:rsidRPr="00424987" w14:paraId="103F435C" w14:textId="77777777" w:rsidTr="00424987">
        <w:trPr>
          <w:trHeight w:val="288"/>
        </w:trPr>
        <w:tc>
          <w:tcPr>
            <w:tcW w:w="0" w:type="auto"/>
            <w:tcBorders>
              <w:top w:val="nil"/>
              <w:left w:val="nil"/>
              <w:bottom w:val="nil"/>
              <w:right w:val="nil"/>
            </w:tcBorders>
            <w:vAlign w:val="center"/>
            <w:hideMark/>
          </w:tcPr>
          <w:p w14:paraId="0F72251C"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Reimbursed expenses</w:t>
            </w:r>
          </w:p>
        </w:tc>
        <w:tc>
          <w:tcPr>
            <w:tcW w:w="0" w:type="auto"/>
            <w:tcBorders>
              <w:top w:val="nil"/>
              <w:left w:val="nil"/>
              <w:bottom w:val="nil"/>
              <w:right w:val="nil"/>
            </w:tcBorders>
            <w:shd w:val="clear" w:color="000000" w:fill="E7E6E6"/>
            <w:noWrap/>
            <w:vAlign w:val="center"/>
            <w:hideMark/>
          </w:tcPr>
          <w:p w14:paraId="290660B1"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74B81EA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3,454</w:t>
            </w:r>
          </w:p>
        </w:tc>
        <w:tc>
          <w:tcPr>
            <w:tcW w:w="0" w:type="auto"/>
            <w:tcBorders>
              <w:top w:val="nil"/>
              <w:left w:val="nil"/>
              <w:bottom w:val="nil"/>
              <w:right w:val="nil"/>
            </w:tcBorders>
            <w:noWrap/>
            <w:vAlign w:val="center"/>
            <w:hideMark/>
          </w:tcPr>
          <w:p w14:paraId="567C908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5,076</w:t>
            </w:r>
          </w:p>
        </w:tc>
        <w:tc>
          <w:tcPr>
            <w:tcW w:w="0" w:type="auto"/>
            <w:tcBorders>
              <w:top w:val="nil"/>
              <w:left w:val="nil"/>
              <w:bottom w:val="nil"/>
              <w:right w:val="nil"/>
            </w:tcBorders>
            <w:noWrap/>
            <w:vAlign w:val="center"/>
            <w:hideMark/>
          </w:tcPr>
          <w:p w14:paraId="03C2981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6,164</w:t>
            </w:r>
          </w:p>
        </w:tc>
        <w:tc>
          <w:tcPr>
            <w:tcW w:w="0" w:type="auto"/>
            <w:tcBorders>
              <w:top w:val="nil"/>
              <w:left w:val="nil"/>
              <w:bottom w:val="nil"/>
              <w:right w:val="nil"/>
            </w:tcBorders>
            <w:noWrap/>
            <w:vAlign w:val="center"/>
            <w:hideMark/>
          </w:tcPr>
          <w:p w14:paraId="5B51718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6,985</w:t>
            </w:r>
          </w:p>
        </w:tc>
        <w:tc>
          <w:tcPr>
            <w:tcW w:w="0" w:type="auto"/>
            <w:tcBorders>
              <w:top w:val="nil"/>
              <w:left w:val="nil"/>
              <w:bottom w:val="nil"/>
              <w:right w:val="nil"/>
            </w:tcBorders>
            <w:noWrap/>
            <w:vAlign w:val="center"/>
            <w:hideMark/>
          </w:tcPr>
          <w:p w14:paraId="5E7D840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7,550</w:t>
            </w:r>
          </w:p>
        </w:tc>
      </w:tr>
      <w:tr w:rsidR="00424987" w:rsidRPr="00424987" w14:paraId="4C4C66E4" w14:textId="77777777" w:rsidTr="00424987">
        <w:trPr>
          <w:trHeight w:val="288"/>
        </w:trPr>
        <w:tc>
          <w:tcPr>
            <w:tcW w:w="0" w:type="auto"/>
            <w:tcBorders>
              <w:top w:val="single" w:sz="4" w:space="0" w:color="17365D"/>
              <w:left w:val="nil"/>
              <w:bottom w:val="nil"/>
              <w:right w:val="nil"/>
            </w:tcBorders>
            <w:vAlign w:val="center"/>
            <w:hideMark/>
          </w:tcPr>
          <w:p w14:paraId="6607DE16"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Total expenses</w:t>
            </w:r>
          </w:p>
        </w:tc>
        <w:tc>
          <w:tcPr>
            <w:tcW w:w="0" w:type="auto"/>
            <w:tcBorders>
              <w:top w:val="single" w:sz="4" w:space="0" w:color="17365D"/>
              <w:left w:val="nil"/>
              <w:bottom w:val="nil"/>
              <w:right w:val="nil"/>
            </w:tcBorders>
            <w:shd w:val="clear" w:color="000000" w:fill="E7E6E6"/>
            <w:noWrap/>
            <w:vAlign w:val="center"/>
            <w:hideMark/>
          </w:tcPr>
          <w:p w14:paraId="56DFDEA3"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single" w:sz="4" w:space="0" w:color="17365D"/>
              <w:left w:val="nil"/>
              <w:bottom w:val="nil"/>
              <w:right w:val="nil"/>
            </w:tcBorders>
            <w:noWrap/>
            <w:vAlign w:val="center"/>
            <w:hideMark/>
          </w:tcPr>
          <w:p w14:paraId="656CFB9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4,771</w:t>
            </w:r>
          </w:p>
        </w:tc>
        <w:tc>
          <w:tcPr>
            <w:tcW w:w="0" w:type="auto"/>
            <w:tcBorders>
              <w:top w:val="single" w:sz="4" w:space="0" w:color="17365D"/>
              <w:left w:val="nil"/>
              <w:bottom w:val="nil"/>
              <w:right w:val="nil"/>
            </w:tcBorders>
            <w:noWrap/>
            <w:vAlign w:val="center"/>
            <w:hideMark/>
          </w:tcPr>
          <w:p w14:paraId="20FCAAAC"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6,679</w:t>
            </w:r>
          </w:p>
        </w:tc>
        <w:tc>
          <w:tcPr>
            <w:tcW w:w="0" w:type="auto"/>
            <w:tcBorders>
              <w:top w:val="single" w:sz="4" w:space="0" w:color="17365D"/>
              <w:left w:val="nil"/>
              <w:bottom w:val="nil"/>
              <w:right w:val="nil"/>
            </w:tcBorders>
            <w:noWrap/>
            <w:vAlign w:val="center"/>
            <w:hideMark/>
          </w:tcPr>
          <w:p w14:paraId="182C41A8"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8,010</w:t>
            </w:r>
          </w:p>
        </w:tc>
        <w:tc>
          <w:tcPr>
            <w:tcW w:w="0" w:type="auto"/>
            <w:tcBorders>
              <w:top w:val="single" w:sz="4" w:space="0" w:color="17365D"/>
              <w:left w:val="nil"/>
              <w:bottom w:val="nil"/>
              <w:right w:val="nil"/>
            </w:tcBorders>
            <w:noWrap/>
            <w:vAlign w:val="center"/>
            <w:hideMark/>
          </w:tcPr>
          <w:p w14:paraId="74DF9435"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8,809</w:t>
            </w:r>
          </w:p>
        </w:tc>
        <w:tc>
          <w:tcPr>
            <w:tcW w:w="0" w:type="auto"/>
            <w:tcBorders>
              <w:top w:val="single" w:sz="4" w:space="0" w:color="17365D"/>
              <w:left w:val="nil"/>
              <w:bottom w:val="nil"/>
              <w:right w:val="nil"/>
            </w:tcBorders>
            <w:noWrap/>
            <w:vAlign w:val="center"/>
            <w:hideMark/>
          </w:tcPr>
          <w:p w14:paraId="4045AEB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9,346</w:t>
            </w:r>
          </w:p>
        </w:tc>
      </w:tr>
      <w:tr w:rsidR="00424987" w:rsidRPr="00424987" w14:paraId="61C369D0" w14:textId="77777777" w:rsidTr="00424987">
        <w:trPr>
          <w:trHeight w:val="288"/>
        </w:trPr>
        <w:tc>
          <w:tcPr>
            <w:tcW w:w="0" w:type="auto"/>
            <w:tcBorders>
              <w:top w:val="nil"/>
              <w:left w:val="nil"/>
              <w:bottom w:val="nil"/>
              <w:right w:val="nil"/>
            </w:tcBorders>
            <w:vAlign w:val="center"/>
            <w:hideMark/>
          </w:tcPr>
          <w:p w14:paraId="2A140C73"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lastRenderedPageBreak/>
              <w:t>Gain/(loss) on asset sales, net</w:t>
            </w:r>
          </w:p>
        </w:tc>
        <w:tc>
          <w:tcPr>
            <w:tcW w:w="0" w:type="auto"/>
            <w:tcBorders>
              <w:top w:val="nil"/>
              <w:left w:val="nil"/>
              <w:bottom w:val="nil"/>
              <w:right w:val="nil"/>
            </w:tcBorders>
            <w:shd w:val="clear" w:color="000000" w:fill="E7E6E6"/>
            <w:noWrap/>
            <w:vAlign w:val="center"/>
            <w:hideMark/>
          </w:tcPr>
          <w:p w14:paraId="5E2E6687"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nil"/>
              <w:left w:val="nil"/>
              <w:bottom w:val="nil"/>
              <w:right w:val="nil"/>
            </w:tcBorders>
            <w:noWrap/>
            <w:vAlign w:val="center"/>
            <w:hideMark/>
          </w:tcPr>
          <w:p w14:paraId="35201F36"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(7)</w:t>
            </w:r>
          </w:p>
        </w:tc>
        <w:tc>
          <w:tcPr>
            <w:tcW w:w="0" w:type="auto"/>
            <w:tcBorders>
              <w:top w:val="nil"/>
              <w:left w:val="nil"/>
              <w:bottom w:val="nil"/>
              <w:right w:val="nil"/>
            </w:tcBorders>
            <w:noWrap/>
            <w:vAlign w:val="center"/>
            <w:hideMark/>
          </w:tcPr>
          <w:p w14:paraId="2C5A301D"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w:t>
            </w:r>
          </w:p>
        </w:tc>
        <w:tc>
          <w:tcPr>
            <w:tcW w:w="0" w:type="auto"/>
            <w:tcBorders>
              <w:top w:val="nil"/>
              <w:left w:val="nil"/>
              <w:bottom w:val="nil"/>
              <w:right w:val="nil"/>
            </w:tcBorders>
            <w:noWrap/>
            <w:vAlign w:val="center"/>
            <w:hideMark/>
          </w:tcPr>
          <w:p w14:paraId="1AF485AE"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w:t>
            </w:r>
          </w:p>
        </w:tc>
        <w:tc>
          <w:tcPr>
            <w:tcW w:w="0" w:type="auto"/>
            <w:tcBorders>
              <w:top w:val="nil"/>
              <w:left w:val="nil"/>
              <w:bottom w:val="nil"/>
              <w:right w:val="nil"/>
            </w:tcBorders>
            <w:noWrap/>
            <w:vAlign w:val="center"/>
            <w:hideMark/>
          </w:tcPr>
          <w:p w14:paraId="31B92014"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5</w:t>
            </w:r>
          </w:p>
        </w:tc>
        <w:tc>
          <w:tcPr>
            <w:tcW w:w="0" w:type="auto"/>
            <w:tcBorders>
              <w:top w:val="nil"/>
              <w:left w:val="nil"/>
              <w:bottom w:val="nil"/>
              <w:right w:val="nil"/>
            </w:tcBorders>
            <w:noWrap/>
            <w:vAlign w:val="center"/>
            <w:hideMark/>
          </w:tcPr>
          <w:p w14:paraId="26107E20"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w:t>
            </w:r>
          </w:p>
        </w:tc>
      </w:tr>
      <w:tr w:rsidR="00424987" w:rsidRPr="00424987" w14:paraId="7A03E294" w14:textId="77777777" w:rsidTr="00424987">
        <w:trPr>
          <w:trHeight w:val="288"/>
        </w:trPr>
        <w:tc>
          <w:tcPr>
            <w:tcW w:w="0" w:type="auto"/>
            <w:tcBorders>
              <w:top w:val="single" w:sz="4" w:space="0" w:color="17365D"/>
              <w:left w:val="nil"/>
              <w:bottom w:val="nil"/>
              <w:right w:val="nil"/>
            </w:tcBorders>
            <w:vAlign w:val="center"/>
            <w:hideMark/>
          </w:tcPr>
          <w:p w14:paraId="20BF48C0"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Operating income</w:t>
            </w:r>
          </w:p>
        </w:tc>
        <w:tc>
          <w:tcPr>
            <w:tcW w:w="0" w:type="auto"/>
            <w:tcBorders>
              <w:top w:val="single" w:sz="4" w:space="0" w:color="17365D"/>
              <w:left w:val="nil"/>
              <w:bottom w:val="nil"/>
              <w:right w:val="nil"/>
            </w:tcBorders>
            <w:shd w:val="clear" w:color="000000" w:fill="E7E6E6"/>
            <w:noWrap/>
            <w:vAlign w:val="center"/>
            <w:hideMark/>
          </w:tcPr>
          <w:p w14:paraId="6556AEB6"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single" w:sz="4" w:space="0" w:color="17365D"/>
              <w:left w:val="nil"/>
              <w:bottom w:val="nil"/>
              <w:right w:val="nil"/>
            </w:tcBorders>
            <w:noWrap/>
            <w:vAlign w:val="center"/>
            <w:hideMark/>
          </w:tcPr>
          <w:p w14:paraId="4979687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1,010</w:t>
            </w:r>
          </w:p>
        </w:tc>
        <w:tc>
          <w:tcPr>
            <w:tcW w:w="0" w:type="auto"/>
            <w:tcBorders>
              <w:top w:val="single" w:sz="4" w:space="0" w:color="17365D"/>
              <w:left w:val="nil"/>
              <w:bottom w:val="nil"/>
              <w:right w:val="nil"/>
            </w:tcBorders>
            <w:noWrap/>
            <w:vAlign w:val="center"/>
            <w:hideMark/>
          </w:tcPr>
          <w:p w14:paraId="51A969BB"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2,094</w:t>
            </w:r>
          </w:p>
        </w:tc>
        <w:tc>
          <w:tcPr>
            <w:tcW w:w="0" w:type="auto"/>
            <w:tcBorders>
              <w:top w:val="single" w:sz="4" w:space="0" w:color="17365D"/>
              <w:left w:val="nil"/>
              <w:bottom w:val="nil"/>
              <w:right w:val="nil"/>
            </w:tcBorders>
            <w:noWrap/>
            <w:vAlign w:val="center"/>
            <w:hideMark/>
          </w:tcPr>
          <w:p w14:paraId="6B4A163B"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2,225</w:t>
            </w:r>
          </w:p>
        </w:tc>
        <w:tc>
          <w:tcPr>
            <w:tcW w:w="0" w:type="auto"/>
            <w:tcBorders>
              <w:top w:val="single" w:sz="4" w:space="0" w:color="17365D"/>
              <w:left w:val="nil"/>
              <w:bottom w:val="nil"/>
              <w:right w:val="nil"/>
            </w:tcBorders>
            <w:noWrap/>
            <w:vAlign w:val="center"/>
            <w:hideMark/>
          </w:tcPr>
          <w:p w14:paraId="1443B379"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2,370</w:t>
            </w:r>
          </w:p>
        </w:tc>
        <w:tc>
          <w:tcPr>
            <w:tcW w:w="0" w:type="auto"/>
            <w:tcBorders>
              <w:top w:val="single" w:sz="4" w:space="0" w:color="17365D"/>
              <w:left w:val="nil"/>
              <w:bottom w:val="nil"/>
              <w:right w:val="nil"/>
            </w:tcBorders>
            <w:noWrap/>
            <w:vAlign w:val="center"/>
            <w:hideMark/>
          </w:tcPr>
          <w:p w14:paraId="0448DAF0"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2,693</w:t>
            </w:r>
          </w:p>
        </w:tc>
      </w:tr>
      <w:tr w:rsidR="00424987" w:rsidRPr="00424987" w14:paraId="3304C32C" w14:textId="77777777" w:rsidTr="00424987">
        <w:trPr>
          <w:trHeight w:val="288"/>
        </w:trPr>
        <w:tc>
          <w:tcPr>
            <w:tcW w:w="0" w:type="auto"/>
            <w:tcBorders>
              <w:top w:val="nil"/>
              <w:left w:val="nil"/>
              <w:bottom w:val="nil"/>
              <w:right w:val="nil"/>
            </w:tcBorders>
            <w:vAlign w:val="center"/>
            <w:hideMark/>
          </w:tcPr>
          <w:p w14:paraId="02184D38"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Interest expense</w:t>
            </w:r>
          </w:p>
        </w:tc>
        <w:tc>
          <w:tcPr>
            <w:tcW w:w="0" w:type="auto"/>
            <w:tcBorders>
              <w:top w:val="nil"/>
              <w:left w:val="nil"/>
              <w:bottom w:val="nil"/>
              <w:right w:val="nil"/>
            </w:tcBorders>
            <w:shd w:val="clear" w:color="000000" w:fill="E7E6E6"/>
            <w:noWrap/>
            <w:vAlign w:val="center"/>
            <w:hideMark/>
          </w:tcPr>
          <w:p w14:paraId="7956FDC9"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1952FAD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397</w:t>
            </w:r>
          </w:p>
        </w:tc>
        <w:tc>
          <w:tcPr>
            <w:tcW w:w="0" w:type="auto"/>
            <w:tcBorders>
              <w:top w:val="nil"/>
              <w:left w:val="nil"/>
              <w:bottom w:val="nil"/>
              <w:right w:val="nil"/>
            </w:tcBorders>
            <w:noWrap/>
            <w:vAlign w:val="center"/>
            <w:hideMark/>
          </w:tcPr>
          <w:p w14:paraId="1F6CD29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415</w:t>
            </w:r>
          </w:p>
        </w:tc>
        <w:tc>
          <w:tcPr>
            <w:tcW w:w="0" w:type="auto"/>
            <w:tcBorders>
              <w:top w:val="nil"/>
              <w:left w:val="nil"/>
              <w:bottom w:val="nil"/>
              <w:right w:val="nil"/>
            </w:tcBorders>
            <w:noWrap/>
            <w:vAlign w:val="center"/>
            <w:hideMark/>
          </w:tcPr>
          <w:p w14:paraId="2CD8645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464</w:t>
            </w:r>
          </w:p>
        </w:tc>
        <w:tc>
          <w:tcPr>
            <w:tcW w:w="0" w:type="auto"/>
            <w:tcBorders>
              <w:top w:val="nil"/>
              <w:left w:val="nil"/>
              <w:bottom w:val="nil"/>
              <w:right w:val="nil"/>
            </w:tcBorders>
            <w:noWrap/>
            <w:vAlign w:val="center"/>
            <w:hideMark/>
          </w:tcPr>
          <w:p w14:paraId="048F3EB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569</w:t>
            </w:r>
          </w:p>
        </w:tc>
        <w:tc>
          <w:tcPr>
            <w:tcW w:w="0" w:type="auto"/>
            <w:tcBorders>
              <w:top w:val="nil"/>
              <w:left w:val="nil"/>
              <w:bottom w:val="nil"/>
              <w:right w:val="nil"/>
            </w:tcBorders>
            <w:noWrap/>
            <w:vAlign w:val="center"/>
            <w:hideMark/>
          </w:tcPr>
          <w:p w14:paraId="0666DBA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620</w:t>
            </w:r>
          </w:p>
        </w:tc>
      </w:tr>
      <w:tr w:rsidR="00424987" w:rsidRPr="00424987" w14:paraId="3D6F0E1F" w14:textId="77777777" w:rsidTr="00424987">
        <w:trPr>
          <w:trHeight w:val="288"/>
        </w:trPr>
        <w:tc>
          <w:tcPr>
            <w:tcW w:w="0" w:type="auto"/>
            <w:tcBorders>
              <w:top w:val="nil"/>
              <w:left w:val="nil"/>
              <w:bottom w:val="nil"/>
              <w:right w:val="nil"/>
            </w:tcBorders>
            <w:vAlign w:val="center"/>
            <w:hideMark/>
          </w:tcPr>
          <w:p w14:paraId="58C04959"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Foreign-exchange gain/(loss)</w:t>
            </w:r>
          </w:p>
        </w:tc>
        <w:tc>
          <w:tcPr>
            <w:tcW w:w="0" w:type="auto"/>
            <w:tcBorders>
              <w:top w:val="nil"/>
              <w:left w:val="nil"/>
              <w:bottom w:val="nil"/>
              <w:right w:val="nil"/>
            </w:tcBorders>
            <w:shd w:val="clear" w:color="000000" w:fill="E7E6E6"/>
            <w:noWrap/>
            <w:vAlign w:val="center"/>
            <w:hideMark/>
          </w:tcPr>
          <w:p w14:paraId="63CAB76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72EB66C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w:t>
            </w:r>
          </w:p>
        </w:tc>
        <w:tc>
          <w:tcPr>
            <w:tcW w:w="0" w:type="auto"/>
            <w:tcBorders>
              <w:top w:val="nil"/>
              <w:left w:val="nil"/>
              <w:bottom w:val="nil"/>
              <w:right w:val="nil"/>
            </w:tcBorders>
            <w:noWrap/>
            <w:vAlign w:val="center"/>
            <w:hideMark/>
          </w:tcPr>
          <w:p w14:paraId="4BD2B12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w:t>
            </w:r>
          </w:p>
        </w:tc>
        <w:tc>
          <w:tcPr>
            <w:tcW w:w="0" w:type="auto"/>
            <w:tcBorders>
              <w:top w:val="nil"/>
              <w:left w:val="nil"/>
              <w:bottom w:val="nil"/>
              <w:right w:val="nil"/>
            </w:tcBorders>
            <w:noWrap/>
            <w:vAlign w:val="center"/>
            <w:hideMark/>
          </w:tcPr>
          <w:p w14:paraId="6CE28B9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(16)</w:t>
            </w:r>
          </w:p>
        </w:tc>
        <w:tc>
          <w:tcPr>
            <w:tcW w:w="0" w:type="auto"/>
            <w:tcBorders>
              <w:top w:val="nil"/>
              <w:left w:val="nil"/>
              <w:bottom w:val="nil"/>
              <w:right w:val="nil"/>
            </w:tcBorders>
            <w:noWrap/>
            <w:vAlign w:val="center"/>
            <w:hideMark/>
          </w:tcPr>
          <w:p w14:paraId="4A13088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w:t>
            </w:r>
          </w:p>
        </w:tc>
        <w:tc>
          <w:tcPr>
            <w:tcW w:w="0" w:type="auto"/>
            <w:tcBorders>
              <w:top w:val="nil"/>
              <w:left w:val="nil"/>
              <w:bottom w:val="nil"/>
              <w:right w:val="nil"/>
            </w:tcBorders>
            <w:noWrap/>
            <w:vAlign w:val="center"/>
            <w:hideMark/>
          </w:tcPr>
          <w:p w14:paraId="573C3FF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(11)</w:t>
            </w:r>
          </w:p>
        </w:tc>
      </w:tr>
      <w:tr w:rsidR="00424987" w:rsidRPr="00424987" w14:paraId="2A1CC168" w14:textId="77777777" w:rsidTr="00424987">
        <w:trPr>
          <w:trHeight w:val="288"/>
        </w:trPr>
        <w:tc>
          <w:tcPr>
            <w:tcW w:w="0" w:type="auto"/>
            <w:tcBorders>
              <w:top w:val="nil"/>
              <w:left w:val="nil"/>
              <w:bottom w:val="nil"/>
              <w:right w:val="nil"/>
            </w:tcBorders>
            <w:vAlign w:val="center"/>
            <w:hideMark/>
          </w:tcPr>
          <w:p w14:paraId="687D8CD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Other non-operating income/(loss), net</w:t>
            </w:r>
          </w:p>
        </w:tc>
        <w:tc>
          <w:tcPr>
            <w:tcW w:w="0" w:type="auto"/>
            <w:tcBorders>
              <w:top w:val="nil"/>
              <w:left w:val="nil"/>
              <w:bottom w:val="nil"/>
              <w:right w:val="nil"/>
            </w:tcBorders>
            <w:shd w:val="clear" w:color="000000" w:fill="E7E6E6"/>
            <w:noWrap/>
            <w:vAlign w:val="center"/>
            <w:hideMark/>
          </w:tcPr>
          <w:p w14:paraId="3391A658"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75A7505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23</w:t>
            </w:r>
          </w:p>
        </w:tc>
        <w:tc>
          <w:tcPr>
            <w:tcW w:w="0" w:type="auto"/>
            <w:tcBorders>
              <w:top w:val="nil"/>
              <w:left w:val="nil"/>
              <w:bottom w:val="nil"/>
              <w:right w:val="nil"/>
            </w:tcBorders>
            <w:noWrap/>
            <w:vAlign w:val="center"/>
            <w:hideMark/>
          </w:tcPr>
          <w:p w14:paraId="2EC0FEC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50</w:t>
            </w:r>
          </w:p>
        </w:tc>
        <w:tc>
          <w:tcPr>
            <w:tcW w:w="0" w:type="auto"/>
            <w:tcBorders>
              <w:top w:val="nil"/>
              <w:left w:val="nil"/>
              <w:bottom w:val="nil"/>
              <w:right w:val="nil"/>
            </w:tcBorders>
            <w:noWrap/>
            <w:vAlign w:val="center"/>
            <w:hideMark/>
          </w:tcPr>
          <w:p w14:paraId="3CFBF47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39</w:t>
            </w:r>
          </w:p>
        </w:tc>
        <w:tc>
          <w:tcPr>
            <w:tcW w:w="0" w:type="auto"/>
            <w:tcBorders>
              <w:top w:val="nil"/>
              <w:left w:val="nil"/>
              <w:bottom w:val="nil"/>
              <w:right w:val="nil"/>
            </w:tcBorders>
            <w:noWrap/>
            <w:vAlign w:val="center"/>
            <w:hideMark/>
          </w:tcPr>
          <w:p w14:paraId="28DF161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w:t>
            </w:r>
          </w:p>
        </w:tc>
        <w:tc>
          <w:tcPr>
            <w:tcW w:w="0" w:type="auto"/>
            <w:tcBorders>
              <w:top w:val="nil"/>
              <w:left w:val="nil"/>
              <w:bottom w:val="nil"/>
              <w:right w:val="nil"/>
            </w:tcBorders>
            <w:noWrap/>
            <w:vAlign w:val="center"/>
            <w:hideMark/>
          </w:tcPr>
          <w:p w14:paraId="115FFA9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w:t>
            </w:r>
          </w:p>
        </w:tc>
      </w:tr>
      <w:tr w:rsidR="00424987" w:rsidRPr="00424987" w14:paraId="771B2D85" w14:textId="77777777" w:rsidTr="00424987">
        <w:trPr>
          <w:trHeight w:val="288"/>
        </w:trPr>
        <w:tc>
          <w:tcPr>
            <w:tcW w:w="0" w:type="auto"/>
            <w:tcBorders>
              <w:top w:val="nil"/>
              <w:left w:val="nil"/>
              <w:bottom w:val="nil"/>
              <w:right w:val="nil"/>
            </w:tcBorders>
            <w:vAlign w:val="center"/>
            <w:hideMark/>
          </w:tcPr>
          <w:p w14:paraId="2C346AC1"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Income before tax</w:t>
            </w:r>
          </w:p>
        </w:tc>
        <w:tc>
          <w:tcPr>
            <w:tcW w:w="0" w:type="auto"/>
            <w:tcBorders>
              <w:top w:val="nil"/>
              <w:left w:val="nil"/>
              <w:bottom w:val="nil"/>
              <w:right w:val="nil"/>
            </w:tcBorders>
            <w:shd w:val="clear" w:color="000000" w:fill="E7E6E6"/>
            <w:noWrap/>
            <w:vAlign w:val="center"/>
            <w:hideMark/>
          </w:tcPr>
          <w:p w14:paraId="71F03BE3"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2836622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560</w:t>
            </w:r>
          </w:p>
        </w:tc>
        <w:tc>
          <w:tcPr>
            <w:tcW w:w="0" w:type="auto"/>
            <w:tcBorders>
              <w:top w:val="nil"/>
              <w:left w:val="nil"/>
              <w:bottom w:val="nil"/>
              <w:right w:val="nil"/>
            </w:tcBorders>
            <w:noWrap/>
            <w:vAlign w:val="center"/>
            <w:hideMark/>
          </w:tcPr>
          <w:p w14:paraId="495F972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1,734</w:t>
            </w:r>
          </w:p>
        </w:tc>
        <w:tc>
          <w:tcPr>
            <w:tcW w:w="0" w:type="auto"/>
            <w:tcBorders>
              <w:top w:val="nil"/>
              <w:left w:val="nil"/>
              <w:bottom w:val="nil"/>
              <w:right w:val="nil"/>
            </w:tcBorders>
            <w:noWrap/>
            <w:vAlign w:val="center"/>
            <w:hideMark/>
          </w:tcPr>
          <w:p w14:paraId="7335B29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1,692</w:t>
            </w:r>
          </w:p>
        </w:tc>
        <w:tc>
          <w:tcPr>
            <w:tcW w:w="0" w:type="auto"/>
            <w:tcBorders>
              <w:top w:val="nil"/>
              <w:left w:val="nil"/>
              <w:bottom w:val="nil"/>
              <w:right w:val="nil"/>
            </w:tcBorders>
            <w:noWrap/>
            <w:vAlign w:val="center"/>
            <w:hideMark/>
          </w:tcPr>
          <w:p w14:paraId="6E11306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1,783</w:t>
            </w:r>
          </w:p>
        </w:tc>
        <w:tc>
          <w:tcPr>
            <w:tcW w:w="0" w:type="auto"/>
            <w:tcBorders>
              <w:top w:val="nil"/>
              <w:left w:val="nil"/>
              <w:bottom w:val="nil"/>
              <w:right w:val="nil"/>
            </w:tcBorders>
            <w:noWrap/>
            <w:vAlign w:val="center"/>
            <w:hideMark/>
          </w:tcPr>
          <w:p w14:paraId="2479FE3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2,072</w:t>
            </w:r>
          </w:p>
        </w:tc>
      </w:tr>
      <w:tr w:rsidR="00424987" w:rsidRPr="00424987" w14:paraId="4EAB400E" w14:textId="77777777" w:rsidTr="00424987">
        <w:trPr>
          <w:trHeight w:val="288"/>
        </w:trPr>
        <w:tc>
          <w:tcPr>
            <w:tcW w:w="0" w:type="auto"/>
            <w:tcBorders>
              <w:top w:val="nil"/>
              <w:left w:val="nil"/>
              <w:bottom w:val="nil"/>
              <w:right w:val="nil"/>
            </w:tcBorders>
            <w:vAlign w:val="center"/>
            <w:hideMark/>
          </w:tcPr>
          <w:p w14:paraId="68AE2C78"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Income tax expense</w:t>
            </w:r>
          </w:p>
        </w:tc>
        <w:tc>
          <w:tcPr>
            <w:tcW w:w="0" w:type="auto"/>
            <w:tcBorders>
              <w:top w:val="nil"/>
              <w:left w:val="nil"/>
              <w:bottom w:val="nil"/>
              <w:right w:val="nil"/>
            </w:tcBorders>
            <w:shd w:val="clear" w:color="000000" w:fill="E7E6E6"/>
            <w:noWrap/>
            <w:vAlign w:val="center"/>
            <w:hideMark/>
          </w:tcPr>
          <w:p w14:paraId="7CECD9D2"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256D528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153</w:t>
            </w:r>
          </w:p>
        </w:tc>
        <w:tc>
          <w:tcPr>
            <w:tcW w:w="0" w:type="auto"/>
            <w:tcBorders>
              <w:top w:val="nil"/>
              <w:left w:val="nil"/>
              <w:bottom w:val="nil"/>
              <w:right w:val="nil"/>
            </w:tcBorders>
            <w:noWrap/>
            <w:vAlign w:val="center"/>
            <w:hideMark/>
          </w:tcPr>
          <w:p w14:paraId="6E0343E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477</w:t>
            </w:r>
          </w:p>
        </w:tc>
        <w:tc>
          <w:tcPr>
            <w:tcW w:w="0" w:type="auto"/>
            <w:tcBorders>
              <w:top w:val="nil"/>
              <w:left w:val="nil"/>
              <w:bottom w:val="nil"/>
              <w:right w:val="nil"/>
            </w:tcBorders>
            <w:noWrap/>
            <w:vAlign w:val="center"/>
            <w:hideMark/>
          </w:tcPr>
          <w:p w14:paraId="0E51E13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541</w:t>
            </w:r>
          </w:p>
        </w:tc>
        <w:tc>
          <w:tcPr>
            <w:tcW w:w="0" w:type="auto"/>
            <w:tcBorders>
              <w:top w:val="nil"/>
              <w:left w:val="nil"/>
              <w:bottom w:val="nil"/>
              <w:right w:val="nil"/>
            </w:tcBorders>
            <w:noWrap/>
            <w:vAlign w:val="center"/>
            <w:hideMark/>
          </w:tcPr>
          <w:p w14:paraId="763A009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244</w:t>
            </w:r>
          </w:p>
        </w:tc>
        <w:tc>
          <w:tcPr>
            <w:tcW w:w="0" w:type="auto"/>
            <w:tcBorders>
              <w:top w:val="nil"/>
              <w:left w:val="nil"/>
              <w:bottom w:val="nil"/>
              <w:right w:val="nil"/>
            </w:tcBorders>
            <w:noWrap/>
            <w:vAlign w:val="center"/>
            <w:hideMark/>
          </w:tcPr>
          <w:p w14:paraId="2A35027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611</w:t>
            </w:r>
          </w:p>
        </w:tc>
      </w:tr>
      <w:tr w:rsidR="00424987" w:rsidRPr="00424987" w14:paraId="497E7C3F" w14:textId="77777777" w:rsidTr="00424987">
        <w:trPr>
          <w:trHeight w:val="288"/>
        </w:trPr>
        <w:tc>
          <w:tcPr>
            <w:tcW w:w="0" w:type="auto"/>
            <w:tcBorders>
              <w:top w:val="single" w:sz="4" w:space="0" w:color="17365D"/>
              <w:left w:val="nil"/>
              <w:bottom w:val="nil"/>
              <w:right w:val="nil"/>
            </w:tcBorders>
            <w:vAlign w:val="center"/>
            <w:hideMark/>
          </w:tcPr>
          <w:p w14:paraId="1AC529DC"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Net income</w:t>
            </w:r>
          </w:p>
        </w:tc>
        <w:tc>
          <w:tcPr>
            <w:tcW w:w="0" w:type="auto"/>
            <w:tcBorders>
              <w:top w:val="single" w:sz="4" w:space="0" w:color="17365D"/>
              <w:left w:val="nil"/>
              <w:bottom w:val="nil"/>
              <w:right w:val="nil"/>
            </w:tcBorders>
            <w:shd w:val="clear" w:color="000000" w:fill="E7E6E6"/>
            <w:noWrap/>
            <w:vAlign w:val="center"/>
            <w:hideMark/>
          </w:tcPr>
          <w:p w14:paraId="18E3AF6C"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single" w:sz="4" w:space="0" w:color="17365D"/>
              <w:left w:val="nil"/>
              <w:bottom w:val="nil"/>
              <w:right w:val="nil"/>
            </w:tcBorders>
            <w:noWrap/>
            <w:vAlign w:val="center"/>
            <w:hideMark/>
          </w:tcPr>
          <w:p w14:paraId="71CD752F"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407</w:t>
            </w:r>
          </w:p>
        </w:tc>
        <w:tc>
          <w:tcPr>
            <w:tcW w:w="0" w:type="auto"/>
            <w:tcBorders>
              <w:top w:val="single" w:sz="4" w:space="0" w:color="17365D"/>
              <w:left w:val="nil"/>
              <w:bottom w:val="nil"/>
              <w:right w:val="nil"/>
            </w:tcBorders>
            <w:noWrap/>
            <w:vAlign w:val="center"/>
            <w:hideMark/>
          </w:tcPr>
          <w:p w14:paraId="721579B1"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1,257</w:t>
            </w:r>
          </w:p>
        </w:tc>
        <w:tc>
          <w:tcPr>
            <w:tcW w:w="0" w:type="auto"/>
            <w:tcBorders>
              <w:top w:val="single" w:sz="4" w:space="0" w:color="17365D"/>
              <w:left w:val="nil"/>
              <w:bottom w:val="nil"/>
              <w:right w:val="nil"/>
            </w:tcBorders>
            <w:noWrap/>
            <w:vAlign w:val="center"/>
            <w:hideMark/>
          </w:tcPr>
          <w:p w14:paraId="3CEA719D"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1,151</w:t>
            </w:r>
          </w:p>
        </w:tc>
        <w:tc>
          <w:tcPr>
            <w:tcW w:w="0" w:type="auto"/>
            <w:tcBorders>
              <w:top w:val="single" w:sz="4" w:space="0" w:color="17365D"/>
              <w:left w:val="nil"/>
              <w:bottom w:val="nil"/>
              <w:right w:val="nil"/>
            </w:tcBorders>
            <w:noWrap/>
            <w:vAlign w:val="center"/>
            <w:hideMark/>
          </w:tcPr>
          <w:p w14:paraId="091566AF"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1,539</w:t>
            </w:r>
          </w:p>
        </w:tc>
        <w:tc>
          <w:tcPr>
            <w:tcW w:w="0" w:type="auto"/>
            <w:tcBorders>
              <w:top w:val="single" w:sz="4" w:space="0" w:color="17365D"/>
              <w:left w:val="nil"/>
              <w:bottom w:val="nil"/>
              <w:right w:val="nil"/>
            </w:tcBorders>
            <w:noWrap/>
            <w:vAlign w:val="center"/>
            <w:hideMark/>
          </w:tcPr>
          <w:p w14:paraId="1511087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1,461</w:t>
            </w:r>
          </w:p>
        </w:tc>
      </w:tr>
      <w:tr w:rsidR="00424987" w:rsidRPr="00424987" w14:paraId="1AC3EB54" w14:textId="77777777" w:rsidTr="00424987">
        <w:trPr>
          <w:trHeight w:val="288"/>
        </w:trPr>
        <w:tc>
          <w:tcPr>
            <w:tcW w:w="0" w:type="auto"/>
            <w:tcBorders>
              <w:top w:val="nil"/>
              <w:left w:val="nil"/>
              <w:bottom w:val="nil"/>
              <w:right w:val="nil"/>
            </w:tcBorders>
            <w:vAlign w:val="center"/>
            <w:hideMark/>
          </w:tcPr>
          <w:p w14:paraId="14714D83"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Net income attributable to Hilton stockholders</w:t>
            </w:r>
          </w:p>
        </w:tc>
        <w:tc>
          <w:tcPr>
            <w:tcW w:w="0" w:type="auto"/>
            <w:tcBorders>
              <w:top w:val="nil"/>
              <w:left w:val="nil"/>
              <w:bottom w:val="nil"/>
              <w:right w:val="nil"/>
            </w:tcBorders>
            <w:shd w:val="clear" w:color="000000" w:fill="E7E6E6"/>
            <w:noWrap/>
            <w:vAlign w:val="center"/>
            <w:hideMark/>
          </w:tcPr>
          <w:p w14:paraId="59B75F26"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nil"/>
              <w:left w:val="nil"/>
              <w:bottom w:val="nil"/>
              <w:right w:val="nil"/>
            </w:tcBorders>
            <w:noWrap/>
            <w:vAlign w:val="center"/>
            <w:hideMark/>
          </w:tcPr>
          <w:p w14:paraId="6ACA165C"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410</w:t>
            </w:r>
          </w:p>
        </w:tc>
        <w:tc>
          <w:tcPr>
            <w:tcW w:w="0" w:type="auto"/>
            <w:tcBorders>
              <w:top w:val="nil"/>
              <w:left w:val="nil"/>
              <w:bottom w:val="nil"/>
              <w:right w:val="nil"/>
            </w:tcBorders>
            <w:noWrap/>
            <w:vAlign w:val="center"/>
            <w:hideMark/>
          </w:tcPr>
          <w:p w14:paraId="65C8B44A"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1,255</w:t>
            </w:r>
          </w:p>
        </w:tc>
        <w:tc>
          <w:tcPr>
            <w:tcW w:w="0" w:type="auto"/>
            <w:tcBorders>
              <w:top w:val="nil"/>
              <w:left w:val="nil"/>
              <w:bottom w:val="nil"/>
              <w:right w:val="nil"/>
            </w:tcBorders>
            <w:noWrap/>
            <w:vAlign w:val="center"/>
            <w:hideMark/>
          </w:tcPr>
          <w:p w14:paraId="5FB9783C"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1,141</w:t>
            </w:r>
          </w:p>
        </w:tc>
        <w:tc>
          <w:tcPr>
            <w:tcW w:w="0" w:type="auto"/>
            <w:tcBorders>
              <w:top w:val="nil"/>
              <w:left w:val="nil"/>
              <w:bottom w:val="nil"/>
              <w:right w:val="nil"/>
            </w:tcBorders>
            <w:noWrap/>
            <w:vAlign w:val="center"/>
            <w:hideMark/>
          </w:tcPr>
          <w:p w14:paraId="69469194"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1,535</w:t>
            </w:r>
          </w:p>
        </w:tc>
        <w:tc>
          <w:tcPr>
            <w:tcW w:w="0" w:type="auto"/>
            <w:tcBorders>
              <w:top w:val="nil"/>
              <w:left w:val="nil"/>
              <w:bottom w:val="nil"/>
              <w:right w:val="nil"/>
            </w:tcBorders>
            <w:noWrap/>
            <w:vAlign w:val="center"/>
            <w:hideMark/>
          </w:tcPr>
          <w:p w14:paraId="534BB74D"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1,457</w:t>
            </w:r>
          </w:p>
        </w:tc>
      </w:tr>
      <w:tr w:rsidR="00424987" w:rsidRPr="00424987" w14:paraId="18C1ADA0" w14:textId="77777777" w:rsidTr="00424987">
        <w:trPr>
          <w:trHeight w:val="288"/>
        </w:trPr>
        <w:tc>
          <w:tcPr>
            <w:tcW w:w="0" w:type="auto"/>
            <w:tcBorders>
              <w:top w:val="nil"/>
              <w:left w:val="nil"/>
              <w:bottom w:val="nil"/>
              <w:right w:val="nil"/>
            </w:tcBorders>
            <w:vAlign w:val="center"/>
            <w:hideMark/>
          </w:tcPr>
          <w:p w14:paraId="6927ADA2"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Diluted EPS ($)</w:t>
            </w:r>
          </w:p>
        </w:tc>
        <w:tc>
          <w:tcPr>
            <w:tcW w:w="0" w:type="auto"/>
            <w:tcBorders>
              <w:top w:val="nil"/>
              <w:left w:val="nil"/>
              <w:bottom w:val="nil"/>
              <w:right w:val="nil"/>
            </w:tcBorders>
            <w:shd w:val="clear" w:color="000000" w:fill="E7E6E6"/>
            <w:noWrap/>
            <w:vAlign w:val="center"/>
            <w:hideMark/>
          </w:tcPr>
          <w:p w14:paraId="323D21EE"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6E4B678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$1.46</w:t>
            </w:r>
          </w:p>
        </w:tc>
        <w:tc>
          <w:tcPr>
            <w:tcW w:w="0" w:type="auto"/>
            <w:tcBorders>
              <w:top w:val="nil"/>
              <w:left w:val="nil"/>
              <w:bottom w:val="nil"/>
              <w:right w:val="nil"/>
            </w:tcBorders>
            <w:noWrap/>
            <w:vAlign w:val="center"/>
            <w:hideMark/>
          </w:tcPr>
          <w:p w14:paraId="5DCF652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$4.53</w:t>
            </w:r>
          </w:p>
        </w:tc>
        <w:tc>
          <w:tcPr>
            <w:tcW w:w="0" w:type="auto"/>
            <w:tcBorders>
              <w:top w:val="nil"/>
              <w:left w:val="nil"/>
              <w:bottom w:val="nil"/>
              <w:right w:val="nil"/>
            </w:tcBorders>
            <w:noWrap/>
            <w:vAlign w:val="center"/>
            <w:hideMark/>
          </w:tcPr>
          <w:p w14:paraId="7867A11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$4.33</w:t>
            </w:r>
          </w:p>
        </w:tc>
        <w:tc>
          <w:tcPr>
            <w:tcW w:w="0" w:type="auto"/>
            <w:tcBorders>
              <w:top w:val="nil"/>
              <w:left w:val="nil"/>
              <w:bottom w:val="nil"/>
              <w:right w:val="nil"/>
            </w:tcBorders>
            <w:noWrap/>
            <w:vAlign w:val="center"/>
            <w:hideMark/>
          </w:tcPr>
          <w:p w14:paraId="3A9BE41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$6.14</w:t>
            </w:r>
          </w:p>
        </w:tc>
        <w:tc>
          <w:tcPr>
            <w:tcW w:w="0" w:type="auto"/>
            <w:tcBorders>
              <w:top w:val="nil"/>
              <w:left w:val="nil"/>
              <w:bottom w:val="nil"/>
              <w:right w:val="nil"/>
            </w:tcBorders>
            <w:noWrap/>
            <w:vAlign w:val="center"/>
            <w:hideMark/>
          </w:tcPr>
          <w:p w14:paraId="098A469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$6.12</w:t>
            </w:r>
          </w:p>
        </w:tc>
      </w:tr>
      <w:tr w:rsidR="00424987" w:rsidRPr="00424987" w14:paraId="3E5F28F3" w14:textId="77777777" w:rsidTr="00424987">
        <w:trPr>
          <w:trHeight w:val="288"/>
        </w:trPr>
        <w:tc>
          <w:tcPr>
            <w:tcW w:w="0" w:type="auto"/>
            <w:tcBorders>
              <w:top w:val="nil"/>
              <w:left w:val="nil"/>
              <w:bottom w:val="nil"/>
              <w:right w:val="nil"/>
            </w:tcBorders>
            <w:vAlign w:val="center"/>
            <w:hideMark/>
          </w:tcPr>
          <w:p w14:paraId="592E8626"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Cash dividends declared per share ($)</w:t>
            </w:r>
          </w:p>
        </w:tc>
        <w:tc>
          <w:tcPr>
            <w:tcW w:w="0" w:type="auto"/>
            <w:tcBorders>
              <w:top w:val="nil"/>
              <w:left w:val="nil"/>
              <w:bottom w:val="nil"/>
              <w:right w:val="nil"/>
            </w:tcBorders>
            <w:shd w:val="clear" w:color="000000" w:fill="E7E6E6"/>
            <w:noWrap/>
            <w:vAlign w:val="center"/>
            <w:hideMark/>
          </w:tcPr>
          <w:p w14:paraId="68DD5464"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0DFB727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w:t>
            </w:r>
          </w:p>
        </w:tc>
        <w:tc>
          <w:tcPr>
            <w:tcW w:w="0" w:type="auto"/>
            <w:tcBorders>
              <w:top w:val="nil"/>
              <w:left w:val="nil"/>
              <w:bottom w:val="nil"/>
              <w:right w:val="nil"/>
            </w:tcBorders>
            <w:noWrap/>
            <w:vAlign w:val="center"/>
            <w:hideMark/>
          </w:tcPr>
          <w:p w14:paraId="02624B6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$0.45</w:t>
            </w:r>
          </w:p>
        </w:tc>
        <w:tc>
          <w:tcPr>
            <w:tcW w:w="0" w:type="auto"/>
            <w:tcBorders>
              <w:top w:val="nil"/>
              <w:left w:val="nil"/>
              <w:bottom w:val="nil"/>
              <w:right w:val="nil"/>
            </w:tcBorders>
            <w:noWrap/>
            <w:vAlign w:val="center"/>
            <w:hideMark/>
          </w:tcPr>
          <w:p w14:paraId="0FF31C3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$0.60</w:t>
            </w:r>
          </w:p>
        </w:tc>
        <w:tc>
          <w:tcPr>
            <w:tcW w:w="0" w:type="auto"/>
            <w:tcBorders>
              <w:top w:val="nil"/>
              <w:left w:val="nil"/>
              <w:bottom w:val="nil"/>
              <w:right w:val="nil"/>
            </w:tcBorders>
            <w:noWrap/>
            <w:vAlign w:val="center"/>
            <w:hideMark/>
          </w:tcPr>
          <w:p w14:paraId="7C8E182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$0.60</w:t>
            </w:r>
          </w:p>
        </w:tc>
        <w:tc>
          <w:tcPr>
            <w:tcW w:w="0" w:type="auto"/>
            <w:tcBorders>
              <w:top w:val="nil"/>
              <w:left w:val="nil"/>
              <w:bottom w:val="nil"/>
              <w:right w:val="nil"/>
            </w:tcBorders>
            <w:noWrap/>
            <w:vAlign w:val="center"/>
            <w:hideMark/>
          </w:tcPr>
          <w:p w14:paraId="7240E35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$0.60</w:t>
            </w:r>
          </w:p>
        </w:tc>
      </w:tr>
      <w:tr w:rsidR="00424987" w:rsidRPr="00424987" w14:paraId="167D6DDD" w14:textId="77777777" w:rsidTr="00424987">
        <w:trPr>
          <w:trHeight w:val="288"/>
        </w:trPr>
        <w:tc>
          <w:tcPr>
            <w:tcW w:w="0" w:type="auto"/>
            <w:tcBorders>
              <w:top w:val="nil"/>
              <w:left w:val="nil"/>
              <w:bottom w:val="nil"/>
              <w:right w:val="nil"/>
            </w:tcBorders>
            <w:vAlign w:val="center"/>
            <w:hideMark/>
          </w:tcPr>
          <w:p w14:paraId="63B2B4BD" w14:textId="77777777" w:rsidR="00424987" w:rsidRPr="00424987" w:rsidRDefault="00424987" w:rsidP="00424987">
            <w:pPr>
              <w:spacing w:after="0" w:line="360" w:lineRule="auto"/>
              <w:jc w:val="right"/>
              <w:rPr>
                <w:rFonts w:ascii="Arial" w:eastAsia="Times New Roman" w:hAnsi="Arial" w:cs="Arial"/>
                <w:color w:val="0000FF"/>
                <w:sz w:val="24"/>
                <w:szCs w:val="24"/>
              </w:rPr>
            </w:pPr>
          </w:p>
        </w:tc>
        <w:tc>
          <w:tcPr>
            <w:tcW w:w="0" w:type="auto"/>
            <w:tcBorders>
              <w:top w:val="nil"/>
              <w:left w:val="nil"/>
              <w:bottom w:val="nil"/>
              <w:right w:val="nil"/>
            </w:tcBorders>
            <w:shd w:val="clear" w:color="000000" w:fill="E7E6E6"/>
            <w:noWrap/>
            <w:vAlign w:val="center"/>
            <w:hideMark/>
          </w:tcPr>
          <w:p w14:paraId="59CC94E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1879E88B"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17DAE8ED"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44268A10"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158B69F9"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206D26FD"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5B869AFF" w14:textId="77777777" w:rsidTr="00424987">
        <w:trPr>
          <w:trHeight w:val="288"/>
        </w:trPr>
        <w:tc>
          <w:tcPr>
            <w:tcW w:w="0" w:type="auto"/>
            <w:gridSpan w:val="7"/>
            <w:tcBorders>
              <w:top w:val="nil"/>
              <w:left w:val="nil"/>
              <w:bottom w:val="nil"/>
              <w:right w:val="nil"/>
            </w:tcBorders>
            <w:shd w:val="clear" w:color="000000" w:fill="17365D"/>
            <w:vAlign w:val="center"/>
            <w:hideMark/>
          </w:tcPr>
          <w:p w14:paraId="64EC625E"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BALANCE SHEET</w:t>
            </w:r>
          </w:p>
        </w:tc>
      </w:tr>
      <w:tr w:rsidR="00424987" w:rsidRPr="00424987" w14:paraId="3869C8A5" w14:textId="77777777" w:rsidTr="00424987">
        <w:trPr>
          <w:trHeight w:val="288"/>
        </w:trPr>
        <w:tc>
          <w:tcPr>
            <w:tcW w:w="0" w:type="auto"/>
            <w:tcBorders>
              <w:top w:val="nil"/>
              <w:left w:val="nil"/>
              <w:bottom w:val="nil"/>
              <w:right w:val="nil"/>
            </w:tcBorders>
            <w:vAlign w:val="center"/>
            <w:hideMark/>
          </w:tcPr>
          <w:p w14:paraId="55F50339"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Cash and cash equivalents</w:t>
            </w:r>
          </w:p>
        </w:tc>
        <w:tc>
          <w:tcPr>
            <w:tcW w:w="0" w:type="auto"/>
            <w:tcBorders>
              <w:top w:val="nil"/>
              <w:left w:val="nil"/>
              <w:bottom w:val="nil"/>
              <w:right w:val="nil"/>
            </w:tcBorders>
            <w:shd w:val="clear" w:color="000000" w:fill="E7E6E6"/>
            <w:noWrap/>
            <w:vAlign w:val="center"/>
            <w:hideMark/>
          </w:tcPr>
          <w:p w14:paraId="338992B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3,218</w:t>
            </w:r>
          </w:p>
        </w:tc>
        <w:tc>
          <w:tcPr>
            <w:tcW w:w="0" w:type="auto"/>
            <w:tcBorders>
              <w:top w:val="nil"/>
              <w:left w:val="nil"/>
              <w:bottom w:val="nil"/>
              <w:right w:val="nil"/>
            </w:tcBorders>
            <w:noWrap/>
            <w:vAlign w:val="center"/>
            <w:hideMark/>
          </w:tcPr>
          <w:p w14:paraId="3FCDB39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1,427</w:t>
            </w:r>
          </w:p>
        </w:tc>
        <w:tc>
          <w:tcPr>
            <w:tcW w:w="0" w:type="auto"/>
            <w:tcBorders>
              <w:top w:val="nil"/>
              <w:left w:val="nil"/>
              <w:bottom w:val="nil"/>
              <w:right w:val="nil"/>
            </w:tcBorders>
            <w:noWrap/>
            <w:vAlign w:val="center"/>
            <w:hideMark/>
          </w:tcPr>
          <w:p w14:paraId="516EBA0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1,209</w:t>
            </w:r>
          </w:p>
        </w:tc>
        <w:tc>
          <w:tcPr>
            <w:tcW w:w="0" w:type="auto"/>
            <w:tcBorders>
              <w:top w:val="nil"/>
              <w:left w:val="nil"/>
              <w:bottom w:val="nil"/>
              <w:right w:val="nil"/>
            </w:tcBorders>
            <w:noWrap/>
            <w:vAlign w:val="center"/>
            <w:hideMark/>
          </w:tcPr>
          <w:p w14:paraId="1FE2D3F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800</w:t>
            </w:r>
          </w:p>
        </w:tc>
        <w:tc>
          <w:tcPr>
            <w:tcW w:w="0" w:type="auto"/>
            <w:tcBorders>
              <w:top w:val="nil"/>
              <w:left w:val="nil"/>
              <w:bottom w:val="nil"/>
              <w:right w:val="nil"/>
            </w:tcBorders>
            <w:noWrap/>
            <w:vAlign w:val="center"/>
            <w:hideMark/>
          </w:tcPr>
          <w:p w14:paraId="5BEB750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1,301</w:t>
            </w:r>
          </w:p>
        </w:tc>
        <w:tc>
          <w:tcPr>
            <w:tcW w:w="0" w:type="auto"/>
            <w:tcBorders>
              <w:top w:val="nil"/>
              <w:left w:val="nil"/>
              <w:bottom w:val="nil"/>
              <w:right w:val="nil"/>
            </w:tcBorders>
            <w:noWrap/>
            <w:vAlign w:val="center"/>
            <w:hideMark/>
          </w:tcPr>
          <w:p w14:paraId="72F4E7B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918</w:t>
            </w:r>
          </w:p>
        </w:tc>
      </w:tr>
      <w:tr w:rsidR="00424987" w:rsidRPr="00424987" w14:paraId="39204F46" w14:textId="77777777" w:rsidTr="00424987">
        <w:trPr>
          <w:trHeight w:val="288"/>
        </w:trPr>
        <w:tc>
          <w:tcPr>
            <w:tcW w:w="0" w:type="auto"/>
            <w:tcBorders>
              <w:top w:val="nil"/>
              <w:left w:val="nil"/>
              <w:bottom w:val="nil"/>
              <w:right w:val="nil"/>
            </w:tcBorders>
            <w:vAlign w:val="center"/>
            <w:hideMark/>
          </w:tcPr>
          <w:p w14:paraId="4D433D47"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Restricted cash and cash equivalents</w:t>
            </w:r>
          </w:p>
        </w:tc>
        <w:tc>
          <w:tcPr>
            <w:tcW w:w="0" w:type="auto"/>
            <w:tcBorders>
              <w:top w:val="nil"/>
              <w:left w:val="nil"/>
              <w:bottom w:val="nil"/>
              <w:right w:val="nil"/>
            </w:tcBorders>
            <w:shd w:val="clear" w:color="000000" w:fill="E7E6E6"/>
            <w:noWrap/>
            <w:vAlign w:val="center"/>
            <w:hideMark/>
          </w:tcPr>
          <w:p w14:paraId="2792B6B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45</w:t>
            </w:r>
          </w:p>
        </w:tc>
        <w:tc>
          <w:tcPr>
            <w:tcW w:w="0" w:type="auto"/>
            <w:tcBorders>
              <w:top w:val="nil"/>
              <w:left w:val="nil"/>
              <w:bottom w:val="nil"/>
              <w:right w:val="nil"/>
            </w:tcBorders>
            <w:noWrap/>
            <w:vAlign w:val="center"/>
            <w:hideMark/>
          </w:tcPr>
          <w:p w14:paraId="42796AB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85</w:t>
            </w:r>
          </w:p>
        </w:tc>
        <w:tc>
          <w:tcPr>
            <w:tcW w:w="0" w:type="auto"/>
            <w:tcBorders>
              <w:top w:val="nil"/>
              <w:left w:val="nil"/>
              <w:bottom w:val="nil"/>
              <w:right w:val="nil"/>
            </w:tcBorders>
            <w:noWrap/>
            <w:vAlign w:val="center"/>
            <w:hideMark/>
          </w:tcPr>
          <w:p w14:paraId="46FFEA9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77</w:t>
            </w:r>
          </w:p>
        </w:tc>
        <w:tc>
          <w:tcPr>
            <w:tcW w:w="0" w:type="auto"/>
            <w:tcBorders>
              <w:top w:val="nil"/>
              <w:left w:val="nil"/>
              <w:bottom w:val="nil"/>
              <w:right w:val="nil"/>
            </w:tcBorders>
            <w:noWrap/>
            <w:vAlign w:val="center"/>
            <w:hideMark/>
          </w:tcPr>
          <w:p w14:paraId="62D6685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75</w:t>
            </w:r>
          </w:p>
        </w:tc>
        <w:tc>
          <w:tcPr>
            <w:tcW w:w="0" w:type="auto"/>
            <w:tcBorders>
              <w:top w:val="nil"/>
              <w:left w:val="nil"/>
              <w:bottom w:val="nil"/>
              <w:right w:val="nil"/>
            </w:tcBorders>
            <w:noWrap/>
            <w:vAlign w:val="center"/>
            <w:hideMark/>
          </w:tcPr>
          <w:p w14:paraId="566E674A"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75</w:t>
            </w:r>
          </w:p>
        </w:tc>
        <w:tc>
          <w:tcPr>
            <w:tcW w:w="0" w:type="auto"/>
            <w:tcBorders>
              <w:top w:val="nil"/>
              <w:left w:val="nil"/>
              <w:bottom w:val="nil"/>
              <w:right w:val="nil"/>
            </w:tcBorders>
            <w:noWrap/>
            <w:vAlign w:val="center"/>
            <w:hideMark/>
          </w:tcPr>
          <w:p w14:paraId="647D61D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52</w:t>
            </w:r>
          </w:p>
        </w:tc>
      </w:tr>
      <w:tr w:rsidR="00424987" w:rsidRPr="00424987" w14:paraId="052ADEE3" w14:textId="77777777" w:rsidTr="00424987">
        <w:trPr>
          <w:trHeight w:val="288"/>
        </w:trPr>
        <w:tc>
          <w:tcPr>
            <w:tcW w:w="0" w:type="auto"/>
            <w:tcBorders>
              <w:top w:val="nil"/>
              <w:left w:val="nil"/>
              <w:bottom w:val="nil"/>
              <w:right w:val="nil"/>
            </w:tcBorders>
            <w:vAlign w:val="center"/>
            <w:hideMark/>
          </w:tcPr>
          <w:p w14:paraId="278E112A"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Accounts receivable, net</w:t>
            </w:r>
          </w:p>
        </w:tc>
        <w:tc>
          <w:tcPr>
            <w:tcW w:w="0" w:type="auto"/>
            <w:tcBorders>
              <w:top w:val="nil"/>
              <w:left w:val="nil"/>
              <w:bottom w:val="nil"/>
              <w:right w:val="nil"/>
            </w:tcBorders>
            <w:shd w:val="clear" w:color="000000" w:fill="E7E6E6"/>
            <w:noWrap/>
            <w:vAlign w:val="center"/>
            <w:hideMark/>
          </w:tcPr>
          <w:p w14:paraId="10353ED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771</w:t>
            </w:r>
          </w:p>
        </w:tc>
        <w:tc>
          <w:tcPr>
            <w:tcW w:w="0" w:type="auto"/>
            <w:tcBorders>
              <w:top w:val="nil"/>
              <w:left w:val="nil"/>
              <w:bottom w:val="nil"/>
              <w:right w:val="nil"/>
            </w:tcBorders>
            <w:noWrap/>
            <w:vAlign w:val="center"/>
            <w:hideMark/>
          </w:tcPr>
          <w:p w14:paraId="65B89BF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1,068</w:t>
            </w:r>
          </w:p>
        </w:tc>
        <w:tc>
          <w:tcPr>
            <w:tcW w:w="0" w:type="auto"/>
            <w:tcBorders>
              <w:top w:val="nil"/>
              <w:left w:val="nil"/>
              <w:bottom w:val="nil"/>
              <w:right w:val="nil"/>
            </w:tcBorders>
            <w:noWrap/>
            <w:vAlign w:val="center"/>
            <w:hideMark/>
          </w:tcPr>
          <w:p w14:paraId="7645299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1,327</w:t>
            </w:r>
          </w:p>
        </w:tc>
        <w:tc>
          <w:tcPr>
            <w:tcW w:w="0" w:type="auto"/>
            <w:tcBorders>
              <w:top w:val="nil"/>
              <w:left w:val="nil"/>
              <w:bottom w:val="nil"/>
              <w:right w:val="nil"/>
            </w:tcBorders>
            <w:noWrap/>
            <w:vAlign w:val="center"/>
            <w:hideMark/>
          </w:tcPr>
          <w:p w14:paraId="5659D9FA"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1,487</w:t>
            </w:r>
          </w:p>
        </w:tc>
        <w:tc>
          <w:tcPr>
            <w:tcW w:w="0" w:type="auto"/>
            <w:tcBorders>
              <w:top w:val="nil"/>
              <w:left w:val="nil"/>
              <w:bottom w:val="nil"/>
              <w:right w:val="nil"/>
            </w:tcBorders>
            <w:noWrap/>
            <w:vAlign w:val="center"/>
            <w:hideMark/>
          </w:tcPr>
          <w:p w14:paraId="500C2E5A"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1,583</w:t>
            </w:r>
          </w:p>
        </w:tc>
        <w:tc>
          <w:tcPr>
            <w:tcW w:w="0" w:type="auto"/>
            <w:tcBorders>
              <w:top w:val="nil"/>
              <w:left w:val="nil"/>
              <w:bottom w:val="nil"/>
              <w:right w:val="nil"/>
            </w:tcBorders>
            <w:noWrap/>
            <w:vAlign w:val="center"/>
            <w:hideMark/>
          </w:tcPr>
          <w:p w14:paraId="7E5B071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1,690</w:t>
            </w:r>
          </w:p>
        </w:tc>
      </w:tr>
      <w:tr w:rsidR="00424987" w:rsidRPr="00424987" w14:paraId="730A29C9" w14:textId="77777777" w:rsidTr="00424987">
        <w:trPr>
          <w:trHeight w:val="288"/>
        </w:trPr>
        <w:tc>
          <w:tcPr>
            <w:tcW w:w="0" w:type="auto"/>
            <w:tcBorders>
              <w:top w:val="nil"/>
              <w:left w:val="nil"/>
              <w:bottom w:val="nil"/>
              <w:right w:val="nil"/>
            </w:tcBorders>
            <w:vAlign w:val="center"/>
            <w:hideMark/>
          </w:tcPr>
          <w:p w14:paraId="58B5577F"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Prepaid expenses</w:t>
            </w:r>
          </w:p>
        </w:tc>
        <w:tc>
          <w:tcPr>
            <w:tcW w:w="0" w:type="auto"/>
            <w:tcBorders>
              <w:top w:val="nil"/>
              <w:left w:val="nil"/>
              <w:bottom w:val="nil"/>
              <w:right w:val="nil"/>
            </w:tcBorders>
            <w:shd w:val="clear" w:color="000000" w:fill="E7E6E6"/>
            <w:noWrap/>
            <w:vAlign w:val="center"/>
            <w:hideMark/>
          </w:tcPr>
          <w:p w14:paraId="3FEA835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70</w:t>
            </w:r>
          </w:p>
        </w:tc>
        <w:tc>
          <w:tcPr>
            <w:tcW w:w="0" w:type="auto"/>
            <w:tcBorders>
              <w:top w:val="nil"/>
              <w:left w:val="nil"/>
              <w:bottom w:val="nil"/>
              <w:right w:val="nil"/>
            </w:tcBorders>
            <w:noWrap/>
            <w:vAlign w:val="center"/>
            <w:hideMark/>
          </w:tcPr>
          <w:p w14:paraId="22BDA98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89</w:t>
            </w:r>
          </w:p>
        </w:tc>
        <w:tc>
          <w:tcPr>
            <w:tcW w:w="0" w:type="auto"/>
            <w:tcBorders>
              <w:top w:val="nil"/>
              <w:left w:val="nil"/>
              <w:bottom w:val="nil"/>
              <w:right w:val="nil"/>
            </w:tcBorders>
            <w:noWrap/>
            <w:vAlign w:val="center"/>
            <w:hideMark/>
          </w:tcPr>
          <w:p w14:paraId="611C67D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105</w:t>
            </w:r>
          </w:p>
        </w:tc>
        <w:tc>
          <w:tcPr>
            <w:tcW w:w="0" w:type="auto"/>
            <w:tcBorders>
              <w:top w:val="nil"/>
              <w:left w:val="nil"/>
              <w:bottom w:val="nil"/>
              <w:right w:val="nil"/>
            </w:tcBorders>
            <w:noWrap/>
            <w:vAlign w:val="center"/>
            <w:hideMark/>
          </w:tcPr>
          <w:p w14:paraId="19C99DB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131</w:t>
            </w:r>
          </w:p>
        </w:tc>
        <w:tc>
          <w:tcPr>
            <w:tcW w:w="0" w:type="auto"/>
            <w:tcBorders>
              <w:top w:val="nil"/>
              <w:left w:val="nil"/>
              <w:bottom w:val="nil"/>
              <w:right w:val="nil"/>
            </w:tcBorders>
            <w:noWrap/>
            <w:vAlign w:val="center"/>
            <w:hideMark/>
          </w:tcPr>
          <w:p w14:paraId="66B46F2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193</w:t>
            </w:r>
          </w:p>
        </w:tc>
        <w:tc>
          <w:tcPr>
            <w:tcW w:w="0" w:type="auto"/>
            <w:tcBorders>
              <w:top w:val="nil"/>
              <w:left w:val="nil"/>
              <w:bottom w:val="nil"/>
              <w:right w:val="nil"/>
            </w:tcBorders>
            <w:noWrap/>
            <w:vAlign w:val="center"/>
            <w:hideMark/>
          </w:tcPr>
          <w:p w14:paraId="3319778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219</w:t>
            </w:r>
          </w:p>
        </w:tc>
      </w:tr>
      <w:tr w:rsidR="00424987" w:rsidRPr="00424987" w14:paraId="69E62D3B" w14:textId="77777777" w:rsidTr="00424987">
        <w:trPr>
          <w:trHeight w:val="288"/>
        </w:trPr>
        <w:tc>
          <w:tcPr>
            <w:tcW w:w="0" w:type="auto"/>
            <w:tcBorders>
              <w:top w:val="nil"/>
              <w:left w:val="nil"/>
              <w:bottom w:val="nil"/>
              <w:right w:val="nil"/>
            </w:tcBorders>
            <w:vAlign w:val="center"/>
            <w:hideMark/>
          </w:tcPr>
          <w:p w14:paraId="67F1FE60"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Other current assets</w:t>
            </w:r>
          </w:p>
        </w:tc>
        <w:tc>
          <w:tcPr>
            <w:tcW w:w="0" w:type="auto"/>
            <w:tcBorders>
              <w:top w:val="nil"/>
              <w:left w:val="nil"/>
              <w:bottom w:val="nil"/>
              <w:right w:val="nil"/>
            </w:tcBorders>
            <w:shd w:val="clear" w:color="000000" w:fill="E7E6E6"/>
            <w:noWrap/>
            <w:vAlign w:val="center"/>
            <w:hideMark/>
          </w:tcPr>
          <w:p w14:paraId="49B89A8A"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98</w:t>
            </w:r>
          </w:p>
        </w:tc>
        <w:tc>
          <w:tcPr>
            <w:tcW w:w="0" w:type="auto"/>
            <w:tcBorders>
              <w:top w:val="nil"/>
              <w:left w:val="nil"/>
              <w:bottom w:val="nil"/>
              <w:right w:val="nil"/>
            </w:tcBorders>
            <w:noWrap/>
            <w:vAlign w:val="center"/>
            <w:hideMark/>
          </w:tcPr>
          <w:p w14:paraId="4A0D8F0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202</w:t>
            </w:r>
          </w:p>
        </w:tc>
        <w:tc>
          <w:tcPr>
            <w:tcW w:w="0" w:type="auto"/>
            <w:tcBorders>
              <w:top w:val="nil"/>
              <w:left w:val="nil"/>
              <w:bottom w:val="nil"/>
              <w:right w:val="nil"/>
            </w:tcBorders>
            <w:noWrap/>
            <w:vAlign w:val="center"/>
            <w:hideMark/>
          </w:tcPr>
          <w:p w14:paraId="0534D2C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152</w:t>
            </w:r>
          </w:p>
        </w:tc>
        <w:tc>
          <w:tcPr>
            <w:tcW w:w="0" w:type="auto"/>
            <w:tcBorders>
              <w:top w:val="nil"/>
              <w:left w:val="nil"/>
              <w:bottom w:val="nil"/>
              <w:right w:val="nil"/>
            </w:tcBorders>
            <w:noWrap/>
            <w:vAlign w:val="center"/>
            <w:hideMark/>
          </w:tcPr>
          <w:p w14:paraId="568761A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121</w:t>
            </w:r>
          </w:p>
        </w:tc>
        <w:tc>
          <w:tcPr>
            <w:tcW w:w="0" w:type="auto"/>
            <w:tcBorders>
              <w:top w:val="nil"/>
              <w:left w:val="nil"/>
              <w:bottom w:val="nil"/>
              <w:right w:val="nil"/>
            </w:tcBorders>
            <w:noWrap/>
            <w:vAlign w:val="center"/>
            <w:hideMark/>
          </w:tcPr>
          <w:p w14:paraId="22BA2E7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120</w:t>
            </w:r>
          </w:p>
        </w:tc>
        <w:tc>
          <w:tcPr>
            <w:tcW w:w="0" w:type="auto"/>
            <w:tcBorders>
              <w:top w:val="nil"/>
              <w:left w:val="nil"/>
              <w:bottom w:val="nil"/>
              <w:right w:val="nil"/>
            </w:tcBorders>
            <w:noWrap/>
            <w:vAlign w:val="center"/>
            <w:hideMark/>
          </w:tcPr>
          <w:p w14:paraId="5B9478A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117</w:t>
            </w:r>
          </w:p>
        </w:tc>
      </w:tr>
      <w:tr w:rsidR="00424987" w:rsidRPr="00424987" w14:paraId="53833E6A" w14:textId="77777777" w:rsidTr="00424987">
        <w:trPr>
          <w:trHeight w:val="288"/>
        </w:trPr>
        <w:tc>
          <w:tcPr>
            <w:tcW w:w="0" w:type="auto"/>
            <w:tcBorders>
              <w:top w:val="single" w:sz="4" w:space="0" w:color="17365D"/>
              <w:left w:val="nil"/>
              <w:bottom w:val="nil"/>
              <w:right w:val="nil"/>
            </w:tcBorders>
            <w:vAlign w:val="center"/>
            <w:hideMark/>
          </w:tcPr>
          <w:p w14:paraId="3E622CF7"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Total current assets</w:t>
            </w:r>
          </w:p>
        </w:tc>
        <w:tc>
          <w:tcPr>
            <w:tcW w:w="0" w:type="auto"/>
            <w:tcBorders>
              <w:top w:val="single" w:sz="4" w:space="0" w:color="17365D"/>
              <w:left w:val="nil"/>
              <w:bottom w:val="nil"/>
              <w:right w:val="nil"/>
            </w:tcBorders>
            <w:shd w:val="clear" w:color="000000" w:fill="E7E6E6"/>
            <w:noWrap/>
            <w:vAlign w:val="center"/>
            <w:hideMark/>
          </w:tcPr>
          <w:p w14:paraId="5763D539"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4,202</w:t>
            </w:r>
          </w:p>
        </w:tc>
        <w:tc>
          <w:tcPr>
            <w:tcW w:w="0" w:type="auto"/>
            <w:tcBorders>
              <w:top w:val="single" w:sz="4" w:space="0" w:color="17365D"/>
              <w:left w:val="nil"/>
              <w:bottom w:val="nil"/>
              <w:right w:val="nil"/>
            </w:tcBorders>
            <w:noWrap/>
            <w:vAlign w:val="center"/>
            <w:hideMark/>
          </w:tcPr>
          <w:p w14:paraId="2BF7CF3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2,871</w:t>
            </w:r>
          </w:p>
        </w:tc>
        <w:tc>
          <w:tcPr>
            <w:tcW w:w="0" w:type="auto"/>
            <w:tcBorders>
              <w:top w:val="single" w:sz="4" w:space="0" w:color="17365D"/>
              <w:left w:val="nil"/>
              <w:bottom w:val="nil"/>
              <w:right w:val="nil"/>
            </w:tcBorders>
            <w:noWrap/>
            <w:vAlign w:val="center"/>
            <w:hideMark/>
          </w:tcPr>
          <w:p w14:paraId="5CD52CD9"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2,870</w:t>
            </w:r>
          </w:p>
        </w:tc>
        <w:tc>
          <w:tcPr>
            <w:tcW w:w="0" w:type="auto"/>
            <w:tcBorders>
              <w:top w:val="single" w:sz="4" w:space="0" w:color="17365D"/>
              <w:left w:val="nil"/>
              <w:bottom w:val="nil"/>
              <w:right w:val="nil"/>
            </w:tcBorders>
            <w:noWrap/>
            <w:vAlign w:val="center"/>
            <w:hideMark/>
          </w:tcPr>
          <w:p w14:paraId="79265FB0"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2,614</w:t>
            </w:r>
          </w:p>
        </w:tc>
        <w:tc>
          <w:tcPr>
            <w:tcW w:w="0" w:type="auto"/>
            <w:tcBorders>
              <w:top w:val="single" w:sz="4" w:space="0" w:color="17365D"/>
              <w:left w:val="nil"/>
              <w:bottom w:val="nil"/>
              <w:right w:val="nil"/>
            </w:tcBorders>
            <w:noWrap/>
            <w:vAlign w:val="center"/>
            <w:hideMark/>
          </w:tcPr>
          <w:p w14:paraId="5031E17E"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3,272</w:t>
            </w:r>
          </w:p>
        </w:tc>
        <w:tc>
          <w:tcPr>
            <w:tcW w:w="0" w:type="auto"/>
            <w:tcBorders>
              <w:top w:val="single" w:sz="4" w:space="0" w:color="17365D"/>
              <w:left w:val="nil"/>
              <w:bottom w:val="nil"/>
              <w:right w:val="nil"/>
            </w:tcBorders>
            <w:noWrap/>
            <w:vAlign w:val="center"/>
            <w:hideMark/>
          </w:tcPr>
          <w:p w14:paraId="24A470AC"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2,996</w:t>
            </w:r>
          </w:p>
        </w:tc>
      </w:tr>
      <w:tr w:rsidR="00424987" w:rsidRPr="00424987" w14:paraId="6E80F80E" w14:textId="77777777" w:rsidTr="00424987">
        <w:trPr>
          <w:trHeight w:val="288"/>
        </w:trPr>
        <w:tc>
          <w:tcPr>
            <w:tcW w:w="0" w:type="auto"/>
            <w:tcBorders>
              <w:top w:val="nil"/>
              <w:left w:val="nil"/>
              <w:bottom w:val="nil"/>
              <w:right w:val="nil"/>
            </w:tcBorders>
            <w:vAlign w:val="center"/>
            <w:hideMark/>
          </w:tcPr>
          <w:p w14:paraId="6CFE50B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Property and equipment, net</w:t>
            </w:r>
          </w:p>
        </w:tc>
        <w:tc>
          <w:tcPr>
            <w:tcW w:w="0" w:type="auto"/>
            <w:tcBorders>
              <w:top w:val="nil"/>
              <w:left w:val="nil"/>
              <w:bottom w:val="nil"/>
              <w:right w:val="nil"/>
            </w:tcBorders>
            <w:shd w:val="clear" w:color="000000" w:fill="E7E6E6"/>
            <w:noWrap/>
            <w:vAlign w:val="center"/>
            <w:hideMark/>
          </w:tcPr>
          <w:p w14:paraId="736C092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346</w:t>
            </w:r>
          </w:p>
        </w:tc>
        <w:tc>
          <w:tcPr>
            <w:tcW w:w="0" w:type="auto"/>
            <w:tcBorders>
              <w:top w:val="nil"/>
              <w:left w:val="nil"/>
              <w:bottom w:val="nil"/>
              <w:right w:val="nil"/>
            </w:tcBorders>
            <w:noWrap/>
            <w:vAlign w:val="center"/>
            <w:hideMark/>
          </w:tcPr>
          <w:p w14:paraId="12A8C4EA"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305</w:t>
            </w:r>
          </w:p>
        </w:tc>
        <w:tc>
          <w:tcPr>
            <w:tcW w:w="0" w:type="auto"/>
            <w:tcBorders>
              <w:top w:val="nil"/>
              <w:left w:val="nil"/>
              <w:bottom w:val="nil"/>
              <w:right w:val="nil"/>
            </w:tcBorders>
            <w:noWrap/>
            <w:vAlign w:val="center"/>
            <w:hideMark/>
          </w:tcPr>
          <w:p w14:paraId="6F96F61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280</w:t>
            </w:r>
          </w:p>
        </w:tc>
        <w:tc>
          <w:tcPr>
            <w:tcW w:w="0" w:type="auto"/>
            <w:tcBorders>
              <w:top w:val="nil"/>
              <w:left w:val="nil"/>
              <w:bottom w:val="nil"/>
              <w:right w:val="nil"/>
            </w:tcBorders>
            <w:noWrap/>
            <w:vAlign w:val="center"/>
            <w:hideMark/>
          </w:tcPr>
          <w:p w14:paraId="0D6B82D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382</w:t>
            </w:r>
          </w:p>
        </w:tc>
        <w:tc>
          <w:tcPr>
            <w:tcW w:w="0" w:type="auto"/>
            <w:tcBorders>
              <w:top w:val="nil"/>
              <w:left w:val="nil"/>
              <w:bottom w:val="nil"/>
              <w:right w:val="nil"/>
            </w:tcBorders>
            <w:noWrap/>
            <w:vAlign w:val="center"/>
            <w:hideMark/>
          </w:tcPr>
          <w:p w14:paraId="7087F5E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411</w:t>
            </w:r>
          </w:p>
        </w:tc>
        <w:tc>
          <w:tcPr>
            <w:tcW w:w="0" w:type="auto"/>
            <w:tcBorders>
              <w:top w:val="nil"/>
              <w:left w:val="nil"/>
              <w:bottom w:val="nil"/>
              <w:right w:val="nil"/>
            </w:tcBorders>
            <w:noWrap/>
            <w:vAlign w:val="center"/>
            <w:hideMark/>
          </w:tcPr>
          <w:p w14:paraId="2AF0AF4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684</w:t>
            </w:r>
          </w:p>
        </w:tc>
      </w:tr>
      <w:tr w:rsidR="00424987" w:rsidRPr="00424987" w14:paraId="78B3FD13" w14:textId="77777777" w:rsidTr="00424987">
        <w:trPr>
          <w:trHeight w:val="288"/>
        </w:trPr>
        <w:tc>
          <w:tcPr>
            <w:tcW w:w="0" w:type="auto"/>
            <w:tcBorders>
              <w:top w:val="single" w:sz="4" w:space="0" w:color="17365D"/>
              <w:left w:val="nil"/>
              <w:bottom w:val="nil"/>
              <w:right w:val="nil"/>
            </w:tcBorders>
            <w:vAlign w:val="center"/>
            <w:hideMark/>
          </w:tcPr>
          <w:p w14:paraId="64B912F1"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Total assets</w:t>
            </w:r>
          </w:p>
        </w:tc>
        <w:tc>
          <w:tcPr>
            <w:tcW w:w="0" w:type="auto"/>
            <w:tcBorders>
              <w:top w:val="single" w:sz="4" w:space="0" w:color="17365D"/>
              <w:left w:val="nil"/>
              <w:bottom w:val="nil"/>
              <w:right w:val="nil"/>
            </w:tcBorders>
            <w:shd w:val="clear" w:color="000000" w:fill="E7E6E6"/>
            <w:noWrap/>
            <w:vAlign w:val="center"/>
            <w:hideMark/>
          </w:tcPr>
          <w:p w14:paraId="2B188A15"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16,755</w:t>
            </w:r>
          </w:p>
        </w:tc>
        <w:tc>
          <w:tcPr>
            <w:tcW w:w="0" w:type="auto"/>
            <w:tcBorders>
              <w:top w:val="single" w:sz="4" w:space="0" w:color="17365D"/>
              <w:left w:val="nil"/>
              <w:bottom w:val="nil"/>
              <w:right w:val="nil"/>
            </w:tcBorders>
            <w:noWrap/>
            <w:vAlign w:val="center"/>
            <w:hideMark/>
          </w:tcPr>
          <w:p w14:paraId="67761BFF"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15,441</w:t>
            </w:r>
          </w:p>
        </w:tc>
        <w:tc>
          <w:tcPr>
            <w:tcW w:w="0" w:type="auto"/>
            <w:tcBorders>
              <w:top w:val="single" w:sz="4" w:space="0" w:color="17365D"/>
              <w:left w:val="nil"/>
              <w:bottom w:val="nil"/>
              <w:right w:val="nil"/>
            </w:tcBorders>
            <w:noWrap/>
            <w:vAlign w:val="center"/>
            <w:hideMark/>
          </w:tcPr>
          <w:p w14:paraId="391CF3B5"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15,512</w:t>
            </w:r>
          </w:p>
        </w:tc>
        <w:tc>
          <w:tcPr>
            <w:tcW w:w="0" w:type="auto"/>
            <w:tcBorders>
              <w:top w:val="single" w:sz="4" w:space="0" w:color="17365D"/>
              <w:left w:val="nil"/>
              <w:bottom w:val="nil"/>
              <w:right w:val="nil"/>
            </w:tcBorders>
            <w:noWrap/>
            <w:vAlign w:val="center"/>
            <w:hideMark/>
          </w:tcPr>
          <w:p w14:paraId="26BE3A13"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15,401</w:t>
            </w:r>
          </w:p>
        </w:tc>
        <w:tc>
          <w:tcPr>
            <w:tcW w:w="0" w:type="auto"/>
            <w:tcBorders>
              <w:top w:val="single" w:sz="4" w:space="0" w:color="17365D"/>
              <w:left w:val="nil"/>
              <w:bottom w:val="nil"/>
              <w:right w:val="nil"/>
            </w:tcBorders>
            <w:noWrap/>
            <w:vAlign w:val="center"/>
            <w:hideMark/>
          </w:tcPr>
          <w:p w14:paraId="6AC6C424"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16,522</w:t>
            </w:r>
          </w:p>
        </w:tc>
        <w:tc>
          <w:tcPr>
            <w:tcW w:w="0" w:type="auto"/>
            <w:tcBorders>
              <w:top w:val="single" w:sz="4" w:space="0" w:color="17365D"/>
              <w:left w:val="nil"/>
              <w:bottom w:val="nil"/>
              <w:right w:val="nil"/>
            </w:tcBorders>
            <w:noWrap/>
            <w:vAlign w:val="center"/>
            <w:hideMark/>
          </w:tcPr>
          <w:p w14:paraId="665F7FBA"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16,774</w:t>
            </w:r>
          </w:p>
        </w:tc>
      </w:tr>
      <w:tr w:rsidR="00424987" w:rsidRPr="00424987" w14:paraId="6505BA91" w14:textId="77777777" w:rsidTr="00424987">
        <w:trPr>
          <w:trHeight w:val="288"/>
        </w:trPr>
        <w:tc>
          <w:tcPr>
            <w:tcW w:w="0" w:type="auto"/>
            <w:tcBorders>
              <w:top w:val="nil"/>
              <w:left w:val="nil"/>
              <w:bottom w:val="nil"/>
              <w:right w:val="nil"/>
            </w:tcBorders>
            <w:vAlign w:val="center"/>
            <w:hideMark/>
          </w:tcPr>
          <w:p w14:paraId="2C00C16F"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lastRenderedPageBreak/>
              <w:t>Accounts payable, accrued expenses and other</w:t>
            </w:r>
          </w:p>
        </w:tc>
        <w:tc>
          <w:tcPr>
            <w:tcW w:w="0" w:type="auto"/>
            <w:tcBorders>
              <w:top w:val="nil"/>
              <w:left w:val="nil"/>
              <w:bottom w:val="nil"/>
              <w:right w:val="nil"/>
            </w:tcBorders>
            <w:shd w:val="clear" w:color="000000" w:fill="E7E6E6"/>
            <w:noWrap/>
            <w:vAlign w:val="center"/>
            <w:hideMark/>
          </w:tcPr>
          <w:p w14:paraId="340978C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1,302</w:t>
            </w:r>
          </w:p>
        </w:tc>
        <w:tc>
          <w:tcPr>
            <w:tcW w:w="0" w:type="auto"/>
            <w:tcBorders>
              <w:top w:val="nil"/>
              <w:left w:val="nil"/>
              <w:bottom w:val="nil"/>
              <w:right w:val="nil"/>
            </w:tcBorders>
            <w:noWrap/>
            <w:vAlign w:val="center"/>
            <w:hideMark/>
          </w:tcPr>
          <w:p w14:paraId="6A6BE9C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1,568</w:t>
            </w:r>
          </w:p>
        </w:tc>
        <w:tc>
          <w:tcPr>
            <w:tcW w:w="0" w:type="auto"/>
            <w:tcBorders>
              <w:top w:val="nil"/>
              <w:left w:val="nil"/>
              <w:bottom w:val="nil"/>
              <w:right w:val="nil"/>
            </w:tcBorders>
            <w:noWrap/>
            <w:vAlign w:val="center"/>
            <w:hideMark/>
          </w:tcPr>
          <w:p w14:paraId="48F5201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1,790</w:t>
            </w:r>
          </w:p>
        </w:tc>
        <w:tc>
          <w:tcPr>
            <w:tcW w:w="0" w:type="auto"/>
            <w:tcBorders>
              <w:top w:val="nil"/>
              <w:left w:val="nil"/>
              <w:bottom w:val="nil"/>
              <w:right w:val="nil"/>
            </w:tcBorders>
            <w:noWrap/>
            <w:vAlign w:val="center"/>
            <w:hideMark/>
          </w:tcPr>
          <w:p w14:paraId="7EDCB1D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1,979</w:t>
            </w:r>
          </w:p>
        </w:tc>
        <w:tc>
          <w:tcPr>
            <w:tcW w:w="0" w:type="auto"/>
            <w:tcBorders>
              <w:top w:val="nil"/>
              <w:left w:val="nil"/>
              <w:bottom w:val="nil"/>
              <w:right w:val="nil"/>
            </w:tcBorders>
            <w:noWrap/>
            <w:vAlign w:val="center"/>
            <w:hideMark/>
          </w:tcPr>
          <w:p w14:paraId="739ED09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2,124</w:t>
            </w:r>
          </w:p>
        </w:tc>
        <w:tc>
          <w:tcPr>
            <w:tcW w:w="0" w:type="auto"/>
            <w:tcBorders>
              <w:top w:val="nil"/>
              <w:left w:val="nil"/>
              <w:bottom w:val="nil"/>
              <w:right w:val="nil"/>
            </w:tcBorders>
            <w:noWrap/>
            <w:vAlign w:val="center"/>
            <w:hideMark/>
          </w:tcPr>
          <w:p w14:paraId="2EB4B16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2,336</w:t>
            </w:r>
          </w:p>
        </w:tc>
      </w:tr>
      <w:tr w:rsidR="00424987" w:rsidRPr="00424987" w14:paraId="157DE07C" w14:textId="77777777" w:rsidTr="00424987">
        <w:trPr>
          <w:trHeight w:val="288"/>
        </w:trPr>
        <w:tc>
          <w:tcPr>
            <w:tcW w:w="0" w:type="auto"/>
            <w:tcBorders>
              <w:top w:val="nil"/>
              <w:left w:val="nil"/>
              <w:bottom w:val="nil"/>
              <w:right w:val="nil"/>
            </w:tcBorders>
            <w:vAlign w:val="center"/>
            <w:hideMark/>
          </w:tcPr>
          <w:p w14:paraId="27D32ED5"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Current maturities of long-term debt</w:t>
            </w:r>
          </w:p>
        </w:tc>
        <w:tc>
          <w:tcPr>
            <w:tcW w:w="0" w:type="auto"/>
            <w:tcBorders>
              <w:top w:val="nil"/>
              <w:left w:val="nil"/>
              <w:bottom w:val="nil"/>
              <w:right w:val="nil"/>
            </w:tcBorders>
            <w:shd w:val="clear" w:color="000000" w:fill="E7E6E6"/>
            <w:noWrap/>
            <w:vAlign w:val="center"/>
            <w:hideMark/>
          </w:tcPr>
          <w:p w14:paraId="6BB8794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56</w:t>
            </w:r>
          </w:p>
        </w:tc>
        <w:tc>
          <w:tcPr>
            <w:tcW w:w="0" w:type="auto"/>
            <w:tcBorders>
              <w:top w:val="nil"/>
              <w:left w:val="nil"/>
              <w:bottom w:val="nil"/>
              <w:right w:val="nil"/>
            </w:tcBorders>
            <w:noWrap/>
            <w:vAlign w:val="center"/>
            <w:hideMark/>
          </w:tcPr>
          <w:p w14:paraId="1F11286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54</w:t>
            </w:r>
          </w:p>
        </w:tc>
        <w:tc>
          <w:tcPr>
            <w:tcW w:w="0" w:type="auto"/>
            <w:tcBorders>
              <w:top w:val="nil"/>
              <w:left w:val="nil"/>
              <w:bottom w:val="nil"/>
              <w:right w:val="nil"/>
            </w:tcBorders>
            <w:noWrap/>
            <w:vAlign w:val="center"/>
            <w:hideMark/>
          </w:tcPr>
          <w:p w14:paraId="7046E2A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39</w:t>
            </w:r>
          </w:p>
        </w:tc>
        <w:tc>
          <w:tcPr>
            <w:tcW w:w="0" w:type="auto"/>
            <w:tcBorders>
              <w:top w:val="nil"/>
              <w:left w:val="nil"/>
              <w:bottom w:val="nil"/>
              <w:right w:val="nil"/>
            </w:tcBorders>
            <w:noWrap/>
            <w:vAlign w:val="center"/>
            <w:hideMark/>
          </w:tcPr>
          <w:p w14:paraId="6A733E6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39</w:t>
            </w:r>
          </w:p>
        </w:tc>
        <w:tc>
          <w:tcPr>
            <w:tcW w:w="0" w:type="auto"/>
            <w:tcBorders>
              <w:top w:val="nil"/>
              <w:left w:val="nil"/>
              <w:bottom w:val="nil"/>
              <w:right w:val="nil"/>
            </w:tcBorders>
            <w:noWrap/>
            <w:vAlign w:val="center"/>
            <w:hideMark/>
          </w:tcPr>
          <w:p w14:paraId="622E8FF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535</w:t>
            </w:r>
          </w:p>
        </w:tc>
        <w:tc>
          <w:tcPr>
            <w:tcW w:w="0" w:type="auto"/>
            <w:tcBorders>
              <w:top w:val="nil"/>
              <w:left w:val="nil"/>
              <w:bottom w:val="nil"/>
              <w:right w:val="nil"/>
            </w:tcBorders>
            <w:noWrap/>
            <w:vAlign w:val="center"/>
            <w:hideMark/>
          </w:tcPr>
          <w:p w14:paraId="2F561C0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25</w:t>
            </w:r>
          </w:p>
        </w:tc>
      </w:tr>
      <w:tr w:rsidR="00424987" w:rsidRPr="00424987" w14:paraId="323B2EB4" w14:textId="77777777" w:rsidTr="00424987">
        <w:trPr>
          <w:trHeight w:val="288"/>
        </w:trPr>
        <w:tc>
          <w:tcPr>
            <w:tcW w:w="0" w:type="auto"/>
            <w:tcBorders>
              <w:top w:val="nil"/>
              <w:left w:val="nil"/>
              <w:bottom w:val="nil"/>
              <w:right w:val="nil"/>
            </w:tcBorders>
            <w:vAlign w:val="center"/>
            <w:hideMark/>
          </w:tcPr>
          <w:p w14:paraId="1919A168"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Current portion of deferred revenue</w:t>
            </w:r>
          </w:p>
        </w:tc>
        <w:tc>
          <w:tcPr>
            <w:tcW w:w="0" w:type="auto"/>
            <w:tcBorders>
              <w:top w:val="nil"/>
              <w:left w:val="nil"/>
              <w:bottom w:val="nil"/>
              <w:right w:val="nil"/>
            </w:tcBorders>
            <w:shd w:val="clear" w:color="000000" w:fill="E7E6E6"/>
            <w:noWrap/>
            <w:vAlign w:val="center"/>
            <w:hideMark/>
          </w:tcPr>
          <w:p w14:paraId="0751DAA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370</w:t>
            </w:r>
          </w:p>
        </w:tc>
        <w:tc>
          <w:tcPr>
            <w:tcW w:w="0" w:type="auto"/>
            <w:tcBorders>
              <w:top w:val="nil"/>
              <w:left w:val="nil"/>
              <w:bottom w:val="nil"/>
              <w:right w:val="nil"/>
            </w:tcBorders>
            <w:noWrap/>
            <w:vAlign w:val="center"/>
            <w:hideMark/>
          </w:tcPr>
          <w:p w14:paraId="6A3D807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350</w:t>
            </w:r>
          </w:p>
        </w:tc>
        <w:tc>
          <w:tcPr>
            <w:tcW w:w="0" w:type="auto"/>
            <w:tcBorders>
              <w:top w:val="nil"/>
              <w:left w:val="nil"/>
              <w:bottom w:val="nil"/>
              <w:right w:val="nil"/>
            </w:tcBorders>
            <w:noWrap/>
            <w:vAlign w:val="center"/>
            <w:hideMark/>
          </w:tcPr>
          <w:p w14:paraId="547672F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433</w:t>
            </w:r>
          </w:p>
        </w:tc>
        <w:tc>
          <w:tcPr>
            <w:tcW w:w="0" w:type="auto"/>
            <w:tcBorders>
              <w:top w:val="nil"/>
              <w:left w:val="nil"/>
              <w:bottom w:val="nil"/>
              <w:right w:val="nil"/>
            </w:tcBorders>
            <w:noWrap/>
            <w:vAlign w:val="center"/>
            <w:hideMark/>
          </w:tcPr>
          <w:p w14:paraId="5F24E20A"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502</w:t>
            </w:r>
          </w:p>
        </w:tc>
        <w:tc>
          <w:tcPr>
            <w:tcW w:w="0" w:type="auto"/>
            <w:tcBorders>
              <w:top w:val="nil"/>
              <w:left w:val="nil"/>
              <w:bottom w:val="nil"/>
              <w:right w:val="nil"/>
            </w:tcBorders>
            <w:noWrap/>
            <w:vAlign w:val="center"/>
            <w:hideMark/>
          </w:tcPr>
          <w:p w14:paraId="25008CF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664</w:t>
            </w:r>
          </w:p>
        </w:tc>
        <w:tc>
          <w:tcPr>
            <w:tcW w:w="0" w:type="auto"/>
            <w:tcBorders>
              <w:top w:val="nil"/>
              <w:left w:val="nil"/>
              <w:bottom w:val="nil"/>
              <w:right w:val="nil"/>
            </w:tcBorders>
            <w:noWrap/>
            <w:vAlign w:val="center"/>
            <w:hideMark/>
          </w:tcPr>
          <w:p w14:paraId="212C0EA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858</w:t>
            </w:r>
          </w:p>
        </w:tc>
      </w:tr>
      <w:tr w:rsidR="00424987" w:rsidRPr="00424987" w14:paraId="1678B88E" w14:textId="77777777" w:rsidTr="00424987">
        <w:trPr>
          <w:trHeight w:val="288"/>
        </w:trPr>
        <w:tc>
          <w:tcPr>
            <w:tcW w:w="0" w:type="auto"/>
            <w:tcBorders>
              <w:top w:val="nil"/>
              <w:left w:val="nil"/>
              <w:bottom w:val="nil"/>
              <w:right w:val="nil"/>
            </w:tcBorders>
            <w:vAlign w:val="center"/>
            <w:hideMark/>
          </w:tcPr>
          <w:p w14:paraId="237B89E8"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Current portion of loyalty-program liability</w:t>
            </w:r>
          </w:p>
        </w:tc>
        <w:tc>
          <w:tcPr>
            <w:tcW w:w="0" w:type="auto"/>
            <w:tcBorders>
              <w:top w:val="nil"/>
              <w:left w:val="nil"/>
              <w:bottom w:val="nil"/>
              <w:right w:val="nil"/>
            </w:tcBorders>
            <w:shd w:val="clear" w:color="000000" w:fill="E7E6E6"/>
            <w:noWrap/>
            <w:vAlign w:val="center"/>
            <w:hideMark/>
          </w:tcPr>
          <w:p w14:paraId="55664CF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703</w:t>
            </w:r>
          </w:p>
        </w:tc>
        <w:tc>
          <w:tcPr>
            <w:tcW w:w="0" w:type="auto"/>
            <w:tcBorders>
              <w:top w:val="nil"/>
              <w:left w:val="nil"/>
              <w:bottom w:val="nil"/>
              <w:right w:val="nil"/>
            </w:tcBorders>
            <w:noWrap/>
            <w:vAlign w:val="center"/>
            <w:hideMark/>
          </w:tcPr>
          <w:p w14:paraId="50A29437"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1,047</w:t>
            </w:r>
          </w:p>
        </w:tc>
        <w:tc>
          <w:tcPr>
            <w:tcW w:w="0" w:type="auto"/>
            <w:tcBorders>
              <w:top w:val="nil"/>
              <w:left w:val="nil"/>
              <w:bottom w:val="nil"/>
              <w:right w:val="nil"/>
            </w:tcBorders>
            <w:noWrap/>
            <w:vAlign w:val="center"/>
            <w:hideMark/>
          </w:tcPr>
          <w:p w14:paraId="081CD39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1,110</w:t>
            </w:r>
          </w:p>
        </w:tc>
        <w:tc>
          <w:tcPr>
            <w:tcW w:w="0" w:type="auto"/>
            <w:tcBorders>
              <w:top w:val="nil"/>
              <w:left w:val="nil"/>
              <w:bottom w:val="nil"/>
              <w:right w:val="nil"/>
            </w:tcBorders>
            <w:noWrap/>
            <w:vAlign w:val="center"/>
            <w:hideMark/>
          </w:tcPr>
          <w:p w14:paraId="54EDA73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1,202</w:t>
            </w:r>
          </w:p>
        </w:tc>
        <w:tc>
          <w:tcPr>
            <w:tcW w:w="0" w:type="auto"/>
            <w:tcBorders>
              <w:top w:val="nil"/>
              <w:left w:val="nil"/>
              <w:bottom w:val="nil"/>
              <w:right w:val="nil"/>
            </w:tcBorders>
            <w:noWrap/>
            <w:vAlign w:val="center"/>
            <w:hideMark/>
          </w:tcPr>
          <w:p w14:paraId="3C33AEC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1,377</w:t>
            </w:r>
          </w:p>
        </w:tc>
        <w:tc>
          <w:tcPr>
            <w:tcW w:w="0" w:type="auto"/>
            <w:tcBorders>
              <w:top w:val="nil"/>
              <w:left w:val="nil"/>
              <w:bottom w:val="nil"/>
              <w:right w:val="nil"/>
            </w:tcBorders>
            <w:noWrap/>
            <w:vAlign w:val="center"/>
            <w:hideMark/>
          </w:tcPr>
          <w:p w14:paraId="25C5206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1,289</w:t>
            </w:r>
          </w:p>
        </w:tc>
      </w:tr>
      <w:tr w:rsidR="00424987" w:rsidRPr="00424987" w14:paraId="4EFA8E37" w14:textId="77777777" w:rsidTr="00424987">
        <w:trPr>
          <w:trHeight w:val="288"/>
        </w:trPr>
        <w:tc>
          <w:tcPr>
            <w:tcW w:w="0" w:type="auto"/>
            <w:tcBorders>
              <w:top w:val="single" w:sz="4" w:space="0" w:color="17365D"/>
              <w:left w:val="nil"/>
              <w:bottom w:val="nil"/>
              <w:right w:val="nil"/>
            </w:tcBorders>
            <w:vAlign w:val="center"/>
            <w:hideMark/>
          </w:tcPr>
          <w:p w14:paraId="304CEEB6"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Total current liabilities</w:t>
            </w:r>
          </w:p>
        </w:tc>
        <w:tc>
          <w:tcPr>
            <w:tcW w:w="0" w:type="auto"/>
            <w:tcBorders>
              <w:top w:val="single" w:sz="4" w:space="0" w:color="17365D"/>
              <w:left w:val="nil"/>
              <w:bottom w:val="nil"/>
              <w:right w:val="nil"/>
            </w:tcBorders>
            <w:shd w:val="clear" w:color="000000" w:fill="E7E6E6"/>
            <w:noWrap/>
            <w:vAlign w:val="center"/>
            <w:hideMark/>
          </w:tcPr>
          <w:p w14:paraId="126E8EC4"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2,431</w:t>
            </w:r>
          </w:p>
        </w:tc>
        <w:tc>
          <w:tcPr>
            <w:tcW w:w="0" w:type="auto"/>
            <w:tcBorders>
              <w:top w:val="single" w:sz="4" w:space="0" w:color="17365D"/>
              <w:left w:val="nil"/>
              <w:bottom w:val="nil"/>
              <w:right w:val="nil"/>
            </w:tcBorders>
            <w:noWrap/>
            <w:vAlign w:val="center"/>
            <w:hideMark/>
          </w:tcPr>
          <w:p w14:paraId="3667B618"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3,019</w:t>
            </w:r>
          </w:p>
        </w:tc>
        <w:tc>
          <w:tcPr>
            <w:tcW w:w="0" w:type="auto"/>
            <w:tcBorders>
              <w:top w:val="single" w:sz="4" w:space="0" w:color="17365D"/>
              <w:left w:val="nil"/>
              <w:bottom w:val="nil"/>
              <w:right w:val="nil"/>
            </w:tcBorders>
            <w:noWrap/>
            <w:vAlign w:val="center"/>
            <w:hideMark/>
          </w:tcPr>
          <w:p w14:paraId="43C175BC"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3,372</w:t>
            </w:r>
          </w:p>
        </w:tc>
        <w:tc>
          <w:tcPr>
            <w:tcW w:w="0" w:type="auto"/>
            <w:tcBorders>
              <w:top w:val="single" w:sz="4" w:space="0" w:color="17365D"/>
              <w:left w:val="nil"/>
              <w:bottom w:val="nil"/>
              <w:right w:val="nil"/>
            </w:tcBorders>
            <w:noWrap/>
            <w:vAlign w:val="center"/>
            <w:hideMark/>
          </w:tcPr>
          <w:p w14:paraId="6FCE7DEB"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3,722</w:t>
            </w:r>
          </w:p>
        </w:tc>
        <w:tc>
          <w:tcPr>
            <w:tcW w:w="0" w:type="auto"/>
            <w:tcBorders>
              <w:top w:val="single" w:sz="4" w:space="0" w:color="17365D"/>
              <w:left w:val="nil"/>
              <w:bottom w:val="nil"/>
              <w:right w:val="nil"/>
            </w:tcBorders>
            <w:noWrap/>
            <w:vAlign w:val="center"/>
            <w:hideMark/>
          </w:tcPr>
          <w:p w14:paraId="5FC18B4B"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4,700</w:t>
            </w:r>
          </w:p>
        </w:tc>
        <w:tc>
          <w:tcPr>
            <w:tcW w:w="0" w:type="auto"/>
            <w:tcBorders>
              <w:top w:val="single" w:sz="4" w:space="0" w:color="17365D"/>
              <w:left w:val="nil"/>
              <w:bottom w:val="nil"/>
              <w:right w:val="nil"/>
            </w:tcBorders>
            <w:noWrap/>
            <w:vAlign w:val="center"/>
            <w:hideMark/>
          </w:tcPr>
          <w:p w14:paraId="1F099DE1"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4,508</w:t>
            </w:r>
          </w:p>
        </w:tc>
      </w:tr>
      <w:tr w:rsidR="00424987" w:rsidRPr="00424987" w14:paraId="762DCD0D" w14:textId="77777777" w:rsidTr="00424987">
        <w:trPr>
          <w:trHeight w:val="288"/>
        </w:trPr>
        <w:tc>
          <w:tcPr>
            <w:tcW w:w="0" w:type="auto"/>
            <w:tcBorders>
              <w:top w:val="nil"/>
              <w:left w:val="nil"/>
              <w:bottom w:val="nil"/>
              <w:right w:val="nil"/>
            </w:tcBorders>
            <w:vAlign w:val="center"/>
            <w:hideMark/>
          </w:tcPr>
          <w:p w14:paraId="7D2EA6C6"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Long-term debt</w:t>
            </w:r>
          </w:p>
        </w:tc>
        <w:tc>
          <w:tcPr>
            <w:tcW w:w="0" w:type="auto"/>
            <w:tcBorders>
              <w:top w:val="nil"/>
              <w:left w:val="nil"/>
              <w:bottom w:val="nil"/>
              <w:right w:val="nil"/>
            </w:tcBorders>
            <w:shd w:val="clear" w:color="000000" w:fill="E7E6E6"/>
            <w:noWrap/>
            <w:vAlign w:val="center"/>
            <w:hideMark/>
          </w:tcPr>
          <w:p w14:paraId="01C0EF1F"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10,431</w:t>
            </w:r>
          </w:p>
        </w:tc>
        <w:tc>
          <w:tcPr>
            <w:tcW w:w="0" w:type="auto"/>
            <w:tcBorders>
              <w:top w:val="nil"/>
              <w:left w:val="nil"/>
              <w:bottom w:val="nil"/>
              <w:right w:val="nil"/>
            </w:tcBorders>
            <w:noWrap/>
            <w:vAlign w:val="center"/>
            <w:hideMark/>
          </w:tcPr>
          <w:p w14:paraId="61A22F08"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8,712</w:t>
            </w:r>
          </w:p>
        </w:tc>
        <w:tc>
          <w:tcPr>
            <w:tcW w:w="0" w:type="auto"/>
            <w:tcBorders>
              <w:top w:val="nil"/>
              <w:left w:val="nil"/>
              <w:bottom w:val="nil"/>
              <w:right w:val="nil"/>
            </w:tcBorders>
            <w:noWrap/>
            <w:vAlign w:val="center"/>
            <w:hideMark/>
          </w:tcPr>
          <w:p w14:paraId="25F33DA5"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8,708</w:t>
            </w:r>
          </w:p>
        </w:tc>
        <w:tc>
          <w:tcPr>
            <w:tcW w:w="0" w:type="auto"/>
            <w:tcBorders>
              <w:top w:val="nil"/>
              <w:left w:val="nil"/>
              <w:bottom w:val="nil"/>
              <w:right w:val="nil"/>
            </w:tcBorders>
            <w:noWrap/>
            <w:vAlign w:val="center"/>
            <w:hideMark/>
          </w:tcPr>
          <w:p w14:paraId="7F90B775"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9,157</w:t>
            </w:r>
          </w:p>
        </w:tc>
        <w:tc>
          <w:tcPr>
            <w:tcW w:w="0" w:type="auto"/>
            <w:tcBorders>
              <w:top w:val="nil"/>
              <w:left w:val="nil"/>
              <w:bottom w:val="nil"/>
              <w:right w:val="nil"/>
            </w:tcBorders>
            <w:noWrap/>
            <w:vAlign w:val="center"/>
            <w:hideMark/>
          </w:tcPr>
          <w:p w14:paraId="6DDAFF82"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10,616</w:t>
            </w:r>
          </w:p>
        </w:tc>
        <w:tc>
          <w:tcPr>
            <w:tcW w:w="0" w:type="auto"/>
            <w:tcBorders>
              <w:top w:val="nil"/>
              <w:left w:val="nil"/>
              <w:bottom w:val="nil"/>
              <w:right w:val="nil"/>
            </w:tcBorders>
            <w:noWrap/>
            <w:vAlign w:val="center"/>
            <w:hideMark/>
          </w:tcPr>
          <w:p w14:paraId="05890FBF"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12,338</w:t>
            </w:r>
          </w:p>
        </w:tc>
      </w:tr>
      <w:tr w:rsidR="00424987" w:rsidRPr="00424987" w14:paraId="059B5951" w14:textId="77777777" w:rsidTr="00424987">
        <w:trPr>
          <w:trHeight w:val="288"/>
        </w:trPr>
        <w:tc>
          <w:tcPr>
            <w:tcW w:w="0" w:type="auto"/>
            <w:tcBorders>
              <w:top w:val="single" w:sz="4" w:space="0" w:color="17365D"/>
              <w:left w:val="nil"/>
              <w:bottom w:val="nil"/>
              <w:right w:val="nil"/>
            </w:tcBorders>
            <w:vAlign w:val="center"/>
            <w:hideMark/>
          </w:tcPr>
          <w:p w14:paraId="5620748A"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Total liabilities</w:t>
            </w:r>
          </w:p>
        </w:tc>
        <w:tc>
          <w:tcPr>
            <w:tcW w:w="0" w:type="auto"/>
            <w:tcBorders>
              <w:top w:val="single" w:sz="4" w:space="0" w:color="17365D"/>
              <w:left w:val="nil"/>
              <w:bottom w:val="nil"/>
              <w:right w:val="nil"/>
            </w:tcBorders>
            <w:shd w:val="clear" w:color="000000" w:fill="E7E6E6"/>
            <w:noWrap/>
            <w:vAlign w:val="center"/>
            <w:hideMark/>
          </w:tcPr>
          <w:p w14:paraId="3623C60C"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18,241</w:t>
            </w:r>
          </w:p>
        </w:tc>
        <w:tc>
          <w:tcPr>
            <w:tcW w:w="0" w:type="auto"/>
            <w:tcBorders>
              <w:top w:val="single" w:sz="4" w:space="0" w:color="17365D"/>
              <w:left w:val="nil"/>
              <w:bottom w:val="nil"/>
              <w:right w:val="nil"/>
            </w:tcBorders>
            <w:noWrap/>
            <w:vAlign w:val="center"/>
            <w:hideMark/>
          </w:tcPr>
          <w:p w14:paraId="15719420"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16,260</w:t>
            </w:r>
          </w:p>
        </w:tc>
        <w:tc>
          <w:tcPr>
            <w:tcW w:w="0" w:type="auto"/>
            <w:tcBorders>
              <w:top w:val="single" w:sz="4" w:space="0" w:color="17365D"/>
              <w:left w:val="nil"/>
              <w:bottom w:val="nil"/>
              <w:right w:val="nil"/>
            </w:tcBorders>
            <w:noWrap/>
            <w:vAlign w:val="center"/>
            <w:hideMark/>
          </w:tcPr>
          <w:p w14:paraId="414C5A54"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16,610</w:t>
            </w:r>
          </w:p>
        </w:tc>
        <w:tc>
          <w:tcPr>
            <w:tcW w:w="0" w:type="auto"/>
            <w:tcBorders>
              <w:top w:val="single" w:sz="4" w:space="0" w:color="17365D"/>
              <w:left w:val="nil"/>
              <w:bottom w:val="nil"/>
              <w:right w:val="nil"/>
            </w:tcBorders>
            <w:noWrap/>
            <w:vAlign w:val="center"/>
            <w:hideMark/>
          </w:tcPr>
          <w:p w14:paraId="2932260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17,748</w:t>
            </w:r>
          </w:p>
        </w:tc>
        <w:tc>
          <w:tcPr>
            <w:tcW w:w="0" w:type="auto"/>
            <w:tcBorders>
              <w:top w:val="single" w:sz="4" w:space="0" w:color="17365D"/>
              <w:left w:val="nil"/>
              <w:bottom w:val="nil"/>
              <w:right w:val="nil"/>
            </w:tcBorders>
            <w:noWrap/>
            <w:vAlign w:val="center"/>
            <w:hideMark/>
          </w:tcPr>
          <w:p w14:paraId="03E9A866"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20,211</w:t>
            </w:r>
          </w:p>
        </w:tc>
        <w:tc>
          <w:tcPr>
            <w:tcW w:w="0" w:type="auto"/>
            <w:tcBorders>
              <w:top w:val="single" w:sz="4" w:space="0" w:color="17365D"/>
              <w:left w:val="nil"/>
              <w:bottom w:val="nil"/>
              <w:right w:val="nil"/>
            </w:tcBorders>
            <w:noWrap/>
            <w:vAlign w:val="center"/>
            <w:hideMark/>
          </w:tcPr>
          <w:p w14:paraId="35EDF9F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22,120</w:t>
            </w:r>
          </w:p>
        </w:tc>
      </w:tr>
      <w:tr w:rsidR="00424987" w:rsidRPr="00424987" w14:paraId="75CFAC32" w14:textId="77777777" w:rsidTr="00424987">
        <w:trPr>
          <w:trHeight w:val="288"/>
        </w:trPr>
        <w:tc>
          <w:tcPr>
            <w:tcW w:w="0" w:type="auto"/>
            <w:tcBorders>
              <w:top w:val="nil"/>
              <w:left w:val="nil"/>
              <w:bottom w:val="nil"/>
              <w:right w:val="nil"/>
            </w:tcBorders>
            <w:vAlign w:val="center"/>
            <w:hideMark/>
          </w:tcPr>
          <w:p w14:paraId="33BE3113"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Hilton stockholders' deficit</w:t>
            </w:r>
          </w:p>
        </w:tc>
        <w:tc>
          <w:tcPr>
            <w:tcW w:w="0" w:type="auto"/>
            <w:tcBorders>
              <w:top w:val="nil"/>
              <w:left w:val="nil"/>
              <w:bottom w:val="nil"/>
              <w:right w:val="nil"/>
            </w:tcBorders>
            <w:shd w:val="clear" w:color="000000" w:fill="E7E6E6"/>
            <w:noWrap/>
            <w:vAlign w:val="center"/>
            <w:hideMark/>
          </w:tcPr>
          <w:p w14:paraId="226D65AB" w14:textId="77777777" w:rsidR="00424987" w:rsidRPr="00424987" w:rsidRDefault="00424987" w:rsidP="00424987">
            <w:pPr>
              <w:spacing w:after="0" w:line="360" w:lineRule="auto"/>
              <w:jc w:val="right"/>
              <w:rPr>
                <w:rFonts w:ascii="Arial" w:eastAsia="Times New Roman" w:hAnsi="Arial" w:cs="Arial"/>
                <w:color w:val="0000FF"/>
                <w:sz w:val="24"/>
                <w:szCs w:val="24"/>
              </w:rPr>
            </w:pPr>
            <w:r w:rsidRPr="00424987">
              <w:rPr>
                <w:rFonts w:ascii="Arial" w:eastAsia="Times New Roman" w:hAnsi="Arial" w:cs="Arial"/>
                <w:color w:val="FF0000"/>
                <w:sz w:val="24"/>
                <w:szCs w:val="24"/>
              </w:rPr>
              <w:t>(1,490)</w:t>
            </w:r>
          </w:p>
        </w:tc>
        <w:tc>
          <w:tcPr>
            <w:tcW w:w="0" w:type="auto"/>
            <w:tcBorders>
              <w:top w:val="nil"/>
              <w:left w:val="nil"/>
              <w:bottom w:val="nil"/>
              <w:right w:val="nil"/>
            </w:tcBorders>
            <w:noWrap/>
            <w:vAlign w:val="center"/>
            <w:hideMark/>
          </w:tcPr>
          <w:p w14:paraId="59E21AB3" w14:textId="77777777" w:rsidR="00424987" w:rsidRPr="00424987" w:rsidRDefault="00424987" w:rsidP="00424987">
            <w:pPr>
              <w:spacing w:after="0" w:line="360" w:lineRule="auto"/>
              <w:jc w:val="right"/>
              <w:rPr>
                <w:rFonts w:ascii="Arial" w:eastAsia="Times New Roman" w:hAnsi="Arial" w:cs="Arial"/>
                <w:color w:val="0000FF"/>
                <w:sz w:val="24"/>
                <w:szCs w:val="24"/>
              </w:rPr>
            </w:pPr>
            <w:r w:rsidRPr="00424987">
              <w:rPr>
                <w:rFonts w:ascii="Arial" w:eastAsia="Times New Roman" w:hAnsi="Arial" w:cs="Arial"/>
                <w:color w:val="FF0000"/>
                <w:sz w:val="24"/>
                <w:szCs w:val="24"/>
              </w:rPr>
              <w:t>(821)</w:t>
            </w:r>
          </w:p>
        </w:tc>
        <w:tc>
          <w:tcPr>
            <w:tcW w:w="0" w:type="auto"/>
            <w:tcBorders>
              <w:top w:val="nil"/>
              <w:left w:val="nil"/>
              <w:bottom w:val="nil"/>
              <w:right w:val="nil"/>
            </w:tcBorders>
            <w:noWrap/>
            <w:vAlign w:val="center"/>
            <w:hideMark/>
          </w:tcPr>
          <w:p w14:paraId="52272D1A" w14:textId="77777777" w:rsidR="00424987" w:rsidRPr="00424987" w:rsidRDefault="00424987" w:rsidP="00424987">
            <w:pPr>
              <w:spacing w:after="0" w:line="360" w:lineRule="auto"/>
              <w:jc w:val="right"/>
              <w:rPr>
                <w:rFonts w:ascii="Arial" w:eastAsia="Times New Roman" w:hAnsi="Arial" w:cs="Arial"/>
                <w:color w:val="0000FF"/>
                <w:sz w:val="24"/>
                <w:szCs w:val="24"/>
              </w:rPr>
            </w:pPr>
            <w:r w:rsidRPr="00424987">
              <w:rPr>
                <w:rFonts w:ascii="Arial" w:eastAsia="Times New Roman" w:hAnsi="Arial" w:cs="Arial"/>
                <w:color w:val="FF0000"/>
                <w:sz w:val="24"/>
                <w:szCs w:val="24"/>
              </w:rPr>
              <w:t>(1,102)</w:t>
            </w:r>
          </w:p>
        </w:tc>
        <w:tc>
          <w:tcPr>
            <w:tcW w:w="0" w:type="auto"/>
            <w:tcBorders>
              <w:top w:val="nil"/>
              <w:left w:val="nil"/>
              <w:bottom w:val="nil"/>
              <w:right w:val="nil"/>
            </w:tcBorders>
            <w:noWrap/>
            <w:vAlign w:val="center"/>
            <w:hideMark/>
          </w:tcPr>
          <w:p w14:paraId="43FA23C0" w14:textId="77777777" w:rsidR="00424987" w:rsidRPr="00424987" w:rsidRDefault="00424987" w:rsidP="00424987">
            <w:pPr>
              <w:spacing w:after="0" w:line="360" w:lineRule="auto"/>
              <w:jc w:val="right"/>
              <w:rPr>
                <w:rFonts w:ascii="Arial" w:eastAsia="Times New Roman" w:hAnsi="Arial" w:cs="Arial"/>
                <w:color w:val="0000FF"/>
                <w:sz w:val="24"/>
                <w:szCs w:val="24"/>
              </w:rPr>
            </w:pPr>
            <w:r w:rsidRPr="00424987">
              <w:rPr>
                <w:rFonts w:ascii="Arial" w:eastAsia="Times New Roman" w:hAnsi="Arial" w:cs="Arial"/>
                <w:color w:val="FF0000"/>
                <w:sz w:val="24"/>
                <w:szCs w:val="24"/>
              </w:rPr>
              <w:t>(2,360)</w:t>
            </w:r>
          </w:p>
        </w:tc>
        <w:tc>
          <w:tcPr>
            <w:tcW w:w="0" w:type="auto"/>
            <w:tcBorders>
              <w:top w:val="nil"/>
              <w:left w:val="nil"/>
              <w:bottom w:val="nil"/>
              <w:right w:val="nil"/>
            </w:tcBorders>
            <w:noWrap/>
            <w:vAlign w:val="center"/>
            <w:hideMark/>
          </w:tcPr>
          <w:p w14:paraId="6E3A4667" w14:textId="77777777" w:rsidR="00424987" w:rsidRPr="00424987" w:rsidRDefault="00424987" w:rsidP="00424987">
            <w:pPr>
              <w:spacing w:after="0" w:line="360" w:lineRule="auto"/>
              <w:jc w:val="right"/>
              <w:rPr>
                <w:rFonts w:ascii="Arial" w:eastAsia="Times New Roman" w:hAnsi="Arial" w:cs="Arial"/>
                <w:color w:val="0000FF"/>
                <w:sz w:val="24"/>
                <w:szCs w:val="24"/>
              </w:rPr>
            </w:pPr>
            <w:r w:rsidRPr="00424987">
              <w:rPr>
                <w:rFonts w:ascii="Arial" w:eastAsia="Times New Roman" w:hAnsi="Arial" w:cs="Arial"/>
                <w:color w:val="FF0000"/>
                <w:sz w:val="24"/>
                <w:szCs w:val="24"/>
              </w:rPr>
              <w:t>(3,727)</w:t>
            </w:r>
          </w:p>
        </w:tc>
        <w:tc>
          <w:tcPr>
            <w:tcW w:w="0" w:type="auto"/>
            <w:tcBorders>
              <w:top w:val="nil"/>
              <w:left w:val="nil"/>
              <w:bottom w:val="nil"/>
              <w:right w:val="nil"/>
            </w:tcBorders>
            <w:noWrap/>
            <w:vAlign w:val="center"/>
            <w:hideMark/>
          </w:tcPr>
          <w:p w14:paraId="4CABCC76" w14:textId="77777777" w:rsidR="00424987" w:rsidRPr="00424987" w:rsidRDefault="00424987" w:rsidP="00424987">
            <w:pPr>
              <w:spacing w:after="0" w:line="360" w:lineRule="auto"/>
              <w:jc w:val="right"/>
              <w:rPr>
                <w:rFonts w:ascii="Arial" w:eastAsia="Times New Roman" w:hAnsi="Arial" w:cs="Arial"/>
                <w:color w:val="0000FF"/>
                <w:sz w:val="24"/>
                <w:szCs w:val="24"/>
              </w:rPr>
            </w:pPr>
            <w:r w:rsidRPr="00424987">
              <w:rPr>
                <w:rFonts w:ascii="Arial" w:eastAsia="Times New Roman" w:hAnsi="Arial" w:cs="Arial"/>
                <w:color w:val="FF0000"/>
                <w:sz w:val="24"/>
                <w:szCs w:val="24"/>
              </w:rPr>
              <w:t>(5,388)</w:t>
            </w:r>
          </w:p>
        </w:tc>
      </w:tr>
      <w:tr w:rsidR="00424987" w:rsidRPr="00424987" w14:paraId="60FA5659" w14:textId="77777777" w:rsidTr="00424987">
        <w:trPr>
          <w:trHeight w:val="288"/>
        </w:trPr>
        <w:tc>
          <w:tcPr>
            <w:tcW w:w="0" w:type="auto"/>
            <w:tcBorders>
              <w:top w:val="nil"/>
              <w:left w:val="nil"/>
              <w:bottom w:val="nil"/>
              <w:right w:val="nil"/>
            </w:tcBorders>
            <w:vAlign w:val="center"/>
            <w:hideMark/>
          </w:tcPr>
          <w:p w14:paraId="3B0DF87E" w14:textId="77777777" w:rsidR="00424987" w:rsidRPr="00424987" w:rsidRDefault="00424987" w:rsidP="00424987">
            <w:pPr>
              <w:spacing w:after="0" w:line="360" w:lineRule="auto"/>
              <w:jc w:val="right"/>
              <w:rPr>
                <w:rFonts w:ascii="Arial" w:eastAsia="Times New Roman" w:hAnsi="Arial" w:cs="Arial"/>
                <w:color w:val="0000FF"/>
                <w:sz w:val="24"/>
                <w:szCs w:val="24"/>
              </w:rPr>
            </w:pPr>
          </w:p>
        </w:tc>
        <w:tc>
          <w:tcPr>
            <w:tcW w:w="0" w:type="auto"/>
            <w:tcBorders>
              <w:top w:val="nil"/>
              <w:left w:val="nil"/>
              <w:bottom w:val="nil"/>
              <w:right w:val="nil"/>
            </w:tcBorders>
            <w:shd w:val="clear" w:color="000000" w:fill="E7E6E6"/>
            <w:noWrap/>
            <w:vAlign w:val="center"/>
            <w:hideMark/>
          </w:tcPr>
          <w:p w14:paraId="2202DD35"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62ECEF27"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369F8E26"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221D1F9F"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5252EC1B"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center"/>
            <w:hideMark/>
          </w:tcPr>
          <w:p w14:paraId="52389D60"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77663848" w14:textId="77777777" w:rsidTr="00424987">
        <w:trPr>
          <w:trHeight w:val="288"/>
        </w:trPr>
        <w:tc>
          <w:tcPr>
            <w:tcW w:w="0" w:type="auto"/>
            <w:gridSpan w:val="7"/>
            <w:tcBorders>
              <w:top w:val="nil"/>
              <w:left w:val="nil"/>
              <w:bottom w:val="nil"/>
              <w:right w:val="nil"/>
            </w:tcBorders>
            <w:shd w:val="clear" w:color="000000" w:fill="17365D"/>
            <w:vAlign w:val="center"/>
            <w:hideMark/>
          </w:tcPr>
          <w:p w14:paraId="7ECF7270"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CASH FLOW STATEMENT</w:t>
            </w:r>
          </w:p>
        </w:tc>
      </w:tr>
      <w:tr w:rsidR="00424987" w:rsidRPr="00424987" w14:paraId="23212C59" w14:textId="77777777" w:rsidTr="00424987">
        <w:trPr>
          <w:trHeight w:val="288"/>
        </w:trPr>
        <w:tc>
          <w:tcPr>
            <w:tcW w:w="0" w:type="auto"/>
            <w:tcBorders>
              <w:top w:val="single" w:sz="4" w:space="0" w:color="17365D"/>
              <w:left w:val="nil"/>
              <w:bottom w:val="nil"/>
              <w:right w:val="nil"/>
            </w:tcBorders>
            <w:vAlign w:val="center"/>
            <w:hideMark/>
          </w:tcPr>
          <w:p w14:paraId="278A1D44"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Net cash provided by operating activities</w:t>
            </w:r>
          </w:p>
        </w:tc>
        <w:tc>
          <w:tcPr>
            <w:tcW w:w="0" w:type="auto"/>
            <w:tcBorders>
              <w:top w:val="single" w:sz="4" w:space="0" w:color="17365D"/>
              <w:left w:val="nil"/>
              <w:bottom w:val="nil"/>
              <w:right w:val="nil"/>
            </w:tcBorders>
            <w:shd w:val="clear" w:color="000000" w:fill="E7E6E6"/>
            <w:noWrap/>
            <w:vAlign w:val="center"/>
            <w:hideMark/>
          </w:tcPr>
          <w:p w14:paraId="78917DF6"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single" w:sz="4" w:space="0" w:color="17365D"/>
              <w:left w:val="nil"/>
              <w:bottom w:val="nil"/>
              <w:right w:val="nil"/>
            </w:tcBorders>
            <w:noWrap/>
            <w:vAlign w:val="center"/>
            <w:hideMark/>
          </w:tcPr>
          <w:p w14:paraId="009A326B"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109</w:t>
            </w:r>
          </w:p>
        </w:tc>
        <w:tc>
          <w:tcPr>
            <w:tcW w:w="0" w:type="auto"/>
            <w:tcBorders>
              <w:top w:val="single" w:sz="4" w:space="0" w:color="17365D"/>
              <w:left w:val="nil"/>
              <w:bottom w:val="nil"/>
              <w:right w:val="nil"/>
            </w:tcBorders>
            <w:noWrap/>
            <w:vAlign w:val="center"/>
            <w:hideMark/>
          </w:tcPr>
          <w:p w14:paraId="368CE3A6"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1,681</w:t>
            </w:r>
          </w:p>
        </w:tc>
        <w:tc>
          <w:tcPr>
            <w:tcW w:w="0" w:type="auto"/>
            <w:tcBorders>
              <w:top w:val="single" w:sz="4" w:space="0" w:color="17365D"/>
              <w:left w:val="nil"/>
              <w:bottom w:val="nil"/>
              <w:right w:val="nil"/>
            </w:tcBorders>
            <w:noWrap/>
            <w:vAlign w:val="center"/>
            <w:hideMark/>
          </w:tcPr>
          <w:p w14:paraId="56063AA9"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1,946</w:t>
            </w:r>
          </w:p>
        </w:tc>
        <w:tc>
          <w:tcPr>
            <w:tcW w:w="0" w:type="auto"/>
            <w:tcBorders>
              <w:top w:val="single" w:sz="4" w:space="0" w:color="17365D"/>
              <w:left w:val="nil"/>
              <w:bottom w:val="nil"/>
              <w:right w:val="nil"/>
            </w:tcBorders>
            <w:noWrap/>
            <w:vAlign w:val="center"/>
            <w:hideMark/>
          </w:tcPr>
          <w:p w14:paraId="48054527"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2,013</w:t>
            </w:r>
          </w:p>
        </w:tc>
        <w:tc>
          <w:tcPr>
            <w:tcW w:w="0" w:type="auto"/>
            <w:tcBorders>
              <w:top w:val="single" w:sz="4" w:space="0" w:color="17365D"/>
              <w:left w:val="nil"/>
              <w:bottom w:val="nil"/>
              <w:right w:val="nil"/>
            </w:tcBorders>
            <w:noWrap/>
            <w:vAlign w:val="center"/>
            <w:hideMark/>
          </w:tcPr>
          <w:p w14:paraId="0D3AC841" w14:textId="77777777" w:rsidR="00424987" w:rsidRPr="002C17CC" w:rsidRDefault="00424987" w:rsidP="00424987">
            <w:pPr>
              <w:spacing w:after="0" w:line="360" w:lineRule="auto"/>
              <w:jc w:val="right"/>
              <w:rPr>
                <w:rFonts w:ascii="Arial" w:eastAsia="Times New Roman" w:hAnsi="Arial" w:cs="Arial"/>
                <w:b/>
                <w:bCs/>
                <w:color w:val="000000" w:themeColor="text1"/>
                <w:sz w:val="24"/>
                <w:szCs w:val="24"/>
              </w:rPr>
            </w:pPr>
            <w:r w:rsidRPr="002C17CC">
              <w:rPr>
                <w:rFonts w:ascii="Arial" w:eastAsia="Times New Roman" w:hAnsi="Arial" w:cs="Arial"/>
                <w:b/>
                <w:bCs/>
                <w:color w:val="000000" w:themeColor="text1"/>
                <w:sz w:val="24"/>
                <w:szCs w:val="24"/>
              </w:rPr>
              <w:t>2,129</w:t>
            </w:r>
          </w:p>
        </w:tc>
      </w:tr>
      <w:tr w:rsidR="00424987" w:rsidRPr="00424987" w14:paraId="6A48A601" w14:textId="77777777" w:rsidTr="00424987">
        <w:trPr>
          <w:trHeight w:val="288"/>
        </w:trPr>
        <w:tc>
          <w:tcPr>
            <w:tcW w:w="0" w:type="auto"/>
            <w:tcBorders>
              <w:top w:val="nil"/>
              <w:left w:val="nil"/>
              <w:bottom w:val="nil"/>
              <w:right w:val="nil"/>
            </w:tcBorders>
            <w:vAlign w:val="center"/>
            <w:hideMark/>
          </w:tcPr>
          <w:p w14:paraId="4AAF17CA"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Capital expenditure — property and equipment</w:t>
            </w:r>
          </w:p>
        </w:tc>
        <w:tc>
          <w:tcPr>
            <w:tcW w:w="0" w:type="auto"/>
            <w:tcBorders>
              <w:top w:val="nil"/>
              <w:left w:val="nil"/>
              <w:bottom w:val="nil"/>
              <w:right w:val="nil"/>
            </w:tcBorders>
            <w:shd w:val="clear" w:color="000000" w:fill="E7E6E6"/>
            <w:noWrap/>
            <w:vAlign w:val="center"/>
            <w:hideMark/>
          </w:tcPr>
          <w:p w14:paraId="3A3088D5"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72FE352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35</w:t>
            </w:r>
          </w:p>
        </w:tc>
        <w:tc>
          <w:tcPr>
            <w:tcW w:w="0" w:type="auto"/>
            <w:tcBorders>
              <w:top w:val="nil"/>
              <w:left w:val="nil"/>
              <w:bottom w:val="nil"/>
              <w:right w:val="nil"/>
            </w:tcBorders>
            <w:noWrap/>
            <w:vAlign w:val="center"/>
            <w:hideMark/>
          </w:tcPr>
          <w:p w14:paraId="1D4A414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39</w:t>
            </w:r>
          </w:p>
        </w:tc>
        <w:tc>
          <w:tcPr>
            <w:tcW w:w="0" w:type="auto"/>
            <w:tcBorders>
              <w:top w:val="nil"/>
              <w:left w:val="nil"/>
              <w:bottom w:val="nil"/>
              <w:right w:val="nil"/>
            </w:tcBorders>
            <w:noWrap/>
            <w:vAlign w:val="center"/>
            <w:hideMark/>
          </w:tcPr>
          <w:p w14:paraId="44B83E4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151</w:t>
            </w:r>
          </w:p>
        </w:tc>
        <w:tc>
          <w:tcPr>
            <w:tcW w:w="0" w:type="auto"/>
            <w:tcBorders>
              <w:top w:val="nil"/>
              <w:left w:val="nil"/>
              <w:bottom w:val="nil"/>
              <w:right w:val="nil"/>
            </w:tcBorders>
            <w:noWrap/>
            <w:vAlign w:val="center"/>
            <w:hideMark/>
          </w:tcPr>
          <w:p w14:paraId="6B39132F"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96</w:t>
            </w:r>
          </w:p>
        </w:tc>
        <w:tc>
          <w:tcPr>
            <w:tcW w:w="0" w:type="auto"/>
            <w:tcBorders>
              <w:top w:val="nil"/>
              <w:left w:val="nil"/>
              <w:bottom w:val="nil"/>
              <w:right w:val="nil"/>
            </w:tcBorders>
            <w:noWrap/>
            <w:vAlign w:val="center"/>
            <w:hideMark/>
          </w:tcPr>
          <w:p w14:paraId="07A1EE8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101</w:t>
            </w:r>
          </w:p>
        </w:tc>
      </w:tr>
      <w:tr w:rsidR="00424987" w:rsidRPr="00424987" w14:paraId="27ADB050" w14:textId="77777777" w:rsidTr="00424987">
        <w:trPr>
          <w:trHeight w:val="288"/>
        </w:trPr>
        <w:tc>
          <w:tcPr>
            <w:tcW w:w="0" w:type="auto"/>
            <w:tcBorders>
              <w:top w:val="nil"/>
              <w:left w:val="nil"/>
              <w:bottom w:val="nil"/>
              <w:right w:val="nil"/>
            </w:tcBorders>
            <w:vAlign w:val="center"/>
            <w:hideMark/>
          </w:tcPr>
          <w:p w14:paraId="001562F6" w14:textId="77777777" w:rsidR="00424987" w:rsidRPr="00424987" w:rsidRDefault="00424987" w:rsidP="00424987">
            <w:pPr>
              <w:spacing w:after="0" w:line="360" w:lineRule="auto"/>
              <w:rPr>
                <w:rFonts w:ascii="Arial" w:eastAsia="Times New Roman" w:hAnsi="Arial" w:cs="Arial"/>
                <w:sz w:val="24"/>
                <w:szCs w:val="24"/>
              </w:rPr>
            </w:pPr>
            <w:proofErr w:type="spellStart"/>
            <w:r w:rsidRPr="00424987">
              <w:rPr>
                <w:rFonts w:ascii="Arial" w:eastAsia="Times New Roman" w:hAnsi="Arial" w:cs="Arial"/>
                <w:sz w:val="24"/>
                <w:szCs w:val="24"/>
              </w:rPr>
              <w:t>Capitalised</w:t>
            </w:r>
            <w:proofErr w:type="spellEnd"/>
            <w:r w:rsidRPr="00424987">
              <w:rPr>
                <w:rFonts w:ascii="Arial" w:eastAsia="Times New Roman" w:hAnsi="Arial" w:cs="Arial"/>
                <w:sz w:val="24"/>
                <w:szCs w:val="24"/>
              </w:rPr>
              <w:t xml:space="preserve"> software costs</w:t>
            </w:r>
          </w:p>
        </w:tc>
        <w:tc>
          <w:tcPr>
            <w:tcW w:w="0" w:type="auto"/>
            <w:tcBorders>
              <w:top w:val="nil"/>
              <w:left w:val="nil"/>
              <w:bottom w:val="nil"/>
              <w:right w:val="nil"/>
            </w:tcBorders>
            <w:shd w:val="clear" w:color="000000" w:fill="E7E6E6"/>
            <w:noWrap/>
            <w:vAlign w:val="center"/>
            <w:hideMark/>
          </w:tcPr>
          <w:p w14:paraId="4F822EBD"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5047EB6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44</w:t>
            </w:r>
          </w:p>
        </w:tc>
        <w:tc>
          <w:tcPr>
            <w:tcW w:w="0" w:type="auto"/>
            <w:tcBorders>
              <w:top w:val="nil"/>
              <w:left w:val="nil"/>
              <w:bottom w:val="nil"/>
              <w:right w:val="nil"/>
            </w:tcBorders>
            <w:noWrap/>
            <w:vAlign w:val="center"/>
            <w:hideMark/>
          </w:tcPr>
          <w:p w14:paraId="721F386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63</w:t>
            </w:r>
          </w:p>
        </w:tc>
        <w:tc>
          <w:tcPr>
            <w:tcW w:w="0" w:type="auto"/>
            <w:tcBorders>
              <w:top w:val="nil"/>
              <w:left w:val="nil"/>
              <w:bottom w:val="nil"/>
              <w:right w:val="nil"/>
            </w:tcBorders>
            <w:noWrap/>
            <w:vAlign w:val="center"/>
            <w:hideMark/>
          </w:tcPr>
          <w:p w14:paraId="32C444D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96</w:t>
            </w:r>
          </w:p>
        </w:tc>
        <w:tc>
          <w:tcPr>
            <w:tcW w:w="0" w:type="auto"/>
            <w:tcBorders>
              <w:top w:val="nil"/>
              <w:left w:val="nil"/>
              <w:bottom w:val="nil"/>
              <w:right w:val="nil"/>
            </w:tcBorders>
            <w:noWrap/>
            <w:vAlign w:val="center"/>
            <w:hideMark/>
          </w:tcPr>
          <w:p w14:paraId="2E91387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102</w:t>
            </w:r>
          </w:p>
        </w:tc>
        <w:tc>
          <w:tcPr>
            <w:tcW w:w="0" w:type="auto"/>
            <w:tcBorders>
              <w:top w:val="nil"/>
              <w:left w:val="nil"/>
              <w:bottom w:val="nil"/>
              <w:right w:val="nil"/>
            </w:tcBorders>
            <w:noWrap/>
            <w:vAlign w:val="center"/>
            <w:hideMark/>
          </w:tcPr>
          <w:p w14:paraId="14309AC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84</w:t>
            </w:r>
          </w:p>
        </w:tc>
      </w:tr>
      <w:tr w:rsidR="00424987" w:rsidRPr="00424987" w14:paraId="4051C580" w14:textId="77777777" w:rsidTr="00424987">
        <w:trPr>
          <w:trHeight w:val="288"/>
        </w:trPr>
        <w:tc>
          <w:tcPr>
            <w:tcW w:w="0" w:type="auto"/>
            <w:tcBorders>
              <w:top w:val="nil"/>
              <w:left w:val="nil"/>
              <w:bottom w:val="nil"/>
              <w:right w:val="nil"/>
            </w:tcBorders>
            <w:vAlign w:val="center"/>
            <w:hideMark/>
          </w:tcPr>
          <w:p w14:paraId="4D51AA81"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Net cash used in investing activities</w:t>
            </w:r>
          </w:p>
        </w:tc>
        <w:tc>
          <w:tcPr>
            <w:tcW w:w="0" w:type="auto"/>
            <w:tcBorders>
              <w:top w:val="nil"/>
              <w:left w:val="nil"/>
              <w:bottom w:val="nil"/>
              <w:right w:val="nil"/>
            </w:tcBorders>
            <w:shd w:val="clear" w:color="000000" w:fill="E7E6E6"/>
            <w:noWrap/>
            <w:vAlign w:val="center"/>
            <w:hideMark/>
          </w:tcPr>
          <w:p w14:paraId="5106EE9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11FC7EB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(57)</w:t>
            </w:r>
          </w:p>
        </w:tc>
        <w:tc>
          <w:tcPr>
            <w:tcW w:w="0" w:type="auto"/>
            <w:tcBorders>
              <w:top w:val="nil"/>
              <w:left w:val="nil"/>
              <w:bottom w:val="nil"/>
              <w:right w:val="nil"/>
            </w:tcBorders>
            <w:noWrap/>
            <w:vAlign w:val="center"/>
            <w:hideMark/>
          </w:tcPr>
          <w:p w14:paraId="1E94D94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(123)</w:t>
            </w:r>
          </w:p>
        </w:tc>
        <w:tc>
          <w:tcPr>
            <w:tcW w:w="0" w:type="auto"/>
            <w:tcBorders>
              <w:top w:val="nil"/>
              <w:left w:val="nil"/>
              <w:bottom w:val="nil"/>
              <w:right w:val="nil"/>
            </w:tcBorders>
            <w:noWrap/>
            <w:vAlign w:val="center"/>
            <w:hideMark/>
          </w:tcPr>
          <w:p w14:paraId="4F5FC97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(305)</w:t>
            </w:r>
          </w:p>
        </w:tc>
        <w:tc>
          <w:tcPr>
            <w:tcW w:w="0" w:type="auto"/>
            <w:tcBorders>
              <w:top w:val="nil"/>
              <w:left w:val="nil"/>
              <w:bottom w:val="nil"/>
              <w:right w:val="nil"/>
            </w:tcBorders>
            <w:noWrap/>
            <w:vAlign w:val="center"/>
            <w:hideMark/>
          </w:tcPr>
          <w:p w14:paraId="28BFAF5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(446)</w:t>
            </w:r>
          </w:p>
        </w:tc>
        <w:tc>
          <w:tcPr>
            <w:tcW w:w="0" w:type="auto"/>
            <w:tcBorders>
              <w:top w:val="nil"/>
              <w:left w:val="nil"/>
              <w:bottom w:val="nil"/>
              <w:right w:val="nil"/>
            </w:tcBorders>
            <w:noWrap/>
            <w:vAlign w:val="center"/>
            <w:hideMark/>
          </w:tcPr>
          <w:p w14:paraId="5CB5AA43"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(190)</w:t>
            </w:r>
          </w:p>
        </w:tc>
      </w:tr>
      <w:tr w:rsidR="00424987" w:rsidRPr="00424987" w14:paraId="65484ED8" w14:textId="77777777" w:rsidTr="00424987">
        <w:trPr>
          <w:trHeight w:val="288"/>
        </w:trPr>
        <w:tc>
          <w:tcPr>
            <w:tcW w:w="0" w:type="auto"/>
            <w:tcBorders>
              <w:top w:val="nil"/>
              <w:left w:val="nil"/>
              <w:bottom w:val="nil"/>
              <w:right w:val="nil"/>
            </w:tcBorders>
            <w:vAlign w:val="center"/>
            <w:hideMark/>
          </w:tcPr>
          <w:p w14:paraId="1C128E54"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Borrowings</w:t>
            </w:r>
          </w:p>
        </w:tc>
        <w:tc>
          <w:tcPr>
            <w:tcW w:w="0" w:type="auto"/>
            <w:tcBorders>
              <w:top w:val="nil"/>
              <w:left w:val="nil"/>
              <w:bottom w:val="nil"/>
              <w:right w:val="nil"/>
            </w:tcBorders>
            <w:shd w:val="clear" w:color="000000" w:fill="E7E6E6"/>
            <w:noWrap/>
            <w:vAlign w:val="center"/>
            <w:hideMark/>
          </w:tcPr>
          <w:p w14:paraId="0EEAE34B"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641E5F4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1,510</w:t>
            </w:r>
          </w:p>
        </w:tc>
        <w:tc>
          <w:tcPr>
            <w:tcW w:w="0" w:type="auto"/>
            <w:tcBorders>
              <w:top w:val="nil"/>
              <w:left w:val="nil"/>
              <w:bottom w:val="nil"/>
              <w:right w:val="nil"/>
            </w:tcBorders>
            <w:noWrap/>
            <w:vAlign w:val="center"/>
            <w:hideMark/>
          </w:tcPr>
          <w:p w14:paraId="7C39247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23</w:t>
            </w:r>
          </w:p>
        </w:tc>
        <w:tc>
          <w:tcPr>
            <w:tcW w:w="0" w:type="auto"/>
            <w:tcBorders>
              <w:top w:val="nil"/>
              <w:left w:val="nil"/>
              <w:bottom w:val="nil"/>
              <w:right w:val="nil"/>
            </w:tcBorders>
            <w:noWrap/>
            <w:vAlign w:val="center"/>
            <w:hideMark/>
          </w:tcPr>
          <w:p w14:paraId="3739D47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609</w:t>
            </w:r>
          </w:p>
        </w:tc>
        <w:tc>
          <w:tcPr>
            <w:tcW w:w="0" w:type="auto"/>
            <w:tcBorders>
              <w:top w:val="nil"/>
              <w:left w:val="nil"/>
              <w:bottom w:val="nil"/>
              <w:right w:val="nil"/>
            </w:tcBorders>
            <w:noWrap/>
            <w:vAlign w:val="center"/>
            <w:hideMark/>
          </w:tcPr>
          <w:p w14:paraId="4099634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2,283</w:t>
            </w:r>
          </w:p>
        </w:tc>
        <w:tc>
          <w:tcPr>
            <w:tcW w:w="0" w:type="auto"/>
            <w:tcBorders>
              <w:top w:val="nil"/>
              <w:left w:val="nil"/>
              <w:bottom w:val="nil"/>
              <w:right w:val="nil"/>
            </w:tcBorders>
            <w:noWrap/>
            <w:vAlign w:val="center"/>
            <w:hideMark/>
          </w:tcPr>
          <w:p w14:paraId="57835B0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2,875</w:t>
            </w:r>
          </w:p>
        </w:tc>
      </w:tr>
      <w:tr w:rsidR="00424987" w:rsidRPr="00424987" w14:paraId="25B091AB" w14:textId="77777777" w:rsidTr="00424987">
        <w:trPr>
          <w:trHeight w:val="288"/>
        </w:trPr>
        <w:tc>
          <w:tcPr>
            <w:tcW w:w="0" w:type="auto"/>
            <w:tcBorders>
              <w:top w:val="nil"/>
              <w:left w:val="nil"/>
              <w:bottom w:val="nil"/>
              <w:right w:val="nil"/>
            </w:tcBorders>
            <w:vAlign w:val="center"/>
            <w:hideMark/>
          </w:tcPr>
          <w:p w14:paraId="2205A7DC"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Debt repayments</w:t>
            </w:r>
          </w:p>
        </w:tc>
        <w:tc>
          <w:tcPr>
            <w:tcW w:w="0" w:type="auto"/>
            <w:tcBorders>
              <w:top w:val="nil"/>
              <w:left w:val="nil"/>
              <w:bottom w:val="nil"/>
              <w:right w:val="nil"/>
            </w:tcBorders>
            <w:shd w:val="clear" w:color="000000" w:fill="E7E6E6"/>
            <w:noWrap/>
            <w:vAlign w:val="center"/>
            <w:hideMark/>
          </w:tcPr>
          <w:p w14:paraId="4E057245"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41FDA89E"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3,230</w:t>
            </w:r>
          </w:p>
        </w:tc>
        <w:tc>
          <w:tcPr>
            <w:tcW w:w="0" w:type="auto"/>
            <w:tcBorders>
              <w:top w:val="nil"/>
              <w:left w:val="nil"/>
              <w:bottom w:val="nil"/>
              <w:right w:val="nil"/>
            </w:tcBorders>
            <w:noWrap/>
            <w:vAlign w:val="center"/>
            <w:hideMark/>
          </w:tcPr>
          <w:p w14:paraId="3B3A904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48</w:t>
            </w:r>
          </w:p>
        </w:tc>
        <w:tc>
          <w:tcPr>
            <w:tcW w:w="0" w:type="auto"/>
            <w:tcBorders>
              <w:top w:val="nil"/>
              <w:left w:val="nil"/>
              <w:bottom w:val="nil"/>
              <w:right w:val="nil"/>
            </w:tcBorders>
            <w:noWrap/>
            <w:vAlign w:val="center"/>
            <w:hideMark/>
          </w:tcPr>
          <w:p w14:paraId="50BE270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183</w:t>
            </w:r>
          </w:p>
        </w:tc>
        <w:tc>
          <w:tcPr>
            <w:tcW w:w="0" w:type="auto"/>
            <w:tcBorders>
              <w:top w:val="nil"/>
              <w:left w:val="nil"/>
              <w:bottom w:val="nil"/>
              <w:right w:val="nil"/>
            </w:tcBorders>
            <w:noWrap/>
            <w:vAlign w:val="center"/>
            <w:hideMark/>
          </w:tcPr>
          <w:p w14:paraId="29EBD73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330</w:t>
            </w:r>
          </w:p>
        </w:tc>
        <w:tc>
          <w:tcPr>
            <w:tcW w:w="0" w:type="auto"/>
            <w:tcBorders>
              <w:top w:val="nil"/>
              <w:left w:val="nil"/>
              <w:bottom w:val="nil"/>
              <w:right w:val="nil"/>
            </w:tcBorders>
            <w:noWrap/>
            <w:vAlign w:val="center"/>
            <w:hideMark/>
          </w:tcPr>
          <w:p w14:paraId="57AD12A1"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1,916</w:t>
            </w:r>
          </w:p>
        </w:tc>
      </w:tr>
      <w:tr w:rsidR="00424987" w:rsidRPr="00424987" w14:paraId="2263028D" w14:textId="77777777" w:rsidTr="00424987">
        <w:trPr>
          <w:trHeight w:val="288"/>
        </w:trPr>
        <w:tc>
          <w:tcPr>
            <w:tcW w:w="0" w:type="auto"/>
            <w:tcBorders>
              <w:top w:val="nil"/>
              <w:left w:val="nil"/>
              <w:bottom w:val="nil"/>
              <w:right w:val="nil"/>
            </w:tcBorders>
            <w:vAlign w:val="center"/>
            <w:hideMark/>
          </w:tcPr>
          <w:p w14:paraId="01D1052C"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Dividends paid</w:t>
            </w:r>
          </w:p>
        </w:tc>
        <w:tc>
          <w:tcPr>
            <w:tcW w:w="0" w:type="auto"/>
            <w:tcBorders>
              <w:top w:val="nil"/>
              <w:left w:val="nil"/>
              <w:bottom w:val="nil"/>
              <w:right w:val="nil"/>
            </w:tcBorders>
            <w:shd w:val="clear" w:color="000000" w:fill="E7E6E6"/>
            <w:noWrap/>
            <w:vAlign w:val="center"/>
            <w:hideMark/>
          </w:tcPr>
          <w:p w14:paraId="4AC0175D"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464D355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w:t>
            </w:r>
          </w:p>
        </w:tc>
        <w:tc>
          <w:tcPr>
            <w:tcW w:w="0" w:type="auto"/>
            <w:tcBorders>
              <w:top w:val="nil"/>
              <w:left w:val="nil"/>
              <w:bottom w:val="nil"/>
              <w:right w:val="nil"/>
            </w:tcBorders>
            <w:noWrap/>
            <w:vAlign w:val="center"/>
            <w:hideMark/>
          </w:tcPr>
          <w:p w14:paraId="1B03F9F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123</w:t>
            </w:r>
          </w:p>
        </w:tc>
        <w:tc>
          <w:tcPr>
            <w:tcW w:w="0" w:type="auto"/>
            <w:tcBorders>
              <w:top w:val="nil"/>
              <w:left w:val="nil"/>
              <w:bottom w:val="nil"/>
              <w:right w:val="nil"/>
            </w:tcBorders>
            <w:noWrap/>
            <w:vAlign w:val="center"/>
            <w:hideMark/>
          </w:tcPr>
          <w:p w14:paraId="0299246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158</w:t>
            </w:r>
          </w:p>
        </w:tc>
        <w:tc>
          <w:tcPr>
            <w:tcW w:w="0" w:type="auto"/>
            <w:tcBorders>
              <w:top w:val="nil"/>
              <w:left w:val="nil"/>
              <w:bottom w:val="nil"/>
              <w:right w:val="nil"/>
            </w:tcBorders>
            <w:noWrap/>
            <w:vAlign w:val="center"/>
            <w:hideMark/>
          </w:tcPr>
          <w:p w14:paraId="4816CC6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150</w:t>
            </w:r>
          </w:p>
        </w:tc>
        <w:tc>
          <w:tcPr>
            <w:tcW w:w="0" w:type="auto"/>
            <w:tcBorders>
              <w:top w:val="nil"/>
              <w:left w:val="nil"/>
              <w:bottom w:val="nil"/>
              <w:right w:val="nil"/>
            </w:tcBorders>
            <w:noWrap/>
            <w:vAlign w:val="center"/>
            <w:hideMark/>
          </w:tcPr>
          <w:p w14:paraId="2DAB5EDD"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143</w:t>
            </w:r>
          </w:p>
        </w:tc>
      </w:tr>
      <w:tr w:rsidR="00424987" w:rsidRPr="00424987" w14:paraId="036160F4" w14:textId="77777777" w:rsidTr="00424987">
        <w:trPr>
          <w:trHeight w:val="288"/>
        </w:trPr>
        <w:tc>
          <w:tcPr>
            <w:tcW w:w="0" w:type="auto"/>
            <w:tcBorders>
              <w:top w:val="nil"/>
              <w:left w:val="nil"/>
              <w:bottom w:val="nil"/>
              <w:right w:val="nil"/>
            </w:tcBorders>
            <w:vAlign w:val="center"/>
            <w:hideMark/>
          </w:tcPr>
          <w:p w14:paraId="4B65B2E3"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Share repurchases</w:t>
            </w:r>
          </w:p>
        </w:tc>
        <w:tc>
          <w:tcPr>
            <w:tcW w:w="0" w:type="auto"/>
            <w:tcBorders>
              <w:top w:val="nil"/>
              <w:left w:val="nil"/>
              <w:bottom w:val="nil"/>
              <w:right w:val="nil"/>
            </w:tcBorders>
            <w:shd w:val="clear" w:color="000000" w:fill="E7E6E6"/>
            <w:noWrap/>
            <w:vAlign w:val="center"/>
            <w:hideMark/>
          </w:tcPr>
          <w:p w14:paraId="178C9C3D"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0852879C"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w:t>
            </w:r>
          </w:p>
        </w:tc>
        <w:tc>
          <w:tcPr>
            <w:tcW w:w="0" w:type="auto"/>
            <w:tcBorders>
              <w:top w:val="nil"/>
              <w:left w:val="nil"/>
              <w:bottom w:val="nil"/>
              <w:right w:val="nil"/>
            </w:tcBorders>
            <w:noWrap/>
            <w:vAlign w:val="center"/>
            <w:hideMark/>
          </w:tcPr>
          <w:p w14:paraId="61292F0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1,590</w:t>
            </w:r>
          </w:p>
        </w:tc>
        <w:tc>
          <w:tcPr>
            <w:tcW w:w="0" w:type="auto"/>
            <w:tcBorders>
              <w:top w:val="nil"/>
              <w:left w:val="nil"/>
              <w:bottom w:val="nil"/>
              <w:right w:val="nil"/>
            </w:tcBorders>
            <w:noWrap/>
            <w:vAlign w:val="center"/>
            <w:hideMark/>
          </w:tcPr>
          <w:p w14:paraId="03FE2B10"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2,338</w:t>
            </w:r>
          </w:p>
        </w:tc>
        <w:tc>
          <w:tcPr>
            <w:tcW w:w="0" w:type="auto"/>
            <w:tcBorders>
              <w:top w:val="nil"/>
              <w:left w:val="nil"/>
              <w:bottom w:val="nil"/>
              <w:right w:val="nil"/>
            </w:tcBorders>
            <w:noWrap/>
            <w:vAlign w:val="center"/>
            <w:hideMark/>
          </w:tcPr>
          <w:p w14:paraId="48C6C08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2,893</w:t>
            </w:r>
          </w:p>
        </w:tc>
        <w:tc>
          <w:tcPr>
            <w:tcW w:w="0" w:type="auto"/>
            <w:tcBorders>
              <w:top w:val="nil"/>
              <w:left w:val="nil"/>
              <w:bottom w:val="nil"/>
              <w:right w:val="nil"/>
            </w:tcBorders>
            <w:noWrap/>
            <w:vAlign w:val="center"/>
            <w:hideMark/>
          </w:tcPr>
          <w:p w14:paraId="0BD4F25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3,182</w:t>
            </w:r>
          </w:p>
        </w:tc>
      </w:tr>
      <w:tr w:rsidR="00424987" w:rsidRPr="00424987" w14:paraId="01135DDE" w14:textId="77777777" w:rsidTr="00424987">
        <w:trPr>
          <w:trHeight w:val="288"/>
        </w:trPr>
        <w:tc>
          <w:tcPr>
            <w:tcW w:w="0" w:type="auto"/>
            <w:tcBorders>
              <w:top w:val="nil"/>
              <w:left w:val="nil"/>
              <w:bottom w:val="nil"/>
              <w:right w:val="nil"/>
            </w:tcBorders>
            <w:vAlign w:val="center"/>
            <w:hideMark/>
          </w:tcPr>
          <w:p w14:paraId="49D11B59"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Net cash used in financing activities</w:t>
            </w:r>
          </w:p>
        </w:tc>
        <w:tc>
          <w:tcPr>
            <w:tcW w:w="0" w:type="auto"/>
            <w:tcBorders>
              <w:top w:val="nil"/>
              <w:left w:val="nil"/>
              <w:bottom w:val="nil"/>
              <w:right w:val="nil"/>
            </w:tcBorders>
            <w:shd w:val="clear" w:color="000000" w:fill="E7E6E6"/>
            <w:noWrap/>
            <w:vAlign w:val="center"/>
            <w:hideMark/>
          </w:tcPr>
          <w:p w14:paraId="761313B3"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54E7A93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(1,793)</w:t>
            </w:r>
          </w:p>
        </w:tc>
        <w:tc>
          <w:tcPr>
            <w:tcW w:w="0" w:type="auto"/>
            <w:tcBorders>
              <w:top w:val="nil"/>
              <w:left w:val="nil"/>
              <w:bottom w:val="nil"/>
              <w:right w:val="nil"/>
            </w:tcBorders>
            <w:noWrap/>
            <w:vAlign w:val="center"/>
            <w:hideMark/>
          </w:tcPr>
          <w:p w14:paraId="5653B876"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(1,765)</w:t>
            </w:r>
          </w:p>
        </w:tc>
        <w:tc>
          <w:tcPr>
            <w:tcW w:w="0" w:type="auto"/>
            <w:tcBorders>
              <w:top w:val="nil"/>
              <w:left w:val="nil"/>
              <w:bottom w:val="nil"/>
              <w:right w:val="nil"/>
            </w:tcBorders>
            <w:noWrap/>
            <w:vAlign w:val="center"/>
            <w:hideMark/>
          </w:tcPr>
          <w:p w14:paraId="64D86F0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(2,040)</w:t>
            </w:r>
          </w:p>
        </w:tc>
        <w:tc>
          <w:tcPr>
            <w:tcW w:w="0" w:type="auto"/>
            <w:tcBorders>
              <w:top w:val="nil"/>
              <w:left w:val="nil"/>
              <w:bottom w:val="nil"/>
              <w:right w:val="nil"/>
            </w:tcBorders>
            <w:noWrap/>
            <w:vAlign w:val="center"/>
            <w:hideMark/>
          </w:tcPr>
          <w:p w14:paraId="5E27D8B9"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(1,045)</w:t>
            </w:r>
          </w:p>
        </w:tc>
        <w:tc>
          <w:tcPr>
            <w:tcW w:w="0" w:type="auto"/>
            <w:tcBorders>
              <w:top w:val="nil"/>
              <w:left w:val="nil"/>
              <w:bottom w:val="nil"/>
              <w:right w:val="nil"/>
            </w:tcBorders>
            <w:noWrap/>
            <w:vAlign w:val="center"/>
            <w:hideMark/>
          </w:tcPr>
          <w:p w14:paraId="39B21D1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(2,348)</w:t>
            </w:r>
          </w:p>
        </w:tc>
      </w:tr>
      <w:tr w:rsidR="00424987" w:rsidRPr="00424987" w14:paraId="062A54CC" w14:textId="77777777" w:rsidTr="00424987">
        <w:trPr>
          <w:trHeight w:val="288"/>
        </w:trPr>
        <w:tc>
          <w:tcPr>
            <w:tcW w:w="0" w:type="auto"/>
            <w:tcBorders>
              <w:top w:val="nil"/>
              <w:left w:val="nil"/>
              <w:bottom w:val="nil"/>
              <w:right w:val="nil"/>
            </w:tcBorders>
            <w:vAlign w:val="center"/>
            <w:hideMark/>
          </w:tcPr>
          <w:p w14:paraId="5F04C4F2"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Cash interest paid</w:t>
            </w:r>
          </w:p>
        </w:tc>
        <w:tc>
          <w:tcPr>
            <w:tcW w:w="0" w:type="auto"/>
            <w:tcBorders>
              <w:top w:val="nil"/>
              <w:left w:val="nil"/>
              <w:bottom w:val="nil"/>
              <w:right w:val="nil"/>
            </w:tcBorders>
            <w:shd w:val="clear" w:color="000000" w:fill="E7E6E6"/>
            <w:noWrap/>
            <w:vAlign w:val="center"/>
            <w:hideMark/>
          </w:tcPr>
          <w:p w14:paraId="550453B4" w14:textId="77777777" w:rsidR="00424987" w:rsidRPr="00424987" w:rsidRDefault="00424987" w:rsidP="00424987">
            <w:pPr>
              <w:spacing w:after="0" w:line="360" w:lineRule="auto"/>
              <w:rPr>
                <w:rFonts w:ascii="Arial" w:eastAsia="Times New Roman" w:hAnsi="Arial" w:cs="Arial"/>
                <w:sz w:val="24"/>
                <w:szCs w:val="24"/>
              </w:rPr>
            </w:pPr>
            <w:r w:rsidRPr="00424987">
              <w:rPr>
                <w:rFonts w:ascii="Arial" w:eastAsia="Times New Roman" w:hAnsi="Arial" w:cs="Arial"/>
                <w:sz w:val="24"/>
                <w:szCs w:val="24"/>
              </w:rPr>
              <w:t> </w:t>
            </w:r>
          </w:p>
        </w:tc>
        <w:tc>
          <w:tcPr>
            <w:tcW w:w="0" w:type="auto"/>
            <w:tcBorders>
              <w:top w:val="nil"/>
              <w:left w:val="nil"/>
              <w:bottom w:val="nil"/>
              <w:right w:val="nil"/>
            </w:tcBorders>
            <w:noWrap/>
            <w:vAlign w:val="center"/>
            <w:hideMark/>
          </w:tcPr>
          <w:p w14:paraId="220BF2E4"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359</w:t>
            </w:r>
          </w:p>
        </w:tc>
        <w:tc>
          <w:tcPr>
            <w:tcW w:w="0" w:type="auto"/>
            <w:tcBorders>
              <w:top w:val="nil"/>
              <w:left w:val="nil"/>
              <w:bottom w:val="nil"/>
              <w:right w:val="nil"/>
            </w:tcBorders>
            <w:noWrap/>
            <w:vAlign w:val="center"/>
            <w:hideMark/>
          </w:tcPr>
          <w:p w14:paraId="3F71C7C8"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385</w:t>
            </w:r>
          </w:p>
        </w:tc>
        <w:tc>
          <w:tcPr>
            <w:tcW w:w="0" w:type="auto"/>
            <w:tcBorders>
              <w:top w:val="nil"/>
              <w:left w:val="nil"/>
              <w:bottom w:val="nil"/>
              <w:right w:val="nil"/>
            </w:tcBorders>
            <w:noWrap/>
            <w:vAlign w:val="center"/>
            <w:hideMark/>
          </w:tcPr>
          <w:p w14:paraId="0B0A0AEB"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492</w:t>
            </w:r>
          </w:p>
        </w:tc>
        <w:tc>
          <w:tcPr>
            <w:tcW w:w="0" w:type="auto"/>
            <w:tcBorders>
              <w:top w:val="nil"/>
              <w:left w:val="nil"/>
              <w:bottom w:val="nil"/>
              <w:right w:val="nil"/>
            </w:tcBorders>
            <w:noWrap/>
            <w:vAlign w:val="center"/>
            <w:hideMark/>
          </w:tcPr>
          <w:p w14:paraId="1B5182E2"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562</w:t>
            </w:r>
          </w:p>
        </w:tc>
        <w:tc>
          <w:tcPr>
            <w:tcW w:w="0" w:type="auto"/>
            <w:tcBorders>
              <w:top w:val="nil"/>
              <w:left w:val="nil"/>
              <w:bottom w:val="nil"/>
              <w:right w:val="nil"/>
            </w:tcBorders>
            <w:noWrap/>
            <w:vAlign w:val="center"/>
            <w:hideMark/>
          </w:tcPr>
          <w:p w14:paraId="2116E3B5" w14:textId="77777777" w:rsidR="00424987" w:rsidRPr="002C17CC" w:rsidRDefault="00424987" w:rsidP="00424987">
            <w:pPr>
              <w:spacing w:after="0" w:line="360" w:lineRule="auto"/>
              <w:jc w:val="right"/>
              <w:rPr>
                <w:rFonts w:ascii="Arial" w:eastAsia="Times New Roman" w:hAnsi="Arial" w:cs="Arial"/>
                <w:color w:val="000000" w:themeColor="text1"/>
                <w:sz w:val="24"/>
                <w:szCs w:val="24"/>
              </w:rPr>
            </w:pPr>
            <w:r w:rsidRPr="002C17CC">
              <w:rPr>
                <w:rFonts w:ascii="Arial" w:eastAsia="Times New Roman" w:hAnsi="Arial" w:cs="Arial"/>
                <w:color w:val="000000" w:themeColor="text1"/>
                <w:sz w:val="24"/>
                <w:szCs w:val="24"/>
              </w:rPr>
              <w:t>648</w:t>
            </w:r>
          </w:p>
        </w:tc>
      </w:tr>
      <w:tr w:rsidR="00424987" w:rsidRPr="00424987" w14:paraId="5BF88CC4" w14:textId="77777777" w:rsidTr="00424987">
        <w:trPr>
          <w:trHeight w:val="288"/>
        </w:trPr>
        <w:tc>
          <w:tcPr>
            <w:tcW w:w="0" w:type="auto"/>
            <w:tcBorders>
              <w:top w:val="single" w:sz="4" w:space="0" w:color="17365D"/>
              <w:left w:val="nil"/>
              <w:bottom w:val="nil"/>
              <w:right w:val="nil"/>
            </w:tcBorders>
            <w:vAlign w:val="center"/>
            <w:hideMark/>
          </w:tcPr>
          <w:p w14:paraId="2103D8DF"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Cash and restricted cash at year-end</w:t>
            </w:r>
          </w:p>
        </w:tc>
        <w:tc>
          <w:tcPr>
            <w:tcW w:w="0" w:type="auto"/>
            <w:tcBorders>
              <w:top w:val="single" w:sz="4" w:space="0" w:color="17365D"/>
              <w:left w:val="nil"/>
              <w:bottom w:val="nil"/>
              <w:right w:val="nil"/>
            </w:tcBorders>
            <w:shd w:val="clear" w:color="000000" w:fill="E7E6E6"/>
            <w:noWrap/>
            <w:vAlign w:val="center"/>
            <w:hideMark/>
          </w:tcPr>
          <w:p w14:paraId="2BA3B6C8" w14:textId="77777777" w:rsidR="00424987" w:rsidRPr="00424987" w:rsidRDefault="00424987" w:rsidP="00424987">
            <w:pPr>
              <w:spacing w:after="0" w:line="360" w:lineRule="auto"/>
              <w:rPr>
                <w:rFonts w:ascii="Arial" w:eastAsia="Times New Roman" w:hAnsi="Arial" w:cs="Arial"/>
                <w:b/>
                <w:bCs/>
                <w:sz w:val="24"/>
                <w:szCs w:val="24"/>
              </w:rPr>
            </w:pPr>
            <w:r w:rsidRPr="00424987">
              <w:rPr>
                <w:rFonts w:ascii="Arial" w:eastAsia="Times New Roman" w:hAnsi="Arial" w:cs="Arial"/>
                <w:b/>
                <w:bCs/>
                <w:sz w:val="24"/>
                <w:szCs w:val="24"/>
              </w:rPr>
              <w:t> </w:t>
            </w:r>
          </w:p>
        </w:tc>
        <w:tc>
          <w:tcPr>
            <w:tcW w:w="0" w:type="auto"/>
            <w:tcBorders>
              <w:top w:val="single" w:sz="4" w:space="0" w:color="17365D"/>
              <w:left w:val="nil"/>
              <w:bottom w:val="nil"/>
              <w:right w:val="nil"/>
            </w:tcBorders>
            <w:noWrap/>
            <w:vAlign w:val="center"/>
            <w:hideMark/>
          </w:tcPr>
          <w:p w14:paraId="42A7F358" w14:textId="77777777" w:rsidR="00424987" w:rsidRPr="00424987" w:rsidRDefault="00424987" w:rsidP="00424987">
            <w:pPr>
              <w:spacing w:after="0" w:line="360" w:lineRule="auto"/>
              <w:jc w:val="right"/>
              <w:rPr>
                <w:rFonts w:ascii="Arial" w:eastAsia="Times New Roman" w:hAnsi="Arial" w:cs="Arial"/>
                <w:b/>
                <w:bCs/>
                <w:color w:val="000000"/>
                <w:sz w:val="24"/>
                <w:szCs w:val="24"/>
              </w:rPr>
            </w:pPr>
            <w:r w:rsidRPr="00424987">
              <w:rPr>
                <w:rFonts w:ascii="Arial" w:eastAsia="Times New Roman" w:hAnsi="Arial" w:cs="Arial"/>
                <w:b/>
                <w:bCs/>
                <w:color w:val="000000"/>
                <w:sz w:val="24"/>
                <w:szCs w:val="24"/>
              </w:rPr>
              <w:t>1,512</w:t>
            </w:r>
          </w:p>
        </w:tc>
        <w:tc>
          <w:tcPr>
            <w:tcW w:w="0" w:type="auto"/>
            <w:tcBorders>
              <w:top w:val="single" w:sz="4" w:space="0" w:color="17365D"/>
              <w:left w:val="nil"/>
              <w:bottom w:val="nil"/>
              <w:right w:val="nil"/>
            </w:tcBorders>
            <w:noWrap/>
            <w:vAlign w:val="center"/>
            <w:hideMark/>
          </w:tcPr>
          <w:p w14:paraId="402F44E5" w14:textId="77777777" w:rsidR="00424987" w:rsidRPr="00424987" w:rsidRDefault="00424987" w:rsidP="00424987">
            <w:pPr>
              <w:spacing w:after="0" w:line="360" w:lineRule="auto"/>
              <w:jc w:val="right"/>
              <w:rPr>
                <w:rFonts w:ascii="Arial" w:eastAsia="Times New Roman" w:hAnsi="Arial" w:cs="Arial"/>
                <w:b/>
                <w:bCs/>
                <w:color w:val="000000"/>
                <w:sz w:val="24"/>
                <w:szCs w:val="24"/>
              </w:rPr>
            </w:pPr>
            <w:r w:rsidRPr="00424987">
              <w:rPr>
                <w:rFonts w:ascii="Arial" w:eastAsia="Times New Roman" w:hAnsi="Arial" w:cs="Arial"/>
                <w:b/>
                <w:bCs/>
                <w:color w:val="000000"/>
                <w:sz w:val="24"/>
                <w:szCs w:val="24"/>
              </w:rPr>
              <w:t>1,286</w:t>
            </w:r>
          </w:p>
        </w:tc>
        <w:tc>
          <w:tcPr>
            <w:tcW w:w="0" w:type="auto"/>
            <w:tcBorders>
              <w:top w:val="single" w:sz="4" w:space="0" w:color="17365D"/>
              <w:left w:val="nil"/>
              <w:bottom w:val="nil"/>
              <w:right w:val="nil"/>
            </w:tcBorders>
            <w:noWrap/>
            <w:vAlign w:val="center"/>
            <w:hideMark/>
          </w:tcPr>
          <w:p w14:paraId="7072DB6E" w14:textId="77777777" w:rsidR="00424987" w:rsidRPr="00424987" w:rsidRDefault="00424987" w:rsidP="00424987">
            <w:pPr>
              <w:spacing w:after="0" w:line="360" w:lineRule="auto"/>
              <w:jc w:val="right"/>
              <w:rPr>
                <w:rFonts w:ascii="Arial" w:eastAsia="Times New Roman" w:hAnsi="Arial" w:cs="Arial"/>
                <w:b/>
                <w:bCs/>
                <w:color w:val="000000"/>
                <w:sz w:val="24"/>
                <w:szCs w:val="24"/>
              </w:rPr>
            </w:pPr>
            <w:r w:rsidRPr="00424987">
              <w:rPr>
                <w:rFonts w:ascii="Arial" w:eastAsia="Times New Roman" w:hAnsi="Arial" w:cs="Arial"/>
                <w:b/>
                <w:bCs/>
                <w:color w:val="000000"/>
                <w:sz w:val="24"/>
                <w:szCs w:val="24"/>
              </w:rPr>
              <w:t>875</w:t>
            </w:r>
          </w:p>
        </w:tc>
        <w:tc>
          <w:tcPr>
            <w:tcW w:w="0" w:type="auto"/>
            <w:tcBorders>
              <w:top w:val="single" w:sz="4" w:space="0" w:color="17365D"/>
              <w:left w:val="nil"/>
              <w:bottom w:val="nil"/>
              <w:right w:val="nil"/>
            </w:tcBorders>
            <w:noWrap/>
            <w:vAlign w:val="center"/>
            <w:hideMark/>
          </w:tcPr>
          <w:p w14:paraId="01590DCA" w14:textId="77777777" w:rsidR="00424987" w:rsidRPr="00424987" w:rsidRDefault="00424987" w:rsidP="00424987">
            <w:pPr>
              <w:spacing w:after="0" w:line="360" w:lineRule="auto"/>
              <w:jc w:val="right"/>
              <w:rPr>
                <w:rFonts w:ascii="Arial" w:eastAsia="Times New Roman" w:hAnsi="Arial" w:cs="Arial"/>
                <w:b/>
                <w:bCs/>
                <w:color w:val="000000"/>
                <w:sz w:val="24"/>
                <w:szCs w:val="24"/>
              </w:rPr>
            </w:pPr>
            <w:r w:rsidRPr="00424987">
              <w:rPr>
                <w:rFonts w:ascii="Arial" w:eastAsia="Times New Roman" w:hAnsi="Arial" w:cs="Arial"/>
                <w:b/>
                <w:bCs/>
                <w:color w:val="000000"/>
                <w:sz w:val="24"/>
                <w:szCs w:val="24"/>
              </w:rPr>
              <w:t>1,376</w:t>
            </w:r>
          </w:p>
        </w:tc>
        <w:tc>
          <w:tcPr>
            <w:tcW w:w="0" w:type="auto"/>
            <w:tcBorders>
              <w:top w:val="single" w:sz="4" w:space="0" w:color="17365D"/>
              <w:left w:val="nil"/>
              <w:bottom w:val="nil"/>
              <w:right w:val="nil"/>
            </w:tcBorders>
            <w:noWrap/>
            <w:vAlign w:val="center"/>
            <w:hideMark/>
          </w:tcPr>
          <w:p w14:paraId="5072B78D" w14:textId="77777777" w:rsidR="00424987" w:rsidRPr="00424987" w:rsidRDefault="00424987" w:rsidP="00424987">
            <w:pPr>
              <w:spacing w:after="0" w:line="360" w:lineRule="auto"/>
              <w:jc w:val="right"/>
              <w:rPr>
                <w:rFonts w:ascii="Arial" w:eastAsia="Times New Roman" w:hAnsi="Arial" w:cs="Arial"/>
                <w:b/>
                <w:bCs/>
                <w:color w:val="000000"/>
                <w:sz w:val="24"/>
                <w:szCs w:val="24"/>
              </w:rPr>
            </w:pPr>
            <w:r w:rsidRPr="00424987">
              <w:rPr>
                <w:rFonts w:ascii="Arial" w:eastAsia="Times New Roman" w:hAnsi="Arial" w:cs="Arial"/>
                <w:b/>
                <w:bCs/>
                <w:color w:val="000000"/>
                <w:sz w:val="24"/>
                <w:szCs w:val="24"/>
              </w:rPr>
              <w:t>970</w:t>
            </w:r>
          </w:p>
        </w:tc>
      </w:tr>
    </w:tbl>
    <w:p w14:paraId="14447778" w14:textId="77777777" w:rsidR="00424987" w:rsidRPr="00424987" w:rsidRDefault="00424987" w:rsidP="00424987"/>
    <w:p w14:paraId="4F02B7EC" w14:textId="77777777" w:rsidR="00424987" w:rsidRPr="00424987" w:rsidRDefault="00424987" w:rsidP="00424987">
      <w:pPr>
        <w:pStyle w:val="Heading2"/>
        <w:spacing w:line="360" w:lineRule="auto"/>
        <w:rPr>
          <w:rFonts w:ascii="Arial" w:hAnsi="Arial" w:cs="Arial"/>
          <w:sz w:val="24"/>
          <w:szCs w:val="24"/>
        </w:rPr>
      </w:pPr>
      <w:bookmarkStart w:id="34" w:name="_Toc235694643"/>
      <w:r w:rsidRPr="00424987">
        <w:rPr>
          <w:rFonts w:ascii="Arial" w:hAnsi="Arial" w:cs="Arial"/>
          <w:sz w:val="24"/>
          <w:szCs w:val="24"/>
        </w:rPr>
        <w:t>Appendix B: Comprehensive Ratio Summary</w:t>
      </w:r>
      <w:bookmarkEnd w:id="34"/>
    </w:p>
    <w:tbl>
      <w:tblPr>
        <w:tblW w:w="0" w:type="auto"/>
        <w:tblLook w:val="04A0" w:firstRow="1" w:lastRow="0" w:firstColumn="1" w:lastColumn="0" w:noHBand="0" w:noVBand="1"/>
      </w:tblPr>
      <w:tblGrid>
        <w:gridCol w:w="3876"/>
        <w:gridCol w:w="1030"/>
        <w:gridCol w:w="1030"/>
        <w:gridCol w:w="1030"/>
        <w:gridCol w:w="1030"/>
        <w:gridCol w:w="1030"/>
      </w:tblGrid>
      <w:tr w:rsidR="00424987" w:rsidRPr="00424987" w14:paraId="14BC49F1" w14:textId="77777777" w:rsidTr="00424987">
        <w:trPr>
          <w:trHeight w:val="456"/>
        </w:trPr>
        <w:tc>
          <w:tcPr>
            <w:tcW w:w="0" w:type="auto"/>
            <w:gridSpan w:val="6"/>
            <w:tcBorders>
              <w:top w:val="nil"/>
              <w:left w:val="nil"/>
              <w:bottom w:val="nil"/>
              <w:right w:val="nil"/>
            </w:tcBorders>
            <w:shd w:val="clear" w:color="000000" w:fill="17365D"/>
            <w:noWrap/>
            <w:vAlign w:val="center"/>
            <w:hideMark/>
          </w:tcPr>
          <w:p w14:paraId="0AFFDC8A"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Hilton Worldwide — Comprehensive Ratio Analysis</w:t>
            </w:r>
          </w:p>
        </w:tc>
      </w:tr>
      <w:tr w:rsidR="00424987" w:rsidRPr="00424987" w14:paraId="3F924588" w14:textId="77777777" w:rsidTr="00424987">
        <w:trPr>
          <w:trHeight w:val="276"/>
        </w:trPr>
        <w:tc>
          <w:tcPr>
            <w:tcW w:w="0" w:type="auto"/>
            <w:tcBorders>
              <w:top w:val="nil"/>
              <w:left w:val="nil"/>
              <w:bottom w:val="nil"/>
              <w:right w:val="nil"/>
            </w:tcBorders>
            <w:noWrap/>
            <w:vAlign w:val="bottom"/>
            <w:hideMark/>
          </w:tcPr>
          <w:p w14:paraId="007545B7" w14:textId="77777777" w:rsidR="00424987" w:rsidRPr="00424987" w:rsidRDefault="00424987" w:rsidP="00424987">
            <w:pPr>
              <w:spacing w:after="0" w:line="360" w:lineRule="auto"/>
              <w:rPr>
                <w:rFonts w:ascii="Arial" w:eastAsia="Times New Roman" w:hAnsi="Arial" w:cs="Arial"/>
                <w:i/>
                <w:iCs/>
                <w:color w:val="17365D"/>
                <w:sz w:val="24"/>
                <w:szCs w:val="24"/>
              </w:rPr>
            </w:pPr>
          </w:p>
        </w:tc>
        <w:tc>
          <w:tcPr>
            <w:tcW w:w="0" w:type="auto"/>
            <w:tcBorders>
              <w:top w:val="nil"/>
              <w:left w:val="nil"/>
              <w:bottom w:val="nil"/>
              <w:right w:val="nil"/>
            </w:tcBorders>
            <w:noWrap/>
            <w:vAlign w:val="bottom"/>
            <w:hideMark/>
          </w:tcPr>
          <w:p w14:paraId="2E00360E"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bottom"/>
            <w:hideMark/>
          </w:tcPr>
          <w:p w14:paraId="59266FE2"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bottom"/>
            <w:hideMark/>
          </w:tcPr>
          <w:p w14:paraId="329F0A4E"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bottom"/>
            <w:hideMark/>
          </w:tcPr>
          <w:p w14:paraId="1A5B225D"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noWrap/>
            <w:vAlign w:val="bottom"/>
            <w:hideMark/>
          </w:tcPr>
          <w:p w14:paraId="3541FCF6"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6212FC5E" w14:textId="77777777" w:rsidTr="00424987">
        <w:trPr>
          <w:trHeight w:val="276"/>
        </w:trPr>
        <w:tc>
          <w:tcPr>
            <w:tcW w:w="0" w:type="auto"/>
            <w:tcBorders>
              <w:top w:val="nil"/>
              <w:left w:val="nil"/>
              <w:bottom w:val="nil"/>
              <w:right w:val="nil"/>
            </w:tcBorders>
            <w:shd w:val="clear" w:color="000000" w:fill="0B1F33"/>
            <w:vAlign w:val="center"/>
            <w:hideMark/>
          </w:tcPr>
          <w:p w14:paraId="698235EA"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Ratio / measure</w:t>
            </w:r>
          </w:p>
        </w:tc>
        <w:tc>
          <w:tcPr>
            <w:tcW w:w="0" w:type="auto"/>
            <w:tcBorders>
              <w:top w:val="nil"/>
              <w:left w:val="nil"/>
              <w:bottom w:val="nil"/>
              <w:right w:val="nil"/>
            </w:tcBorders>
            <w:shd w:val="clear" w:color="000000" w:fill="0B1F33"/>
            <w:vAlign w:val="center"/>
            <w:hideMark/>
          </w:tcPr>
          <w:p w14:paraId="435B4519"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2021</w:t>
            </w:r>
          </w:p>
        </w:tc>
        <w:tc>
          <w:tcPr>
            <w:tcW w:w="0" w:type="auto"/>
            <w:tcBorders>
              <w:top w:val="nil"/>
              <w:left w:val="nil"/>
              <w:bottom w:val="nil"/>
              <w:right w:val="nil"/>
            </w:tcBorders>
            <w:shd w:val="clear" w:color="000000" w:fill="0B1F33"/>
            <w:vAlign w:val="center"/>
            <w:hideMark/>
          </w:tcPr>
          <w:p w14:paraId="1F76A9EC"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2022</w:t>
            </w:r>
          </w:p>
        </w:tc>
        <w:tc>
          <w:tcPr>
            <w:tcW w:w="0" w:type="auto"/>
            <w:tcBorders>
              <w:top w:val="nil"/>
              <w:left w:val="nil"/>
              <w:bottom w:val="nil"/>
              <w:right w:val="nil"/>
            </w:tcBorders>
            <w:shd w:val="clear" w:color="000000" w:fill="0B1F33"/>
            <w:vAlign w:val="center"/>
            <w:hideMark/>
          </w:tcPr>
          <w:p w14:paraId="26619468"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2023</w:t>
            </w:r>
          </w:p>
        </w:tc>
        <w:tc>
          <w:tcPr>
            <w:tcW w:w="0" w:type="auto"/>
            <w:tcBorders>
              <w:top w:val="nil"/>
              <w:left w:val="nil"/>
              <w:bottom w:val="nil"/>
              <w:right w:val="nil"/>
            </w:tcBorders>
            <w:shd w:val="clear" w:color="000000" w:fill="0B1F33"/>
            <w:vAlign w:val="center"/>
            <w:hideMark/>
          </w:tcPr>
          <w:p w14:paraId="0887332D"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2024</w:t>
            </w:r>
          </w:p>
        </w:tc>
        <w:tc>
          <w:tcPr>
            <w:tcW w:w="0" w:type="auto"/>
            <w:tcBorders>
              <w:top w:val="nil"/>
              <w:left w:val="nil"/>
              <w:bottom w:val="nil"/>
              <w:right w:val="nil"/>
            </w:tcBorders>
            <w:shd w:val="clear" w:color="000000" w:fill="0B1F33"/>
            <w:vAlign w:val="center"/>
            <w:hideMark/>
          </w:tcPr>
          <w:p w14:paraId="45C2ED36" w14:textId="77777777" w:rsidR="00424987" w:rsidRPr="00424987" w:rsidRDefault="00424987" w:rsidP="00424987">
            <w:pPr>
              <w:spacing w:after="0" w:line="360" w:lineRule="auto"/>
              <w:jc w:val="center"/>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2025</w:t>
            </w:r>
          </w:p>
        </w:tc>
      </w:tr>
      <w:tr w:rsidR="00424987" w:rsidRPr="00424987" w14:paraId="0015604C" w14:textId="77777777" w:rsidTr="00424987">
        <w:trPr>
          <w:trHeight w:val="276"/>
        </w:trPr>
        <w:tc>
          <w:tcPr>
            <w:tcW w:w="0" w:type="auto"/>
            <w:gridSpan w:val="6"/>
            <w:tcBorders>
              <w:top w:val="nil"/>
              <w:left w:val="nil"/>
              <w:bottom w:val="nil"/>
              <w:right w:val="nil"/>
            </w:tcBorders>
            <w:shd w:val="clear" w:color="000000" w:fill="17365D"/>
            <w:vAlign w:val="center"/>
            <w:hideMark/>
          </w:tcPr>
          <w:p w14:paraId="0D68947E"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PROFITABILITY</w:t>
            </w:r>
          </w:p>
        </w:tc>
      </w:tr>
      <w:tr w:rsidR="00424987" w:rsidRPr="00424987" w14:paraId="1855F295" w14:textId="77777777" w:rsidTr="00424987">
        <w:trPr>
          <w:trHeight w:val="276"/>
        </w:trPr>
        <w:tc>
          <w:tcPr>
            <w:tcW w:w="0" w:type="auto"/>
            <w:tcBorders>
              <w:top w:val="nil"/>
              <w:left w:val="nil"/>
              <w:bottom w:val="nil"/>
              <w:right w:val="nil"/>
            </w:tcBorders>
            <w:vAlign w:val="center"/>
            <w:hideMark/>
          </w:tcPr>
          <w:p w14:paraId="4F1BF1C4"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Revenue growth</w:t>
            </w:r>
          </w:p>
        </w:tc>
        <w:tc>
          <w:tcPr>
            <w:tcW w:w="0" w:type="auto"/>
            <w:tcBorders>
              <w:top w:val="nil"/>
              <w:left w:val="nil"/>
              <w:bottom w:val="nil"/>
              <w:right w:val="nil"/>
            </w:tcBorders>
            <w:vAlign w:val="center"/>
            <w:hideMark/>
          </w:tcPr>
          <w:p w14:paraId="7E16C1D8"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p>
        </w:tc>
        <w:tc>
          <w:tcPr>
            <w:tcW w:w="0" w:type="auto"/>
            <w:tcBorders>
              <w:top w:val="nil"/>
              <w:left w:val="nil"/>
              <w:bottom w:val="nil"/>
              <w:right w:val="nil"/>
            </w:tcBorders>
            <w:vAlign w:val="center"/>
            <w:hideMark/>
          </w:tcPr>
          <w:p w14:paraId="4A177A8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51.6%</w:t>
            </w:r>
          </w:p>
        </w:tc>
        <w:tc>
          <w:tcPr>
            <w:tcW w:w="0" w:type="auto"/>
            <w:tcBorders>
              <w:top w:val="nil"/>
              <w:left w:val="nil"/>
              <w:bottom w:val="nil"/>
              <w:right w:val="nil"/>
            </w:tcBorders>
            <w:vAlign w:val="center"/>
            <w:hideMark/>
          </w:tcPr>
          <w:p w14:paraId="01C5291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16.7%</w:t>
            </w:r>
          </w:p>
        </w:tc>
        <w:tc>
          <w:tcPr>
            <w:tcW w:w="0" w:type="auto"/>
            <w:tcBorders>
              <w:top w:val="nil"/>
              <w:left w:val="nil"/>
              <w:bottom w:val="nil"/>
              <w:right w:val="nil"/>
            </w:tcBorders>
            <w:vAlign w:val="center"/>
            <w:hideMark/>
          </w:tcPr>
          <w:p w14:paraId="03C66E9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9.2%</w:t>
            </w:r>
          </w:p>
        </w:tc>
        <w:tc>
          <w:tcPr>
            <w:tcW w:w="0" w:type="auto"/>
            <w:tcBorders>
              <w:top w:val="nil"/>
              <w:left w:val="nil"/>
              <w:bottom w:val="nil"/>
              <w:right w:val="nil"/>
            </w:tcBorders>
            <w:vAlign w:val="center"/>
            <w:hideMark/>
          </w:tcPr>
          <w:p w14:paraId="6E8C52E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7.7%</w:t>
            </w:r>
          </w:p>
        </w:tc>
      </w:tr>
      <w:tr w:rsidR="00424987" w:rsidRPr="00424987" w14:paraId="27469554" w14:textId="77777777" w:rsidTr="00424987">
        <w:trPr>
          <w:trHeight w:val="276"/>
        </w:trPr>
        <w:tc>
          <w:tcPr>
            <w:tcW w:w="0" w:type="auto"/>
            <w:tcBorders>
              <w:top w:val="nil"/>
              <w:left w:val="nil"/>
              <w:bottom w:val="nil"/>
              <w:right w:val="nil"/>
            </w:tcBorders>
            <w:vAlign w:val="center"/>
            <w:hideMark/>
          </w:tcPr>
          <w:p w14:paraId="3447F401"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Core revenue growth</w:t>
            </w:r>
          </w:p>
        </w:tc>
        <w:tc>
          <w:tcPr>
            <w:tcW w:w="0" w:type="auto"/>
            <w:tcBorders>
              <w:top w:val="nil"/>
              <w:left w:val="nil"/>
              <w:bottom w:val="nil"/>
              <w:right w:val="nil"/>
            </w:tcBorders>
            <w:vAlign w:val="center"/>
            <w:hideMark/>
          </w:tcPr>
          <w:p w14:paraId="476894D8"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p>
        </w:tc>
        <w:tc>
          <w:tcPr>
            <w:tcW w:w="0" w:type="auto"/>
            <w:tcBorders>
              <w:top w:val="nil"/>
              <w:left w:val="nil"/>
              <w:bottom w:val="nil"/>
              <w:right w:val="nil"/>
            </w:tcBorders>
            <w:vAlign w:val="center"/>
            <w:hideMark/>
          </w:tcPr>
          <w:p w14:paraId="1222EB1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52.9%</w:t>
            </w:r>
          </w:p>
        </w:tc>
        <w:tc>
          <w:tcPr>
            <w:tcW w:w="0" w:type="auto"/>
            <w:tcBorders>
              <w:top w:val="nil"/>
              <w:left w:val="nil"/>
              <w:bottom w:val="nil"/>
              <w:right w:val="nil"/>
            </w:tcBorders>
            <w:vAlign w:val="center"/>
            <w:hideMark/>
          </w:tcPr>
          <w:p w14:paraId="60A1121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18.0%</w:t>
            </w:r>
          </w:p>
        </w:tc>
        <w:tc>
          <w:tcPr>
            <w:tcW w:w="0" w:type="auto"/>
            <w:tcBorders>
              <w:top w:val="nil"/>
              <w:left w:val="nil"/>
              <w:bottom w:val="nil"/>
              <w:right w:val="nil"/>
            </w:tcBorders>
            <w:vAlign w:val="center"/>
            <w:hideMark/>
          </w:tcPr>
          <w:p w14:paraId="1E40D70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7.7%</w:t>
            </w:r>
          </w:p>
        </w:tc>
        <w:tc>
          <w:tcPr>
            <w:tcW w:w="0" w:type="auto"/>
            <w:tcBorders>
              <w:top w:val="nil"/>
              <w:left w:val="nil"/>
              <w:bottom w:val="nil"/>
              <w:right w:val="nil"/>
            </w:tcBorders>
            <w:vAlign w:val="center"/>
            <w:hideMark/>
          </w:tcPr>
          <w:p w14:paraId="3886D28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4.4%</w:t>
            </w:r>
          </w:p>
        </w:tc>
      </w:tr>
      <w:tr w:rsidR="00424987" w:rsidRPr="00424987" w14:paraId="03137504" w14:textId="77777777" w:rsidTr="00424987">
        <w:trPr>
          <w:trHeight w:val="276"/>
        </w:trPr>
        <w:tc>
          <w:tcPr>
            <w:tcW w:w="0" w:type="auto"/>
            <w:tcBorders>
              <w:top w:val="nil"/>
              <w:left w:val="nil"/>
              <w:bottom w:val="nil"/>
              <w:right w:val="nil"/>
            </w:tcBorders>
            <w:vAlign w:val="center"/>
            <w:hideMark/>
          </w:tcPr>
          <w:p w14:paraId="59DB71A9"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Operating margin</w:t>
            </w:r>
          </w:p>
        </w:tc>
        <w:tc>
          <w:tcPr>
            <w:tcW w:w="0" w:type="auto"/>
            <w:tcBorders>
              <w:top w:val="nil"/>
              <w:left w:val="nil"/>
              <w:bottom w:val="nil"/>
              <w:right w:val="nil"/>
            </w:tcBorders>
            <w:vAlign w:val="center"/>
            <w:hideMark/>
          </w:tcPr>
          <w:p w14:paraId="52A4386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17.4%</w:t>
            </w:r>
          </w:p>
        </w:tc>
        <w:tc>
          <w:tcPr>
            <w:tcW w:w="0" w:type="auto"/>
            <w:tcBorders>
              <w:top w:val="nil"/>
              <w:left w:val="nil"/>
              <w:bottom w:val="nil"/>
              <w:right w:val="nil"/>
            </w:tcBorders>
            <w:vAlign w:val="center"/>
            <w:hideMark/>
          </w:tcPr>
          <w:p w14:paraId="0115E49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23.9%</w:t>
            </w:r>
          </w:p>
        </w:tc>
        <w:tc>
          <w:tcPr>
            <w:tcW w:w="0" w:type="auto"/>
            <w:tcBorders>
              <w:top w:val="nil"/>
              <w:left w:val="nil"/>
              <w:bottom w:val="nil"/>
              <w:right w:val="nil"/>
            </w:tcBorders>
            <w:vAlign w:val="center"/>
            <w:hideMark/>
          </w:tcPr>
          <w:p w14:paraId="3FEEA49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21.7%</w:t>
            </w:r>
          </w:p>
        </w:tc>
        <w:tc>
          <w:tcPr>
            <w:tcW w:w="0" w:type="auto"/>
            <w:tcBorders>
              <w:top w:val="nil"/>
              <w:left w:val="nil"/>
              <w:bottom w:val="nil"/>
              <w:right w:val="nil"/>
            </w:tcBorders>
            <w:vAlign w:val="center"/>
            <w:hideMark/>
          </w:tcPr>
          <w:p w14:paraId="412DB9E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21.2%</w:t>
            </w:r>
          </w:p>
        </w:tc>
        <w:tc>
          <w:tcPr>
            <w:tcW w:w="0" w:type="auto"/>
            <w:tcBorders>
              <w:top w:val="nil"/>
              <w:left w:val="nil"/>
              <w:bottom w:val="nil"/>
              <w:right w:val="nil"/>
            </w:tcBorders>
            <w:vAlign w:val="center"/>
            <w:hideMark/>
          </w:tcPr>
          <w:p w14:paraId="1241D84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22.4%</w:t>
            </w:r>
          </w:p>
        </w:tc>
      </w:tr>
      <w:tr w:rsidR="00424987" w:rsidRPr="00424987" w14:paraId="219244EC" w14:textId="77777777" w:rsidTr="00424987">
        <w:trPr>
          <w:trHeight w:val="276"/>
        </w:trPr>
        <w:tc>
          <w:tcPr>
            <w:tcW w:w="0" w:type="auto"/>
            <w:tcBorders>
              <w:top w:val="nil"/>
              <w:left w:val="nil"/>
              <w:bottom w:val="nil"/>
              <w:right w:val="nil"/>
            </w:tcBorders>
            <w:vAlign w:val="center"/>
            <w:hideMark/>
          </w:tcPr>
          <w:p w14:paraId="1C7CBDAC"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Core operating margin</w:t>
            </w:r>
          </w:p>
        </w:tc>
        <w:tc>
          <w:tcPr>
            <w:tcW w:w="0" w:type="auto"/>
            <w:tcBorders>
              <w:top w:val="nil"/>
              <w:left w:val="nil"/>
              <w:bottom w:val="nil"/>
              <w:right w:val="nil"/>
            </w:tcBorders>
            <w:vAlign w:val="center"/>
            <w:hideMark/>
          </w:tcPr>
          <w:p w14:paraId="7885313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41.3%</w:t>
            </w:r>
          </w:p>
        </w:tc>
        <w:tc>
          <w:tcPr>
            <w:tcW w:w="0" w:type="auto"/>
            <w:tcBorders>
              <w:top w:val="nil"/>
              <w:left w:val="nil"/>
              <w:bottom w:val="nil"/>
              <w:right w:val="nil"/>
            </w:tcBorders>
            <w:vAlign w:val="center"/>
            <w:hideMark/>
          </w:tcPr>
          <w:p w14:paraId="28BD477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56.0%</w:t>
            </w:r>
          </w:p>
        </w:tc>
        <w:tc>
          <w:tcPr>
            <w:tcW w:w="0" w:type="auto"/>
            <w:tcBorders>
              <w:top w:val="nil"/>
              <w:left w:val="nil"/>
              <w:bottom w:val="nil"/>
              <w:right w:val="nil"/>
            </w:tcBorders>
            <w:vAlign w:val="center"/>
            <w:hideMark/>
          </w:tcPr>
          <w:p w14:paraId="006BADA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50.5%</w:t>
            </w:r>
          </w:p>
        </w:tc>
        <w:tc>
          <w:tcPr>
            <w:tcW w:w="0" w:type="auto"/>
            <w:tcBorders>
              <w:top w:val="nil"/>
              <w:left w:val="nil"/>
              <w:bottom w:val="nil"/>
              <w:right w:val="nil"/>
            </w:tcBorders>
            <w:vAlign w:val="center"/>
            <w:hideMark/>
          </w:tcPr>
          <w:p w14:paraId="3DF07D3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49.9%</w:t>
            </w:r>
          </w:p>
        </w:tc>
        <w:tc>
          <w:tcPr>
            <w:tcW w:w="0" w:type="auto"/>
            <w:tcBorders>
              <w:top w:val="nil"/>
              <w:left w:val="nil"/>
              <w:bottom w:val="nil"/>
              <w:right w:val="nil"/>
            </w:tcBorders>
            <w:vAlign w:val="center"/>
            <w:hideMark/>
          </w:tcPr>
          <w:p w14:paraId="4E0143C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54.4%</w:t>
            </w:r>
          </w:p>
        </w:tc>
      </w:tr>
      <w:tr w:rsidR="00424987" w:rsidRPr="00424987" w14:paraId="1CA4FFAF" w14:textId="77777777" w:rsidTr="00424987">
        <w:trPr>
          <w:trHeight w:val="276"/>
        </w:trPr>
        <w:tc>
          <w:tcPr>
            <w:tcW w:w="0" w:type="auto"/>
            <w:tcBorders>
              <w:top w:val="nil"/>
              <w:left w:val="nil"/>
              <w:bottom w:val="nil"/>
              <w:right w:val="nil"/>
            </w:tcBorders>
            <w:vAlign w:val="center"/>
            <w:hideMark/>
          </w:tcPr>
          <w:p w14:paraId="036ACF7B"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Net margin</w:t>
            </w:r>
          </w:p>
        </w:tc>
        <w:tc>
          <w:tcPr>
            <w:tcW w:w="0" w:type="auto"/>
            <w:tcBorders>
              <w:top w:val="nil"/>
              <w:left w:val="nil"/>
              <w:bottom w:val="nil"/>
              <w:right w:val="nil"/>
            </w:tcBorders>
            <w:vAlign w:val="center"/>
            <w:hideMark/>
          </w:tcPr>
          <w:p w14:paraId="33A64893"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7.0%</w:t>
            </w:r>
          </w:p>
        </w:tc>
        <w:tc>
          <w:tcPr>
            <w:tcW w:w="0" w:type="auto"/>
            <w:tcBorders>
              <w:top w:val="nil"/>
              <w:left w:val="nil"/>
              <w:bottom w:val="nil"/>
              <w:right w:val="nil"/>
            </w:tcBorders>
            <w:vAlign w:val="center"/>
            <w:hideMark/>
          </w:tcPr>
          <w:p w14:paraId="0D3AED4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14.3%</w:t>
            </w:r>
          </w:p>
        </w:tc>
        <w:tc>
          <w:tcPr>
            <w:tcW w:w="0" w:type="auto"/>
            <w:tcBorders>
              <w:top w:val="nil"/>
              <w:left w:val="nil"/>
              <w:bottom w:val="nil"/>
              <w:right w:val="nil"/>
            </w:tcBorders>
            <w:vAlign w:val="center"/>
            <w:hideMark/>
          </w:tcPr>
          <w:p w14:paraId="28AE317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11.2%</w:t>
            </w:r>
          </w:p>
        </w:tc>
        <w:tc>
          <w:tcPr>
            <w:tcW w:w="0" w:type="auto"/>
            <w:tcBorders>
              <w:top w:val="nil"/>
              <w:left w:val="nil"/>
              <w:bottom w:val="nil"/>
              <w:right w:val="nil"/>
            </w:tcBorders>
            <w:vAlign w:val="center"/>
            <w:hideMark/>
          </w:tcPr>
          <w:p w14:paraId="3DAB4B5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13.8%</w:t>
            </w:r>
          </w:p>
        </w:tc>
        <w:tc>
          <w:tcPr>
            <w:tcW w:w="0" w:type="auto"/>
            <w:tcBorders>
              <w:top w:val="nil"/>
              <w:left w:val="nil"/>
              <w:bottom w:val="nil"/>
              <w:right w:val="nil"/>
            </w:tcBorders>
            <w:vAlign w:val="center"/>
            <w:hideMark/>
          </w:tcPr>
          <w:p w14:paraId="6F75FE2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12.1%</w:t>
            </w:r>
          </w:p>
        </w:tc>
      </w:tr>
      <w:tr w:rsidR="00424987" w:rsidRPr="00424987" w14:paraId="5B2B974D" w14:textId="77777777" w:rsidTr="00424987">
        <w:trPr>
          <w:trHeight w:val="276"/>
        </w:trPr>
        <w:tc>
          <w:tcPr>
            <w:tcW w:w="0" w:type="auto"/>
            <w:tcBorders>
              <w:top w:val="nil"/>
              <w:left w:val="nil"/>
              <w:bottom w:val="nil"/>
              <w:right w:val="nil"/>
            </w:tcBorders>
            <w:vAlign w:val="center"/>
            <w:hideMark/>
          </w:tcPr>
          <w:p w14:paraId="00F18F74"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Return on assets (ROA)</w:t>
            </w:r>
          </w:p>
        </w:tc>
        <w:tc>
          <w:tcPr>
            <w:tcW w:w="0" w:type="auto"/>
            <w:tcBorders>
              <w:top w:val="nil"/>
              <w:left w:val="nil"/>
              <w:bottom w:val="nil"/>
              <w:right w:val="nil"/>
            </w:tcBorders>
            <w:vAlign w:val="center"/>
            <w:hideMark/>
          </w:tcPr>
          <w:p w14:paraId="4E19156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2.5%</w:t>
            </w:r>
          </w:p>
        </w:tc>
        <w:tc>
          <w:tcPr>
            <w:tcW w:w="0" w:type="auto"/>
            <w:tcBorders>
              <w:top w:val="nil"/>
              <w:left w:val="nil"/>
              <w:bottom w:val="nil"/>
              <w:right w:val="nil"/>
            </w:tcBorders>
            <w:vAlign w:val="center"/>
            <w:hideMark/>
          </w:tcPr>
          <w:p w14:paraId="3357F0F5"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8.1%</w:t>
            </w:r>
          </w:p>
        </w:tc>
        <w:tc>
          <w:tcPr>
            <w:tcW w:w="0" w:type="auto"/>
            <w:tcBorders>
              <w:top w:val="nil"/>
              <w:left w:val="nil"/>
              <w:bottom w:val="nil"/>
              <w:right w:val="nil"/>
            </w:tcBorders>
            <w:vAlign w:val="center"/>
            <w:hideMark/>
          </w:tcPr>
          <w:p w14:paraId="4FC3BDB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7.4%</w:t>
            </w:r>
          </w:p>
        </w:tc>
        <w:tc>
          <w:tcPr>
            <w:tcW w:w="0" w:type="auto"/>
            <w:tcBorders>
              <w:top w:val="nil"/>
              <w:left w:val="nil"/>
              <w:bottom w:val="nil"/>
              <w:right w:val="nil"/>
            </w:tcBorders>
            <w:vAlign w:val="center"/>
            <w:hideMark/>
          </w:tcPr>
          <w:p w14:paraId="23513593"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9.6%</w:t>
            </w:r>
          </w:p>
        </w:tc>
        <w:tc>
          <w:tcPr>
            <w:tcW w:w="0" w:type="auto"/>
            <w:tcBorders>
              <w:top w:val="nil"/>
              <w:left w:val="nil"/>
              <w:bottom w:val="nil"/>
              <w:right w:val="nil"/>
            </w:tcBorders>
            <w:vAlign w:val="center"/>
            <w:hideMark/>
          </w:tcPr>
          <w:p w14:paraId="7D810F0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8.8%</w:t>
            </w:r>
          </w:p>
        </w:tc>
      </w:tr>
      <w:tr w:rsidR="00424987" w:rsidRPr="00424987" w14:paraId="2A5304A5" w14:textId="77777777" w:rsidTr="00424987">
        <w:trPr>
          <w:trHeight w:val="276"/>
        </w:trPr>
        <w:tc>
          <w:tcPr>
            <w:tcW w:w="0" w:type="auto"/>
            <w:tcBorders>
              <w:top w:val="nil"/>
              <w:left w:val="nil"/>
              <w:bottom w:val="nil"/>
              <w:right w:val="nil"/>
            </w:tcBorders>
            <w:vAlign w:val="center"/>
            <w:hideMark/>
          </w:tcPr>
          <w:p w14:paraId="325851B2"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Return on capital employed (ROCE)</w:t>
            </w:r>
          </w:p>
        </w:tc>
        <w:tc>
          <w:tcPr>
            <w:tcW w:w="0" w:type="auto"/>
            <w:tcBorders>
              <w:top w:val="nil"/>
              <w:left w:val="nil"/>
              <w:bottom w:val="nil"/>
              <w:right w:val="nil"/>
            </w:tcBorders>
            <w:vAlign w:val="center"/>
            <w:hideMark/>
          </w:tcPr>
          <w:p w14:paraId="0142E2A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7.6%</w:t>
            </w:r>
          </w:p>
        </w:tc>
        <w:tc>
          <w:tcPr>
            <w:tcW w:w="0" w:type="auto"/>
            <w:tcBorders>
              <w:top w:val="nil"/>
              <w:left w:val="nil"/>
              <w:bottom w:val="nil"/>
              <w:right w:val="nil"/>
            </w:tcBorders>
            <w:vAlign w:val="center"/>
            <w:hideMark/>
          </w:tcPr>
          <w:p w14:paraId="7DFDAAA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17.1%</w:t>
            </w:r>
          </w:p>
        </w:tc>
        <w:tc>
          <w:tcPr>
            <w:tcW w:w="0" w:type="auto"/>
            <w:tcBorders>
              <w:top w:val="nil"/>
              <w:left w:val="nil"/>
              <w:bottom w:val="nil"/>
              <w:right w:val="nil"/>
            </w:tcBorders>
            <w:vAlign w:val="center"/>
            <w:hideMark/>
          </w:tcPr>
          <w:p w14:paraId="0787E8C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18.7%</w:t>
            </w:r>
          </w:p>
        </w:tc>
        <w:tc>
          <w:tcPr>
            <w:tcW w:w="0" w:type="auto"/>
            <w:tcBorders>
              <w:top w:val="nil"/>
              <w:left w:val="nil"/>
              <w:bottom w:val="nil"/>
              <w:right w:val="nil"/>
            </w:tcBorders>
            <w:vAlign w:val="center"/>
            <w:hideMark/>
          </w:tcPr>
          <w:p w14:paraId="03F9530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20.2%</w:t>
            </w:r>
          </w:p>
        </w:tc>
        <w:tc>
          <w:tcPr>
            <w:tcW w:w="0" w:type="auto"/>
            <w:tcBorders>
              <w:top w:val="nil"/>
              <w:left w:val="nil"/>
              <w:bottom w:val="nil"/>
              <w:right w:val="nil"/>
            </w:tcBorders>
            <w:vAlign w:val="center"/>
            <w:hideMark/>
          </w:tcPr>
          <w:p w14:paraId="0EF3641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22.4%</w:t>
            </w:r>
          </w:p>
        </w:tc>
      </w:tr>
      <w:tr w:rsidR="00424987" w:rsidRPr="00424987" w14:paraId="091D7339" w14:textId="77777777" w:rsidTr="00424987">
        <w:trPr>
          <w:trHeight w:val="276"/>
        </w:trPr>
        <w:tc>
          <w:tcPr>
            <w:tcW w:w="0" w:type="auto"/>
            <w:tcBorders>
              <w:top w:val="nil"/>
              <w:left w:val="nil"/>
              <w:bottom w:val="nil"/>
              <w:right w:val="nil"/>
            </w:tcBorders>
            <w:vAlign w:val="center"/>
            <w:hideMark/>
          </w:tcPr>
          <w:p w14:paraId="4DE5FC51" w14:textId="77777777" w:rsidR="00424987" w:rsidRPr="00424987" w:rsidRDefault="00424987" w:rsidP="00424987">
            <w:pPr>
              <w:spacing w:after="0" w:line="360" w:lineRule="auto"/>
              <w:jc w:val="right"/>
              <w:rPr>
                <w:rFonts w:ascii="Arial" w:eastAsia="Times New Roman" w:hAnsi="Arial" w:cs="Arial"/>
                <w:color w:val="008000"/>
                <w:sz w:val="24"/>
                <w:szCs w:val="24"/>
              </w:rPr>
            </w:pPr>
          </w:p>
        </w:tc>
        <w:tc>
          <w:tcPr>
            <w:tcW w:w="0" w:type="auto"/>
            <w:tcBorders>
              <w:top w:val="nil"/>
              <w:left w:val="nil"/>
              <w:bottom w:val="nil"/>
              <w:right w:val="nil"/>
            </w:tcBorders>
            <w:vAlign w:val="center"/>
            <w:hideMark/>
          </w:tcPr>
          <w:p w14:paraId="0B0D891E"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215207A3"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62FBB37B"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6D216985"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35DA0C7A"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4D8F7C07" w14:textId="77777777" w:rsidTr="00424987">
        <w:trPr>
          <w:trHeight w:val="276"/>
        </w:trPr>
        <w:tc>
          <w:tcPr>
            <w:tcW w:w="0" w:type="auto"/>
            <w:gridSpan w:val="6"/>
            <w:tcBorders>
              <w:top w:val="nil"/>
              <w:left w:val="nil"/>
              <w:bottom w:val="nil"/>
              <w:right w:val="nil"/>
            </w:tcBorders>
            <w:shd w:val="clear" w:color="000000" w:fill="17365D"/>
            <w:vAlign w:val="center"/>
            <w:hideMark/>
          </w:tcPr>
          <w:p w14:paraId="49DA0F73"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LIQUIDITY</w:t>
            </w:r>
          </w:p>
        </w:tc>
      </w:tr>
      <w:tr w:rsidR="00424987" w:rsidRPr="00424987" w14:paraId="5C95A949" w14:textId="77777777" w:rsidTr="00424987">
        <w:trPr>
          <w:trHeight w:val="276"/>
        </w:trPr>
        <w:tc>
          <w:tcPr>
            <w:tcW w:w="0" w:type="auto"/>
            <w:tcBorders>
              <w:top w:val="nil"/>
              <w:left w:val="nil"/>
              <w:bottom w:val="nil"/>
              <w:right w:val="nil"/>
            </w:tcBorders>
            <w:vAlign w:val="center"/>
            <w:hideMark/>
          </w:tcPr>
          <w:p w14:paraId="1495FCCD"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Current ratio</w:t>
            </w:r>
          </w:p>
        </w:tc>
        <w:tc>
          <w:tcPr>
            <w:tcW w:w="0" w:type="auto"/>
            <w:tcBorders>
              <w:top w:val="nil"/>
              <w:left w:val="nil"/>
              <w:bottom w:val="nil"/>
              <w:right w:val="nil"/>
            </w:tcBorders>
            <w:vAlign w:val="center"/>
            <w:hideMark/>
          </w:tcPr>
          <w:p w14:paraId="590FF94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0.95x</w:t>
            </w:r>
          </w:p>
        </w:tc>
        <w:tc>
          <w:tcPr>
            <w:tcW w:w="0" w:type="auto"/>
            <w:tcBorders>
              <w:top w:val="nil"/>
              <w:left w:val="nil"/>
              <w:bottom w:val="nil"/>
              <w:right w:val="nil"/>
            </w:tcBorders>
            <w:vAlign w:val="center"/>
            <w:hideMark/>
          </w:tcPr>
          <w:p w14:paraId="54DBB49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0.85x</w:t>
            </w:r>
          </w:p>
        </w:tc>
        <w:tc>
          <w:tcPr>
            <w:tcW w:w="0" w:type="auto"/>
            <w:tcBorders>
              <w:top w:val="nil"/>
              <w:left w:val="nil"/>
              <w:bottom w:val="nil"/>
              <w:right w:val="nil"/>
            </w:tcBorders>
            <w:vAlign w:val="center"/>
            <w:hideMark/>
          </w:tcPr>
          <w:p w14:paraId="0BAD13B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0.70x</w:t>
            </w:r>
          </w:p>
        </w:tc>
        <w:tc>
          <w:tcPr>
            <w:tcW w:w="0" w:type="auto"/>
            <w:tcBorders>
              <w:top w:val="nil"/>
              <w:left w:val="nil"/>
              <w:bottom w:val="nil"/>
              <w:right w:val="nil"/>
            </w:tcBorders>
            <w:vAlign w:val="center"/>
            <w:hideMark/>
          </w:tcPr>
          <w:p w14:paraId="09D98F0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0.70x</w:t>
            </w:r>
          </w:p>
        </w:tc>
        <w:tc>
          <w:tcPr>
            <w:tcW w:w="0" w:type="auto"/>
            <w:tcBorders>
              <w:top w:val="nil"/>
              <w:left w:val="nil"/>
              <w:bottom w:val="nil"/>
              <w:right w:val="nil"/>
            </w:tcBorders>
            <w:vAlign w:val="center"/>
            <w:hideMark/>
          </w:tcPr>
          <w:p w14:paraId="7A4FA5B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0.66x</w:t>
            </w:r>
          </w:p>
        </w:tc>
      </w:tr>
      <w:tr w:rsidR="00424987" w:rsidRPr="00424987" w14:paraId="4EA41BE9" w14:textId="77777777" w:rsidTr="00424987">
        <w:trPr>
          <w:trHeight w:val="276"/>
        </w:trPr>
        <w:tc>
          <w:tcPr>
            <w:tcW w:w="0" w:type="auto"/>
            <w:tcBorders>
              <w:top w:val="nil"/>
              <w:left w:val="nil"/>
              <w:bottom w:val="nil"/>
              <w:right w:val="nil"/>
            </w:tcBorders>
            <w:vAlign w:val="center"/>
            <w:hideMark/>
          </w:tcPr>
          <w:p w14:paraId="748C31C1"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Quick ratio</w:t>
            </w:r>
          </w:p>
        </w:tc>
        <w:tc>
          <w:tcPr>
            <w:tcW w:w="0" w:type="auto"/>
            <w:tcBorders>
              <w:top w:val="nil"/>
              <w:left w:val="nil"/>
              <w:bottom w:val="nil"/>
              <w:right w:val="nil"/>
            </w:tcBorders>
            <w:vAlign w:val="center"/>
            <w:hideMark/>
          </w:tcPr>
          <w:p w14:paraId="415DA9F5"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0.85x</w:t>
            </w:r>
          </w:p>
        </w:tc>
        <w:tc>
          <w:tcPr>
            <w:tcW w:w="0" w:type="auto"/>
            <w:tcBorders>
              <w:top w:val="nil"/>
              <w:left w:val="nil"/>
              <w:bottom w:val="nil"/>
              <w:right w:val="nil"/>
            </w:tcBorders>
            <w:vAlign w:val="center"/>
            <w:hideMark/>
          </w:tcPr>
          <w:p w14:paraId="414DE4C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0.77x</w:t>
            </w:r>
          </w:p>
        </w:tc>
        <w:tc>
          <w:tcPr>
            <w:tcW w:w="0" w:type="auto"/>
            <w:tcBorders>
              <w:top w:val="nil"/>
              <w:left w:val="nil"/>
              <w:bottom w:val="nil"/>
              <w:right w:val="nil"/>
            </w:tcBorders>
            <w:vAlign w:val="center"/>
            <w:hideMark/>
          </w:tcPr>
          <w:p w14:paraId="644DCEA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0.63x</w:t>
            </w:r>
          </w:p>
        </w:tc>
        <w:tc>
          <w:tcPr>
            <w:tcW w:w="0" w:type="auto"/>
            <w:tcBorders>
              <w:top w:val="nil"/>
              <w:left w:val="nil"/>
              <w:bottom w:val="nil"/>
              <w:right w:val="nil"/>
            </w:tcBorders>
            <w:vAlign w:val="center"/>
            <w:hideMark/>
          </w:tcPr>
          <w:p w14:paraId="17FCBC6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0.63x</w:t>
            </w:r>
          </w:p>
        </w:tc>
        <w:tc>
          <w:tcPr>
            <w:tcW w:w="0" w:type="auto"/>
            <w:tcBorders>
              <w:top w:val="nil"/>
              <w:left w:val="nil"/>
              <w:bottom w:val="nil"/>
              <w:right w:val="nil"/>
            </w:tcBorders>
            <w:vAlign w:val="center"/>
            <w:hideMark/>
          </w:tcPr>
          <w:p w14:paraId="55D45A9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0.59x</w:t>
            </w:r>
          </w:p>
        </w:tc>
      </w:tr>
      <w:tr w:rsidR="00424987" w:rsidRPr="00424987" w14:paraId="12C1E147" w14:textId="77777777" w:rsidTr="00424987">
        <w:trPr>
          <w:trHeight w:val="276"/>
        </w:trPr>
        <w:tc>
          <w:tcPr>
            <w:tcW w:w="0" w:type="auto"/>
            <w:tcBorders>
              <w:top w:val="nil"/>
              <w:left w:val="nil"/>
              <w:bottom w:val="nil"/>
              <w:right w:val="nil"/>
            </w:tcBorders>
            <w:vAlign w:val="center"/>
            <w:hideMark/>
          </w:tcPr>
          <w:p w14:paraId="08CF974F"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Cash ratio</w:t>
            </w:r>
          </w:p>
        </w:tc>
        <w:tc>
          <w:tcPr>
            <w:tcW w:w="0" w:type="auto"/>
            <w:tcBorders>
              <w:top w:val="nil"/>
              <w:left w:val="nil"/>
              <w:bottom w:val="nil"/>
              <w:right w:val="nil"/>
            </w:tcBorders>
            <w:vAlign w:val="center"/>
            <w:hideMark/>
          </w:tcPr>
          <w:p w14:paraId="1EEC672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0.50x</w:t>
            </w:r>
          </w:p>
        </w:tc>
        <w:tc>
          <w:tcPr>
            <w:tcW w:w="0" w:type="auto"/>
            <w:tcBorders>
              <w:top w:val="nil"/>
              <w:left w:val="nil"/>
              <w:bottom w:val="nil"/>
              <w:right w:val="nil"/>
            </w:tcBorders>
            <w:vAlign w:val="center"/>
            <w:hideMark/>
          </w:tcPr>
          <w:p w14:paraId="6E3CFDA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0.38x</w:t>
            </w:r>
          </w:p>
        </w:tc>
        <w:tc>
          <w:tcPr>
            <w:tcW w:w="0" w:type="auto"/>
            <w:tcBorders>
              <w:top w:val="nil"/>
              <w:left w:val="nil"/>
              <w:bottom w:val="nil"/>
              <w:right w:val="nil"/>
            </w:tcBorders>
            <w:vAlign w:val="center"/>
            <w:hideMark/>
          </w:tcPr>
          <w:p w14:paraId="34DBF75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0.24x</w:t>
            </w:r>
          </w:p>
        </w:tc>
        <w:tc>
          <w:tcPr>
            <w:tcW w:w="0" w:type="auto"/>
            <w:tcBorders>
              <w:top w:val="nil"/>
              <w:left w:val="nil"/>
              <w:bottom w:val="nil"/>
              <w:right w:val="nil"/>
            </w:tcBorders>
            <w:vAlign w:val="center"/>
            <w:hideMark/>
          </w:tcPr>
          <w:p w14:paraId="75AD82D3"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0.29x</w:t>
            </w:r>
          </w:p>
        </w:tc>
        <w:tc>
          <w:tcPr>
            <w:tcW w:w="0" w:type="auto"/>
            <w:tcBorders>
              <w:top w:val="nil"/>
              <w:left w:val="nil"/>
              <w:bottom w:val="nil"/>
              <w:right w:val="nil"/>
            </w:tcBorders>
            <w:vAlign w:val="center"/>
            <w:hideMark/>
          </w:tcPr>
          <w:p w14:paraId="1C80C2E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0.22x</w:t>
            </w:r>
          </w:p>
        </w:tc>
      </w:tr>
      <w:tr w:rsidR="00424987" w:rsidRPr="00424987" w14:paraId="2EFB453D" w14:textId="77777777" w:rsidTr="00424987">
        <w:trPr>
          <w:trHeight w:val="276"/>
        </w:trPr>
        <w:tc>
          <w:tcPr>
            <w:tcW w:w="0" w:type="auto"/>
            <w:tcBorders>
              <w:top w:val="nil"/>
              <w:left w:val="nil"/>
              <w:bottom w:val="nil"/>
              <w:right w:val="nil"/>
            </w:tcBorders>
            <w:vAlign w:val="center"/>
            <w:hideMark/>
          </w:tcPr>
          <w:p w14:paraId="32EC0D9A"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Operating cash-flow ratio</w:t>
            </w:r>
          </w:p>
        </w:tc>
        <w:tc>
          <w:tcPr>
            <w:tcW w:w="0" w:type="auto"/>
            <w:tcBorders>
              <w:top w:val="nil"/>
              <w:left w:val="nil"/>
              <w:bottom w:val="nil"/>
              <w:right w:val="nil"/>
            </w:tcBorders>
            <w:vAlign w:val="center"/>
            <w:hideMark/>
          </w:tcPr>
          <w:p w14:paraId="24D2984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0.04x</w:t>
            </w:r>
          </w:p>
        </w:tc>
        <w:tc>
          <w:tcPr>
            <w:tcW w:w="0" w:type="auto"/>
            <w:tcBorders>
              <w:top w:val="nil"/>
              <w:left w:val="nil"/>
              <w:bottom w:val="nil"/>
              <w:right w:val="nil"/>
            </w:tcBorders>
            <w:vAlign w:val="center"/>
            <w:hideMark/>
          </w:tcPr>
          <w:p w14:paraId="3E2797C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0.50x</w:t>
            </w:r>
          </w:p>
        </w:tc>
        <w:tc>
          <w:tcPr>
            <w:tcW w:w="0" w:type="auto"/>
            <w:tcBorders>
              <w:top w:val="nil"/>
              <w:left w:val="nil"/>
              <w:bottom w:val="nil"/>
              <w:right w:val="nil"/>
            </w:tcBorders>
            <w:vAlign w:val="center"/>
            <w:hideMark/>
          </w:tcPr>
          <w:p w14:paraId="0FF6A6E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0.52x</w:t>
            </w:r>
          </w:p>
        </w:tc>
        <w:tc>
          <w:tcPr>
            <w:tcW w:w="0" w:type="auto"/>
            <w:tcBorders>
              <w:top w:val="nil"/>
              <w:left w:val="nil"/>
              <w:bottom w:val="nil"/>
              <w:right w:val="nil"/>
            </w:tcBorders>
            <w:vAlign w:val="center"/>
            <w:hideMark/>
          </w:tcPr>
          <w:p w14:paraId="046DBE3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0.43x</w:t>
            </w:r>
          </w:p>
        </w:tc>
        <w:tc>
          <w:tcPr>
            <w:tcW w:w="0" w:type="auto"/>
            <w:tcBorders>
              <w:top w:val="nil"/>
              <w:left w:val="nil"/>
              <w:bottom w:val="nil"/>
              <w:right w:val="nil"/>
            </w:tcBorders>
            <w:vAlign w:val="center"/>
            <w:hideMark/>
          </w:tcPr>
          <w:p w14:paraId="0126223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0.47x</w:t>
            </w:r>
          </w:p>
        </w:tc>
      </w:tr>
      <w:tr w:rsidR="00424987" w:rsidRPr="00424987" w14:paraId="4EE2F235" w14:textId="77777777" w:rsidTr="00424987">
        <w:trPr>
          <w:trHeight w:val="276"/>
        </w:trPr>
        <w:tc>
          <w:tcPr>
            <w:tcW w:w="0" w:type="auto"/>
            <w:tcBorders>
              <w:top w:val="nil"/>
              <w:left w:val="nil"/>
              <w:bottom w:val="nil"/>
              <w:right w:val="nil"/>
            </w:tcBorders>
            <w:vAlign w:val="center"/>
            <w:hideMark/>
          </w:tcPr>
          <w:p w14:paraId="789C03E8"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Working capital ($m)</w:t>
            </w:r>
          </w:p>
        </w:tc>
        <w:tc>
          <w:tcPr>
            <w:tcW w:w="0" w:type="auto"/>
            <w:tcBorders>
              <w:top w:val="nil"/>
              <w:left w:val="nil"/>
              <w:bottom w:val="nil"/>
              <w:right w:val="nil"/>
            </w:tcBorders>
            <w:vAlign w:val="center"/>
            <w:hideMark/>
          </w:tcPr>
          <w:p w14:paraId="144EE35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(148)</w:t>
            </w:r>
          </w:p>
        </w:tc>
        <w:tc>
          <w:tcPr>
            <w:tcW w:w="0" w:type="auto"/>
            <w:tcBorders>
              <w:top w:val="nil"/>
              <w:left w:val="nil"/>
              <w:bottom w:val="nil"/>
              <w:right w:val="nil"/>
            </w:tcBorders>
            <w:vAlign w:val="center"/>
            <w:hideMark/>
          </w:tcPr>
          <w:p w14:paraId="3173583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(502)</w:t>
            </w:r>
          </w:p>
        </w:tc>
        <w:tc>
          <w:tcPr>
            <w:tcW w:w="0" w:type="auto"/>
            <w:tcBorders>
              <w:top w:val="nil"/>
              <w:left w:val="nil"/>
              <w:bottom w:val="nil"/>
              <w:right w:val="nil"/>
            </w:tcBorders>
            <w:vAlign w:val="center"/>
            <w:hideMark/>
          </w:tcPr>
          <w:p w14:paraId="310D16B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(1,108)</w:t>
            </w:r>
          </w:p>
        </w:tc>
        <w:tc>
          <w:tcPr>
            <w:tcW w:w="0" w:type="auto"/>
            <w:tcBorders>
              <w:top w:val="nil"/>
              <w:left w:val="nil"/>
              <w:bottom w:val="nil"/>
              <w:right w:val="nil"/>
            </w:tcBorders>
            <w:vAlign w:val="center"/>
            <w:hideMark/>
          </w:tcPr>
          <w:p w14:paraId="5E2E572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(1,428)</w:t>
            </w:r>
          </w:p>
        </w:tc>
        <w:tc>
          <w:tcPr>
            <w:tcW w:w="0" w:type="auto"/>
            <w:tcBorders>
              <w:top w:val="nil"/>
              <w:left w:val="nil"/>
              <w:bottom w:val="nil"/>
              <w:right w:val="nil"/>
            </w:tcBorders>
            <w:vAlign w:val="center"/>
            <w:hideMark/>
          </w:tcPr>
          <w:p w14:paraId="32D2751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(1,512)</w:t>
            </w:r>
          </w:p>
        </w:tc>
      </w:tr>
      <w:tr w:rsidR="00424987" w:rsidRPr="00424987" w14:paraId="49BE0EE4" w14:textId="77777777" w:rsidTr="00424987">
        <w:trPr>
          <w:trHeight w:val="276"/>
        </w:trPr>
        <w:tc>
          <w:tcPr>
            <w:tcW w:w="0" w:type="auto"/>
            <w:tcBorders>
              <w:top w:val="nil"/>
              <w:left w:val="nil"/>
              <w:bottom w:val="nil"/>
              <w:right w:val="nil"/>
            </w:tcBorders>
            <w:vAlign w:val="center"/>
            <w:hideMark/>
          </w:tcPr>
          <w:p w14:paraId="7372C8F2" w14:textId="77777777" w:rsidR="00424987" w:rsidRPr="00424987" w:rsidRDefault="00424987" w:rsidP="00424987">
            <w:pPr>
              <w:spacing w:after="0" w:line="360" w:lineRule="auto"/>
              <w:jc w:val="right"/>
              <w:rPr>
                <w:rFonts w:ascii="Arial" w:eastAsia="Times New Roman" w:hAnsi="Arial" w:cs="Arial"/>
                <w:color w:val="008000"/>
                <w:sz w:val="24"/>
                <w:szCs w:val="24"/>
              </w:rPr>
            </w:pPr>
          </w:p>
        </w:tc>
        <w:tc>
          <w:tcPr>
            <w:tcW w:w="0" w:type="auto"/>
            <w:tcBorders>
              <w:top w:val="nil"/>
              <w:left w:val="nil"/>
              <w:bottom w:val="nil"/>
              <w:right w:val="nil"/>
            </w:tcBorders>
            <w:vAlign w:val="center"/>
            <w:hideMark/>
          </w:tcPr>
          <w:p w14:paraId="1593E91F"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666311D1"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01AF6AAD"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419C29F7"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1F02CEA3"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21028588" w14:textId="77777777" w:rsidTr="00424987">
        <w:trPr>
          <w:trHeight w:val="276"/>
        </w:trPr>
        <w:tc>
          <w:tcPr>
            <w:tcW w:w="0" w:type="auto"/>
            <w:gridSpan w:val="6"/>
            <w:tcBorders>
              <w:top w:val="nil"/>
              <w:left w:val="nil"/>
              <w:bottom w:val="nil"/>
              <w:right w:val="nil"/>
            </w:tcBorders>
            <w:shd w:val="clear" w:color="000000" w:fill="17365D"/>
            <w:vAlign w:val="center"/>
            <w:hideMark/>
          </w:tcPr>
          <w:p w14:paraId="1B4E2C34"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EFFICIENCY</w:t>
            </w:r>
          </w:p>
        </w:tc>
      </w:tr>
      <w:tr w:rsidR="00424987" w:rsidRPr="00424987" w14:paraId="4D488D66" w14:textId="77777777" w:rsidTr="00424987">
        <w:trPr>
          <w:trHeight w:val="276"/>
        </w:trPr>
        <w:tc>
          <w:tcPr>
            <w:tcW w:w="0" w:type="auto"/>
            <w:tcBorders>
              <w:top w:val="nil"/>
              <w:left w:val="nil"/>
              <w:bottom w:val="nil"/>
              <w:right w:val="nil"/>
            </w:tcBorders>
            <w:vAlign w:val="center"/>
            <w:hideMark/>
          </w:tcPr>
          <w:p w14:paraId="78C9868C"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Asset turnover</w:t>
            </w:r>
          </w:p>
        </w:tc>
        <w:tc>
          <w:tcPr>
            <w:tcW w:w="0" w:type="auto"/>
            <w:tcBorders>
              <w:top w:val="nil"/>
              <w:left w:val="nil"/>
              <w:bottom w:val="nil"/>
              <w:right w:val="nil"/>
            </w:tcBorders>
            <w:vAlign w:val="center"/>
            <w:hideMark/>
          </w:tcPr>
          <w:p w14:paraId="663BA863"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0.36x</w:t>
            </w:r>
          </w:p>
        </w:tc>
        <w:tc>
          <w:tcPr>
            <w:tcW w:w="0" w:type="auto"/>
            <w:tcBorders>
              <w:top w:val="nil"/>
              <w:left w:val="nil"/>
              <w:bottom w:val="nil"/>
              <w:right w:val="nil"/>
            </w:tcBorders>
            <w:vAlign w:val="center"/>
            <w:hideMark/>
          </w:tcPr>
          <w:p w14:paraId="19B7BDC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0.57x</w:t>
            </w:r>
          </w:p>
        </w:tc>
        <w:tc>
          <w:tcPr>
            <w:tcW w:w="0" w:type="auto"/>
            <w:tcBorders>
              <w:top w:val="nil"/>
              <w:left w:val="nil"/>
              <w:bottom w:val="nil"/>
              <w:right w:val="nil"/>
            </w:tcBorders>
            <w:vAlign w:val="center"/>
            <w:hideMark/>
          </w:tcPr>
          <w:p w14:paraId="38F9212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0.66x</w:t>
            </w:r>
          </w:p>
        </w:tc>
        <w:tc>
          <w:tcPr>
            <w:tcW w:w="0" w:type="auto"/>
            <w:tcBorders>
              <w:top w:val="nil"/>
              <w:left w:val="nil"/>
              <w:bottom w:val="nil"/>
              <w:right w:val="nil"/>
            </w:tcBorders>
            <w:vAlign w:val="center"/>
            <w:hideMark/>
          </w:tcPr>
          <w:p w14:paraId="487A0AD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0.70x</w:t>
            </w:r>
          </w:p>
        </w:tc>
        <w:tc>
          <w:tcPr>
            <w:tcW w:w="0" w:type="auto"/>
            <w:tcBorders>
              <w:top w:val="nil"/>
              <w:left w:val="nil"/>
              <w:bottom w:val="nil"/>
              <w:right w:val="nil"/>
            </w:tcBorders>
            <w:vAlign w:val="center"/>
            <w:hideMark/>
          </w:tcPr>
          <w:p w14:paraId="0CFFD2D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0.72x</w:t>
            </w:r>
          </w:p>
        </w:tc>
      </w:tr>
      <w:tr w:rsidR="00424987" w:rsidRPr="00424987" w14:paraId="4D034B06" w14:textId="77777777" w:rsidTr="00424987">
        <w:trPr>
          <w:trHeight w:val="276"/>
        </w:trPr>
        <w:tc>
          <w:tcPr>
            <w:tcW w:w="0" w:type="auto"/>
            <w:tcBorders>
              <w:top w:val="nil"/>
              <w:left w:val="nil"/>
              <w:bottom w:val="nil"/>
              <w:right w:val="nil"/>
            </w:tcBorders>
            <w:vAlign w:val="center"/>
            <w:hideMark/>
          </w:tcPr>
          <w:p w14:paraId="73654F3A"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Receivables turnover</w:t>
            </w:r>
          </w:p>
        </w:tc>
        <w:tc>
          <w:tcPr>
            <w:tcW w:w="0" w:type="auto"/>
            <w:tcBorders>
              <w:top w:val="nil"/>
              <w:left w:val="nil"/>
              <w:bottom w:val="nil"/>
              <w:right w:val="nil"/>
            </w:tcBorders>
            <w:vAlign w:val="center"/>
            <w:hideMark/>
          </w:tcPr>
          <w:p w14:paraId="109D67B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6.29x</w:t>
            </w:r>
          </w:p>
        </w:tc>
        <w:tc>
          <w:tcPr>
            <w:tcW w:w="0" w:type="auto"/>
            <w:tcBorders>
              <w:top w:val="nil"/>
              <w:left w:val="nil"/>
              <w:bottom w:val="nil"/>
              <w:right w:val="nil"/>
            </w:tcBorders>
            <w:vAlign w:val="center"/>
            <w:hideMark/>
          </w:tcPr>
          <w:p w14:paraId="01A0DD3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7.33x</w:t>
            </w:r>
          </w:p>
        </w:tc>
        <w:tc>
          <w:tcPr>
            <w:tcW w:w="0" w:type="auto"/>
            <w:tcBorders>
              <w:top w:val="nil"/>
              <w:left w:val="nil"/>
              <w:bottom w:val="nil"/>
              <w:right w:val="nil"/>
            </w:tcBorders>
            <w:vAlign w:val="center"/>
            <w:hideMark/>
          </w:tcPr>
          <w:p w14:paraId="1353DCA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7.27x</w:t>
            </w:r>
          </w:p>
        </w:tc>
        <w:tc>
          <w:tcPr>
            <w:tcW w:w="0" w:type="auto"/>
            <w:tcBorders>
              <w:top w:val="nil"/>
              <w:left w:val="nil"/>
              <w:bottom w:val="nil"/>
              <w:right w:val="nil"/>
            </w:tcBorders>
            <w:vAlign w:val="center"/>
            <w:hideMark/>
          </w:tcPr>
          <w:p w14:paraId="1345B43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7.28x</w:t>
            </w:r>
          </w:p>
        </w:tc>
        <w:tc>
          <w:tcPr>
            <w:tcW w:w="0" w:type="auto"/>
            <w:tcBorders>
              <w:top w:val="nil"/>
              <w:left w:val="nil"/>
              <w:bottom w:val="nil"/>
              <w:right w:val="nil"/>
            </w:tcBorders>
            <w:vAlign w:val="center"/>
            <w:hideMark/>
          </w:tcPr>
          <w:p w14:paraId="741E6485"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7.36x</w:t>
            </w:r>
          </w:p>
        </w:tc>
      </w:tr>
      <w:tr w:rsidR="00424987" w:rsidRPr="00424987" w14:paraId="7C4DF851" w14:textId="77777777" w:rsidTr="00424987">
        <w:trPr>
          <w:trHeight w:val="276"/>
        </w:trPr>
        <w:tc>
          <w:tcPr>
            <w:tcW w:w="0" w:type="auto"/>
            <w:tcBorders>
              <w:top w:val="nil"/>
              <w:left w:val="nil"/>
              <w:bottom w:val="nil"/>
              <w:right w:val="nil"/>
            </w:tcBorders>
            <w:vAlign w:val="center"/>
            <w:hideMark/>
          </w:tcPr>
          <w:p w14:paraId="1261FB6D"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Days sales outstanding</w:t>
            </w:r>
          </w:p>
        </w:tc>
        <w:tc>
          <w:tcPr>
            <w:tcW w:w="0" w:type="auto"/>
            <w:tcBorders>
              <w:top w:val="nil"/>
              <w:left w:val="nil"/>
              <w:bottom w:val="nil"/>
              <w:right w:val="nil"/>
            </w:tcBorders>
            <w:vAlign w:val="center"/>
            <w:hideMark/>
          </w:tcPr>
          <w:p w14:paraId="53F73AB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58.0</w:t>
            </w:r>
          </w:p>
        </w:tc>
        <w:tc>
          <w:tcPr>
            <w:tcW w:w="0" w:type="auto"/>
            <w:tcBorders>
              <w:top w:val="nil"/>
              <w:left w:val="nil"/>
              <w:bottom w:val="nil"/>
              <w:right w:val="nil"/>
            </w:tcBorders>
            <w:vAlign w:val="center"/>
            <w:hideMark/>
          </w:tcPr>
          <w:p w14:paraId="4E939E0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49.8</w:t>
            </w:r>
          </w:p>
        </w:tc>
        <w:tc>
          <w:tcPr>
            <w:tcW w:w="0" w:type="auto"/>
            <w:tcBorders>
              <w:top w:val="nil"/>
              <w:left w:val="nil"/>
              <w:bottom w:val="nil"/>
              <w:right w:val="nil"/>
            </w:tcBorders>
            <w:vAlign w:val="center"/>
            <w:hideMark/>
          </w:tcPr>
          <w:p w14:paraId="102314F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50.2</w:t>
            </w:r>
          </w:p>
        </w:tc>
        <w:tc>
          <w:tcPr>
            <w:tcW w:w="0" w:type="auto"/>
            <w:tcBorders>
              <w:top w:val="nil"/>
              <w:left w:val="nil"/>
              <w:bottom w:val="nil"/>
              <w:right w:val="nil"/>
            </w:tcBorders>
            <w:vAlign w:val="center"/>
            <w:hideMark/>
          </w:tcPr>
          <w:p w14:paraId="2CE8231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50.1</w:t>
            </w:r>
          </w:p>
        </w:tc>
        <w:tc>
          <w:tcPr>
            <w:tcW w:w="0" w:type="auto"/>
            <w:tcBorders>
              <w:top w:val="nil"/>
              <w:left w:val="nil"/>
              <w:bottom w:val="nil"/>
              <w:right w:val="nil"/>
            </w:tcBorders>
            <w:vAlign w:val="center"/>
            <w:hideMark/>
          </w:tcPr>
          <w:p w14:paraId="60962D1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49.6</w:t>
            </w:r>
          </w:p>
        </w:tc>
      </w:tr>
      <w:tr w:rsidR="00424987" w:rsidRPr="00424987" w14:paraId="4B9DCC5D" w14:textId="77777777" w:rsidTr="00424987">
        <w:trPr>
          <w:trHeight w:val="276"/>
        </w:trPr>
        <w:tc>
          <w:tcPr>
            <w:tcW w:w="0" w:type="auto"/>
            <w:tcBorders>
              <w:top w:val="nil"/>
              <w:left w:val="nil"/>
              <w:bottom w:val="nil"/>
              <w:right w:val="nil"/>
            </w:tcBorders>
            <w:vAlign w:val="center"/>
            <w:hideMark/>
          </w:tcPr>
          <w:p w14:paraId="563C3782"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Fixed-asset turnover</w:t>
            </w:r>
          </w:p>
        </w:tc>
        <w:tc>
          <w:tcPr>
            <w:tcW w:w="0" w:type="auto"/>
            <w:tcBorders>
              <w:top w:val="nil"/>
              <w:left w:val="nil"/>
              <w:bottom w:val="nil"/>
              <w:right w:val="nil"/>
            </w:tcBorders>
            <w:vAlign w:val="center"/>
            <w:hideMark/>
          </w:tcPr>
          <w:p w14:paraId="5F2A4845"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17.78x</w:t>
            </w:r>
          </w:p>
        </w:tc>
        <w:tc>
          <w:tcPr>
            <w:tcW w:w="0" w:type="auto"/>
            <w:tcBorders>
              <w:top w:val="nil"/>
              <w:left w:val="nil"/>
              <w:bottom w:val="nil"/>
              <w:right w:val="nil"/>
            </w:tcBorders>
            <w:vAlign w:val="center"/>
            <w:hideMark/>
          </w:tcPr>
          <w:p w14:paraId="74237B4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29.99x</w:t>
            </w:r>
          </w:p>
        </w:tc>
        <w:tc>
          <w:tcPr>
            <w:tcW w:w="0" w:type="auto"/>
            <w:tcBorders>
              <w:top w:val="nil"/>
              <w:left w:val="nil"/>
              <w:bottom w:val="nil"/>
              <w:right w:val="nil"/>
            </w:tcBorders>
            <w:vAlign w:val="center"/>
            <w:hideMark/>
          </w:tcPr>
          <w:p w14:paraId="103DF29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30.92x</w:t>
            </w:r>
          </w:p>
        </w:tc>
        <w:tc>
          <w:tcPr>
            <w:tcW w:w="0" w:type="auto"/>
            <w:tcBorders>
              <w:top w:val="nil"/>
              <w:left w:val="nil"/>
              <w:bottom w:val="nil"/>
              <w:right w:val="nil"/>
            </w:tcBorders>
            <w:vAlign w:val="center"/>
            <w:hideMark/>
          </w:tcPr>
          <w:p w14:paraId="33907EE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28.18x</w:t>
            </w:r>
          </w:p>
        </w:tc>
        <w:tc>
          <w:tcPr>
            <w:tcW w:w="0" w:type="auto"/>
            <w:tcBorders>
              <w:top w:val="nil"/>
              <w:left w:val="nil"/>
              <w:bottom w:val="nil"/>
              <w:right w:val="nil"/>
            </w:tcBorders>
            <w:vAlign w:val="center"/>
            <w:hideMark/>
          </w:tcPr>
          <w:p w14:paraId="4961E51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21.99x</w:t>
            </w:r>
          </w:p>
        </w:tc>
      </w:tr>
      <w:tr w:rsidR="00424987" w:rsidRPr="00424987" w14:paraId="07C6DEA1" w14:textId="77777777" w:rsidTr="00424987">
        <w:trPr>
          <w:trHeight w:val="276"/>
        </w:trPr>
        <w:tc>
          <w:tcPr>
            <w:tcW w:w="0" w:type="auto"/>
            <w:tcBorders>
              <w:top w:val="nil"/>
              <w:left w:val="nil"/>
              <w:bottom w:val="nil"/>
              <w:right w:val="nil"/>
            </w:tcBorders>
            <w:vAlign w:val="center"/>
            <w:hideMark/>
          </w:tcPr>
          <w:p w14:paraId="7FB5EA0B" w14:textId="77777777" w:rsidR="00424987" w:rsidRPr="00424987" w:rsidRDefault="00424987" w:rsidP="00424987">
            <w:pPr>
              <w:spacing w:after="0" w:line="360" w:lineRule="auto"/>
              <w:jc w:val="right"/>
              <w:rPr>
                <w:rFonts w:ascii="Arial" w:eastAsia="Times New Roman" w:hAnsi="Arial" w:cs="Arial"/>
                <w:color w:val="008000"/>
                <w:sz w:val="24"/>
                <w:szCs w:val="24"/>
              </w:rPr>
            </w:pPr>
          </w:p>
        </w:tc>
        <w:tc>
          <w:tcPr>
            <w:tcW w:w="0" w:type="auto"/>
            <w:tcBorders>
              <w:top w:val="nil"/>
              <w:left w:val="nil"/>
              <w:bottom w:val="nil"/>
              <w:right w:val="nil"/>
            </w:tcBorders>
            <w:vAlign w:val="center"/>
            <w:hideMark/>
          </w:tcPr>
          <w:p w14:paraId="00E0952C"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42C75F1F"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7599138F"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0C903E74"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14B89207"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7C6D9BBB" w14:textId="77777777" w:rsidTr="00424987">
        <w:trPr>
          <w:trHeight w:val="276"/>
        </w:trPr>
        <w:tc>
          <w:tcPr>
            <w:tcW w:w="0" w:type="auto"/>
            <w:gridSpan w:val="6"/>
            <w:tcBorders>
              <w:top w:val="nil"/>
              <w:left w:val="nil"/>
              <w:bottom w:val="nil"/>
              <w:right w:val="nil"/>
            </w:tcBorders>
            <w:shd w:val="clear" w:color="000000" w:fill="17365D"/>
            <w:vAlign w:val="center"/>
            <w:hideMark/>
          </w:tcPr>
          <w:p w14:paraId="73576FEC"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GEARING / SOLVENCY</w:t>
            </w:r>
          </w:p>
        </w:tc>
      </w:tr>
      <w:tr w:rsidR="00424987" w:rsidRPr="00424987" w14:paraId="1E9BDAC4" w14:textId="77777777" w:rsidTr="00424987">
        <w:trPr>
          <w:trHeight w:val="276"/>
        </w:trPr>
        <w:tc>
          <w:tcPr>
            <w:tcW w:w="0" w:type="auto"/>
            <w:tcBorders>
              <w:top w:val="nil"/>
              <w:left w:val="nil"/>
              <w:bottom w:val="nil"/>
              <w:right w:val="nil"/>
            </w:tcBorders>
            <w:vAlign w:val="center"/>
            <w:hideMark/>
          </w:tcPr>
          <w:p w14:paraId="13FC3D76"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Total debt ($m)</w:t>
            </w:r>
          </w:p>
        </w:tc>
        <w:tc>
          <w:tcPr>
            <w:tcW w:w="0" w:type="auto"/>
            <w:tcBorders>
              <w:top w:val="nil"/>
              <w:left w:val="nil"/>
              <w:bottom w:val="nil"/>
              <w:right w:val="nil"/>
            </w:tcBorders>
            <w:vAlign w:val="center"/>
            <w:hideMark/>
          </w:tcPr>
          <w:p w14:paraId="4ECE9A5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8,766</w:t>
            </w:r>
          </w:p>
        </w:tc>
        <w:tc>
          <w:tcPr>
            <w:tcW w:w="0" w:type="auto"/>
            <w:tcBorders>
              <w:top w:val="nil"/>
              <w:left w:val="nil"/>
              <w:bottom w:val="nil"/>
              <w:right w:val="nil"/>
            </w:tcBorders>
            <w:vAlign w:val="center"/>
            <w:hideMark/>
          </w:tcPr>
          <w:p w14:paraId="670366C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8,747</w:t>
            </w:r>
          </w:p>
        </w:tc>
        <w:tc>
          <w:tcPr>
            <w:tcW w:w="0" w:type="auto"/>
            <w:tcBorders>
              <w:top w:val="nil"/>
              <w:left w:val="nil"/>
              <w:bottom w:val="nil"/>
              <w:right w:val="nil"/>
            </w:tcBorders>
            <w:vAlign w:val="center"/>
            <w:hideMark/>
          </w:tcPr>
          <w:p w14:paraId="088AA71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9,196</w:t>
            </w:r>
          </w:p>
        </w:tc>
        <w:tc>
          <w:tcPr>
            <w:tcW w:w="0" w:type="auto"/>
            <w:tcBorders>
              <w:top w:val="nil"/>
              <w:left w:val="nil"/>
              <w:bottom w:val="nil"/>
              <w:right w:val="nil"/>
            </w:tcBorders>
            <w:vAlign w:val="center"/>
            <w:hideMark/>
          </w:tcPr>
          <w:p w14:paraId="4A395CD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11,151</w:t>
            </w:r>
          </w:p>
        </w:tc>
        <w:tc>
          <w:tcPr>
            <w:tcW w:w="0" w:type="auto"/>
            <w:tcBorders>
              <w:top w:val="nil"/>
              <w:left w:val="nil"/>
              <w:bottom w:val="nil"/>
              <w:right w:val="nil"/>
            </w:tcBorders>
            <w:vAlign w:val="center"/>
            <w:hideMark/>
          </w:tcPr>
          <w:p w14:paraId="15ACBB5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12,363</w:t>
            </w:r>
          </w:p>
        </w:tc>
      </w:tr>
      <w:tr w:rsidR="00424987" w:rsidRPr="00424987" w14:paraId="7CC1E96C" w14:textId="77777777" w:rsidTr="00424987">
        <w:trPr>
          <w:trHeight w:val="276"/>
        </w:trPr>
        <w:tc>
          <w:tcPr>
            <w:tcW w:w="0" w:type="auto"/>
            <w:tcBorders>
              <w:top w:val="nil"/>
              <w:left w:val="nil"/>
              <w:bottom w:val="nil"/>
              <w:right w:val="nil"/>
            </w:tcBorders>
            <w:vAlign w:val="center"/>
            <w:hideMark/>
          </w:tcPr>
          <w:p w14:paraId="5C2442BB"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Debt / assets</w:t>
            </w:r>
          </w:p>
        </w:tc>
        <w:tc>
          <w:tcPr>
            <w:tcW w:w="0" w:type="auto"/>
            <w:tcBorders>
              <w:top w:val="nil"/>
              <w:left w:val="nil"/>
              <w:bottom w:val="nil"/>
              <w:right w:val="nil"/>
            </w:tcBorders>
            <w:vAlign w:val="center"/>
            <w:hideMark/>
          </w:tcPr>
          <w:p w14:paraId="7620DC3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56.8%</w:t>
            </w:r>
          </w:p>
        </w:tc>
        <w:tc>
          <w:tcPr>
            <w:tcW w:w="0" w:type="auto"/>
            <w:tcBorders>
              <w:top w:val="nil"/>
              <w:left w:val="nil"/>
              <w:bottom w:val="nil"/>
              <w:right w:val="nil"/>
            </w:tcBorders>
            <w:vAlign w:val="center"/>
            <w:hideMark/>
          </w:tcPr>
          <w:p w14:paraId="65AE2E55"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56.4%</w:t>
            </w:r>
          </w:p>
        </w:tc>
        <w:tc>
          <w:tcPr>
            <w:tcW w:w="0" w:type="auto"/>
            <w:tcBorders>
              <w:top w:val="nil"/>
              <w:left w:val="nil"/>
              <w:bottom w:val="nil"/>
              <w:right w:val="nil"/>
            </w:tcBorders>
            <w:vAlign w:val="center"/>
            <w:hideMark/>
          </w:tcPr>
          <w:p w14:paraId="66345DC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59.7%</w:t>
            </w:r>
          </w:p>
        </w:tc>
        <w:tc>
          <w:tcPr>
            <w:tcW w:w="0" w:type="auto"/>
            <w:tcBorders>
              <w:top w:val="nil"/>
              <w:left w:val="nil"/>
              <w:bottom w:val="nil"/>
              <w:right w:val="nil"/>
            </w:tcBorders>
            <w:vAlign w:val="center"/>
            <w:hideMark/>
          </w:tcPr>
          <w:p w14:paraId="01FF630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67.5%</w:t>
            </w:r>
          </w:p>
        </w:tc>
        <w:tc>
          <w:tcPr>
            <w:tcW w:w="0" w:type="auto"/>
            <w:tcBorders>
              <w:top w:val="nil"/>
              <w:left w:val="nil"/>
              <w:bottom w:val="nil"/>
              <w:right w:val="nil"/>
            </w:tcBorders>
            <w:vAlign w:val="center"/>
            <w:hideMark/>
          </w:tcPr>
          <w:p w14:paraId="3D86F06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73.7%</w:t>
            </w:r>
          </w:p>
        </w:tc>
      </w:tr>
      <w:tr w:rsidR="00424987" w:rsidRPr="00424987" w14:paraId="04DA0ED5" w14:textId="77777777" w:rsidTr="00424987">
        <w:trPr>
          <w:trHeight w:val="276"/>
        </w:trPr>
        <w:tc>
          <w:tcPr>
            <w:tcW w:w="0" w:type="auto"/>
            <w:tcBorders>
              <w:top w:val="nil"/>
              <w:left w:val="nil"/>
              <w:bottom w:val="nil"/>
              <w:right w:val="nil"/>
            </w:tcBorders>
            <w:vAlign w:val="center"/>
            <w:hideMark/>
          </w:tcPr>
          <w:p w14:paraId="3624E00D"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Liabilities / assets</w:t>
            </w:r>
          </w:p>
        </w:tc>
        <w:tc>
          <w:tcPr>
            <w:tcW w:w="0" w:type="auto"/>
            <w:tcBorders>
              <w:top w:val="nil"/>
              <w:left w:val="nil"/>
              <w:bottom w:val="nil"/>
              <w:right w:val="nil"/>
            </w:tcBorders>
            <w:vAlign w:val="center"/>
            <w:hideMark/>
          </w:tcPr>
          <w:p w14:paraId="3FB42A7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105.3%</w:t>
            </w:r>
          </w:p>
        </w:tc>
        <w:tc>
          <w:tcPr>
            <w:tcW w:w="0" w:type="auto"/>
            <w:tcBorders>
              <w:top w:val="nil"/>
              <w:left w:val="nil"/>
              <w:bottom w:val="nil"/>
              <w:right w:val="nil"/>
            </w:tcBorders>
            <w:vAlign w:val="center"/>
            <w:hideMark/>
          </w:tcPr>
          <w:p w14:paraId="7DCDE59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107.1%</w:t>
            </w:r>
          </w:p>
        </w:tc>
        <w:tc>
          <w:tcPr>
            <w:tcW w:w="0" w:type="auto"/>
            <w:tcBorders>
              <w:top w:val="nil"/>
              <w:left w:val="nil"/>
              <w:bottom w:val="nil"/>
              <w:right w:val="nil"/>
            </w:tcBorders>
            <w:vAlign w:val="center"/>
            <w:hideMark/>
          </w:tcPr>
          <w:p w14:paraId="5EEE44F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115.2%</w:t>
            </w:r>
          </w:p>
        </w:tc>
        <w:tc>
          <w:tcPr>
            <w:tcW w:w="0" w:type="auto"/>
            <w:tcBorders>
              <w:top w:val="nil"/>
              <w:left w:val="nil"/>
              <w:bottom w:val="nil"/>
              <w:right w:val="nil"/>
            </w:tcBorders>
            <w:vAlign w:val="center"/>
            <w:hideMark/>
          </w:tcPr>
          <w:p w14:paraId="75D9D4C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122.3%</w:t>
            </w:r>
          </w:p>
        </w:tc>
        <w:tc>
          <w:tcPr>
            <w:tcW w:w="0" w:type="auto"/>
            <w:tcBorders>
              <w:top w:val="nil"/>
              <w:left w:val="nil"/>
              <w:bottom w:val="nil"/>
              <w:right w:val="nil"/>
            </w:tcBorders>
            <w:vAlign w:val="center"/>
            <w:hideMark/>
          </w:tcPr>
          <w:p w14:paraId="40C5F1C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131.9%</w:t>
            </w:r>
          </w:p>
        </w:tc>
      </w:tr>
      <w:tr w:rsidR="00424987" w:rsidRPr="00424987" w14:paraId="0605D3F7" w14:textId="77777777" w:rsidTr="00424987">
        <w:trPr>
          <w:trHeight w:val="276"/>
        </w:trPr>
        <w:tc>
          <w:tcPr>
            <w:tcW w:w="0" w:type="auto"/>
            <w:tcBorders>
              <w:top w:val="nil"/>
              <w:left w:val="nil"/>
              <w:bottom w:val="nil"/>
              <w:right w:val="nil"/>
            </w:tcBorders>
            <w:vAlign w:val="center"/>
            <w:hideMark/>
          </w:tcPr>
          <w:p w14:paraId="3C77AE30"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Net debt / operating cash flow</w:t>
            </w:r>
          </w:p>
        </w:tc>
        <w:tc>
          <w:tcPr>
            <w:tcW w:w="0" w:type="auto"/>
            <w:tcBorders>
              <w:top w:val="nil"/>
              <w:left w:val="nil"/>
              <w:bottom w:val="nil"/>
              <w:right w:val="nil"/>
            </w:tcBorders>
            <w:vAlign w:val="center"/>
            <w:hideMark/>
          </w:tcPr>
          <w:p w14:paraId="566232B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66.55x</w:t>
            </w:r>
          </w:p>
        </w:tc>
        <w:tc>
          <w:tcPr>
            <w:tcW w:w="0" w:type="auto"/>
            <w:tcBorders>
              <w:top w:val="nil"/>
              <w:left w:val="nil"/>
              <w:bottom w:val="nil"/>
              <w:right w:val="nil"/>
            </w:tcBorders>
            <w:vAlign w:val="center"/>
            <w:hideMark/>
          </w:tcPr>
          <w:p w14:paraId="10416B8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4.44x</w:t>
            </w:r>
          </w:p>
        </w:tc>
        <w:tc>
          <w:tcPr>
            <w:tcW w:w="0" w:type="auto"/>
            <w:tcBorders>
              <w:top w:val="nil"/>
              <w:left w:val="nil"/>
              <w:bottom w:val="nil"/>
              <w:right w:val="nil"/>
            </w:tcBorders>
            <w:vAlign w:val="center"/>
            <w:hideMark/>
          </w:tcPr>
          <w:p w14:paraId="38C7F9D5"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4.28x</w:t>
            </w:r>
          </w:p>
        </w:tc>
        <w:tc>
          <w:tcPr>
            <w:tcW w:w="0" w:type="auto"/>
            <w:tcBorders>
              <w:top w:val="nil"/>
              <w:left w:val="nil"/>
              <w:bottom w:val="nil"/>
              <w:right w:val="nil"/>
            </w:tcBorders>
            <w:vAlign w:val="center"/>
            <w:hideMark/>
          </w:tcPr>
          <w:p w14:paraId="6AC832A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4.86x</w:t>
            </w:r>
          </w:p>
        </w:tc>
        <w:tc>
          <w:tcPr>
            <w:tcW w:w="0" w:type="auto"/>
            <w:tcBorders>
              <w:top w:val="nil"/>
              <w:left w:val="nil"/>
              <w:bottom w:val="nil"/>
              <w:right w:val="nil"/>
            </w:tcBorders>
            <w:vAlign w:val="center"/>
            <w:hideMark/>
          </w:tcPr>
          <w:p w14:paraId="1D4BF51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5.35x</w:t>
            </w:r>
          </w:p>
        </w:tc>
      </w:tr>
      <w:tr w:rsidR="00424987" w:rsidRPr="00424987" w14:paraId="7DED3F12" w14:textId="77777777" w:rsidTr="00424987">
        <w:trPr>
          <w:trHeight w:val="276"/>
        </w:trPr>
        <w:tc>
          <w:tcPr>
            <w:tcW w:w="0" w:type="auto"/>
            <w:tcBorders>
              <w:top w:val="nil"/>
              <w:left w:val="nil"/>
              <w:bottom w:val="nil"/>
              <w:right w:val="nil"/>
            </w:tcBorders>
            <w:vAlign w:val="center"/>
            <w:hideMark/>
          </w:tcPr>
          <w:p w14:paraId="28A15A16"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Interest coverage</w:t>
            </w:r>
          </w:p>
        </w:tc>
        <w:tc>
          <w:tcPr>
            <w:tcW w:w="0" w:type="auto"/>
            <w:tcBorders>
              <w:top w:val="nil"/>
              <w:left w:val="nil"/>
              <w:bottom w:val="nil"/>
              <w:right w:val="nil"/>
            </w:tcBorders>
            <w:vAlign w:val="center"/>
            <w:hideMark/>
          </w:tcPr>
          <w:p w14:paraId="5109D00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2.54x</w:t>
            </w:r>
          </w:p>
        </w:tc>
        <w:tc>
          <w:tcPr>
            <w:tcW w:w="0" w:type="auto"/>
            <w:tcBorders>
              <w:top w:val="nil"/>
              <w:left w:val="nil"/>
              <w:bottom w:val="nil"/>
              <w:right w:val="nil"/>
            </w:tcBorders>
            <w:vAlign w:val="center"/>
            <w:hideMark/>
          </w:tcPr>
          <w:p w14:paraId="007EE58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5.05x</w:t>
            </w:r>
          </w:p>
        </w:tc>
        <w:tc>
          <w:tcPr>
            <w:tcW w:w="0" w:type="auto"/>
            <w:tcBorders>
              <w:top w:val="nil"/>
              <w:left w:val="nil"/>
              <w:bottom w:val="nil"/>
              <w:right w:val="nil"/>
            </w:tcBorders>
            <w:vAlign w:val="center"/>
            <w:hideMark/>
          </w:tcPr>
          <w:p w14:paraId="1F373F7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4.80x</w:t>
            </w:r>
          </w:p>
        </w:tc>
        <w:tc>
          <w:tcPr>
            <w:tcW w:w="0" w:type="auto"/>
            <w:tcBorders>
              <w:top w:val="nil"/>
              <w:left w:val="nil"/>
              <w:bottom w:val="nil"/>
              <w:right w:val="nil"/>
            </w:tcBorders>
            <w:vAlign w:val="center"/>
            <w:hideMark/>
          </w:tcPr>
          <w:p w14:paraId="258B45A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4.17x</w:t>
            </w:r>
          </w:p>
        </w:tc>
        <w:tc>
          <w:tcPr>
            <w:tcW w:w="0" w:type="auto"/>
            <w:tcBorders>
              <w:top w:val="nil"/>
              <w:left w:val="nil"/>
              <w:bottom w:val="nil"/>
              <w:right w:val="nil"/>
            </w:tcBorders>
            <w:vAlign w:val="center"/>
            <w:hideMark/>
          </w:tcPr>
          <w:p w14:paraId="6AFCC3B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4.34x</w:t>
            </w:r>
          </w:p>
        </w:tc>
      </w:tr>
      <w:tr w:rsidR="00424987" w:rsidRPr="00424987" w14:paraId="027653FA" w14:textId="77777777" w:rsidTr="00424987">
        <w:trPr>
          <w:trHeight w:val="276"/>
        </w:trPr>
        <w:tc>
          <w:tcPr>
            <w:tcW w:w="0" w:type="auto"/>
            <w:tcBorders>
              <w:top w:val="nil"/>
              <w:left w:val="nil"/>
              <w:bottom w:val="nil"/>
              <w:right w:val="nil"/>
            </w:tcBorders>
            <w:vAlign w:val="center"/>
            <w:hideMark/>
          </w:tcPr>
          <w:p w14:paraId="11999A3D" w14:textId="77777777" w:rsidR="00424987" w:rsidRPr="00424987" w:rsidRDefault="00424987" w:rsidP="00424987">
            <w:pPr>
              <w:spacing w:after="0" w:line="360" w:lineRule="auto"/>
              <w:jc w:val="right"/>
              <w:rPr>
                <w:rFonts w:ascii="Arial" w:eastAsia="Times New Roman" w:hAnsi="Arial" w:cs="Arial"/>
                <w:color w:val="008000"/>
                <w:sz w:val="24"/>
                <w:szCs w:val="24"/>
              </w:rPr>
            </w:pPr>
          </w:p>
        </w:tc>
        <w:tc>
          <w:tcPr>
            <w:tcW w:w="0" w:type="auto"/>
            <w:tcBorders>
              <w:top w:val="nil"/>
              <w:left w:val="nil"/>
              <w:bottom w:val="nil"/>
              <w:right w:val="nil"/>
            </w:tcBorders>
            <w:vAlign w:val="center"/>
            <w:hideMark/>
          </w:tcPr>
          <w:p w14:paraId="4CBEE403"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523E165D"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32ECCE5E"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41B5CB28"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763FA3A8"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27E38974" w14:textId="77777777" w:rsidTr="00424987">
        <w:trPr>
          <w:trHeight w:val="276"/>
        </w:trPr>
        <w:tc>
          <w:tcPr>
            <w:tcW w:w="0" w:type="auto"/>
            <w:gridSpan w:val="6"/>
            <w:tcBorders>
              <w:top w:val="nil"/>
              <w:left w:val="nil"/>
              <w:bottom w:val="nil"/>
              <w:right w:val="nil"/>
            </w:tcBorders>
            <w:shd w:val="clear" w:color="000000" w:fill="17365D"/>
            <w:vAlign w:val="center"/>
            <w:hideMark/>
          </w:tcPr>
          <w:p w14:paraId="10805FAF"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INVESTMENT</w:t>
            </w:r>
          </w:p>
        </w:tc>
      </w:tr>
      <w:tr w:rsidR="00424987" w:rsidRPr="00424987" w14:paraId="70E96E3A" w14:textId="77777777" w:rsidTr="00424987">
        <w:trPr>
          <w:trHeight w:val="276"/>
        </w:trPr>
        <w:tc>
          <w:tcPr>
            <w:tcW w:w="0" w:type="auto"/>
            <w:tcBorders>
              <w:top w:val="nil"/>
              <w:left w:val="nil"/>
              <w:bottom w:val="nil"/>
              <w:right w:val="nil"/>
            </w:tcBorders>
            <w:vAlign w:val="center"/>
            <w:hideMark/>
          </w:tcPr>
          <w:p w14:paraId="5F1CFF8E"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Diluted EPS ($)</w:t>
            </w:r>
          </w:p>
        </w:tc>
        <w:tc>
          <w:tcPr>
            <w:tcW w:w="0" w:type="auto"/>
            <w:tcBorders>
              <w:top w:val="nil"/>
              <w:left w:val="nil"/>
              <w:bottom w:val="nil"/>
              <w:right w:val="nil"/>
            </w:tcBorders>
            <w:vAlign w:val="center"/>
            <w:hideMark/>
          </w:tcPr>
          <w:p w14:paraId="7684D14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$1.46</w:t>
            </w:r>
          </w:p>
        </w:tc>
        <w:tc>
          <w:tcPr>
            <w:tcW w:w="0" w:type="auto"/>
            <w:tcBorders>
              <w:top w:val="nil"/>
              <w:left w:val="nil"/>
              <w:bottom w:val="nil"/>
              <w:right w:val="nil"/>
            </w:tcBorders>
            <w:vAlign w:val="center"/>
            <w:hideMark/>
          </w:tcPr>
          <w:p w14:paraId="605EC50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$4.53</w:t>
            </w:r>
          </w:p>
        </w:tc>
        <w:tc>
          <w:tcPr>
            <w:tcW w:w="0" w:type="auto"/>
            <w:tcBorders>
              <w:top w:val="nil"/>
              <w:left w:val="nil"/>
              <w:bottom w:val="nil"/>
              <w:right w:val="nil"/>
            </w:tcBorders>
            <w:vAlign w:val="center"/>
            <w:hideMark/>
          </w:tcPr>
          <w:p w14:paraId="2EB964C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$4.33</w:t>
            </w:r>
          </w:p>
        </w:tc>
        <w:tc>
          <w:tcPr>
            <w:tcW w:w="0" w:type="auto"/>
            <w:tcBorders>
              <w:top w:val="nil"/>
              <w:left w:val="nil"/>
              <w:bottom w:val="nil"/>
              <w:right w:val="nil"/>
            </w:tcBorders>
            <w:vAlign w:val="center"/>
            <w:hideMark/>
          </w:tcPr>
          <w:p w14:paraId="195CDC5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$6.14</w:t>
            </w:r>
          </w:p>
        </w:tc>
        <w:tc>
          <w:tcPr>
            <w:tcW w:w="0" w:type="auto"/>
            <w:tcBorders>
              <w:top w:val="nil"/>
              <w:left w:val="nil"/>
              <w:bottom w:val="nil"/>
              <w:right w:val="nil"/>
            </w:tcBorders>
            <w:vAlign w:val="center"/>
            <w:hideMark/>
          </w:tcPr>
          <w:p w14:paraId="1A7E0DF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$6.12</w:t>
            </w:r>
          </w:p>
        </w:tc>
      </w:tr>
      <w:tr w:rsidR="00424987" w:rsidRPr="00424987" w14:paraId="51DF516A" w14:textId="77777777" w:rsidTr="00424987">
        <w:trPr>
          <w:trHeight w:val="276"/>
        </w:trPr>
        <w:tc>
          <w:tcPr>
            <w:tcW w:w="0" w:type="auto"/>
            <w:tcBorders>
              <w:top w:val="nil"/>
              <w:left w:val="nil"/>
              <w:bottom w:val="nil"/>
              <w:right w:val="nil"/>
            </w:tcBorders>
            <w:vAlign w:val="center"/>
            <w:hideMark/>
          </w:tcPr>
          <w:p w14:paraId="46369032"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EPS growth</w:t>
            </w:r>
          </w:p>
        </w:tc>
        <w:tc>
          <w:tcPr>
            <w:tcW w:w="0" w:type="auto"/>
            <w:tcBorders>
              <w:top w:val="nil"/>
              <w:left w:val="nil"/>
              <w:bottom w:val="nil"/>
              <w:right w:val="nil"/>
            </w:tcBorders>
            <w:vAlign w:val="center"/>
            <w:hideMark/>
          </w:tcPr>
          <w:p w14:paraId="3646A202"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p>
        </w:tc>
        <w:tc>
          <w:tcPr>
            <w:tcW w:w="0" w:type="auto"/>
            <w:tcBorders>
              <w:top w:val="nil"/>
              <w:left w:val="nil"/>
              <w:bottom w:val="nil"/>
              <w:right w:val="nil"/>
            </w:tcBorders>
            <w:vAlign w:val="center"/>
            <w:hideMark/>
          </w:tcPr>
          <w:p w14:paraId="4EC20A6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210.3%</w:t>
            </w:r>
          </w:p>
        </w:tc>
        <w:tc>
          <w:tcPr>
            <w:tcW w:w="0" w:type="auto"/>
            <w:tcBorders>
              <w:top w:val="nil"/>
              <w:left w:val="nil"/>
              <w:bottom w:val="nil"/>
              <w:right w:val="nil"/>
            </w:tcBorders>
            <w:vAlign w:val="center"/>
            <w:hideMark/>
          </w:tcPr>
          <w:p w14:paraId="05151B6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(4.4%)</w:t>
            </w:r>
          </w:p>
        </w:tc>
        <w:tc>
          <w:tcPr>
            <w:tcW w:w="0" w:type="auto"/>
            <w:tcBorders>
              <w:top w:val="nil"/>
              <w:left w:val="nil"/>
              <w:bottom w:val="nil"/>
              <w:right w:val="nil"/>
            </w:tcBorders>
            <w:vAlign w:val="center"/>
            <w:hideMark/>
          </w:tcPr>
          <w:p w14:paraId="15C93B6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41.8%</w:t>
            </w:r>
          </w:p>
        </w:tc>
        <w:tc>
          <w:tcPr>
            <w:tcW w:w="0" w:type="auto"/>
            <w:tcBorders>
              <w:top w:val="nil"/>
              <w:left w:val="nil"/>
              <w:bottom w:val="nil"/>
              <w:right w:val="nil"/>
            </w:tcBorders>
            <w:vAlign w:val="center"/>
            <w:hideMark/>
          </w:tcPr>
          <w:p w14:paraId="63F890F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(0.3%)</w:t>
            </w:r>
          </w:p>
        </w:tc>
      </w:tr>
      <w:tr w:rsidR="00424987" w:rsidRPr="00424987" w14:paraId="57B9F7DE" w14:textId="77777777" w:rsidTr="00424987">
        <w:trPr>
          <w:trHeight w:val="276"/>
        </w:trPr>
        <w:tc>
          <w:tcPr>
            <w:tcW w:w="0" w:type="auto"/>
            <w:tcBorders>
              <w:top w:val="nil"/>
              <w:left w:val="nil"/>
              <w:bottom w:val="nil"/>
              <w:right w:val="nil"/>
            </w:tcBorders>
            <w:vAlign w:val="center"/>
            <w:hideMark/>
          </w:tcPr>
          <w:p w14:paraId="7F4333FC"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Dividend per share ($)</w:t>
            </w:r>
          </w:p>
        </w:tc>
        <w:tc>
          <w:tcPr>
            <w:tcW w:w="0" w:type="auto"/>
            <w:tcBorders>
              <w:top w:val="nil"/>
              <w:left w:val="nil"/>
              <w:bottom w:val="nil"/>
              <w:right w:val="nil"/>
            </w:tcBorders>
            <w:vAlign w:val="center"/>
            <w:hideMark/>
          </w:tcPr>
          <w:p w14:paraId="502E3AA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w:t>
            </w:r>
          </w:p>
        </w:tc>
        <w:tc>
          <w:tcPr>
            <w:tcW w:w="0" w:type="auto"/>
            <w:tcBorders>
              <w:top w:val="nil"/>
              <w:left w:val="nil"/>
              <w:bottom w:val="nil"/>
              <w:right w:val="nil"/>
            </w:tcBorders>
            <w:vAlign w:val="center"/>
            <w:hideMark/>
          </w:tcPr>
          <w:p w14:paraId="188C753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$0.45</w:t>
            </w:r>
          </w:p>
        </w:tc>
        <w:tc>
          <w:tcPr>
            <w:tcW w:w="0" w:type="auto"/>
            <w:tcBorders>
              <w:top w:val="nil"/>
              <w:left w:val="nil"/>
              <w:bottom w:val="nil"/>
              <w:right w:val="nil"/>
            </w:tcBorders>
            <w:vAlign w:val="center"/>
            <w:hideMark/>
          </w:tcPr>
          <w:p w14:paraId="5F7A0F2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$0.60</w:t>
            </w:r>
          </w:p>
        </w:tc>
        <w:tc>
          <w:tcPr>
            <w:tcW w:w="0" w:type="auto"/>
            <w:tcBorders>
              <w:top w:val="nil"/>
              <w:left w:val="nil"/>
              <w:bottom w:val="nil"/>
              <w:right w:val="nil"/>
            </w:tcBorders>
            <w:vAlign w:val="center"/>
            <w:hideMark/>
          </w:tcPr>
          <w:p w14:paraId="68A355C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$0.60</w:t>
            </w:r>
          </w:p>
        </w:tc>
        <w:tc>
          <w:tcPr>
            <w:tcW w:w="0" w:type="auto"/>
            <w:tcBorders>
              <w:top w:val="nil"/>
              <w:left w:val="nil"/>
              <w:bottom w:val="nil"/>
              <w:right w:val="nil"/>
            </w:tcBorders>
            <w:vAlign w:val="center"/>
            <w:hideMark/>
          </w:tcPr>
          <w:p w14:paraId="5D1DB51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$0.60</w:t>
            </w:r>
          </w:p>
        </w:tc>
      </w:tr>
      <w:tr w:rsidR="00424987" w:rsidRPr="00424987" w14:paraId="15F84BAC" w14:textId="77777777" w:rsidTr="00424987">
        <w:trPr>
          <w:trHeight w:val="276"/>
        </w:trPr>
        <w:tc>
          <w:tcPr>
            <w:tcW w:w="0" w:type="auto"/>
            <w:tcBorders>
              <w:top w:val="nil"/>
              <w:left w:val="nil"/>
              <w:bottom w:val="nil"/>
              <w:right w:val="nil"/>
            </w:tcBorders>
            <w:vAlign w:val="center"/>
            <w:hideMark/>
          </w:tcPr>
          <w:p w14:paraId="1466F3CA"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Dividend payout</w:t>
            </w:r>
          </w:p>
        </w:tc>
        <w:tc>
          <w:tcPr>
            <w:tcW w:w="0" w:type="auto"/>
            <w:tcBorders>
              <w:top w:val="nil"/>
              <w:left w:val="nil"/>
              <w:bottom w:val="nil"/>
              <w:right w:val="nil"/>
            </w:tcBorders>
            <w:vAlign w:val="center"/>
            <w:hideMark/>
          </w:tcPr>
          <w:p w14:paraId="4CA354B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w:t>
            </w:r>
          </w:p>
        </w:tc>
        <w:tc>
          <w:tcPr>
            <w:tcW w:w="0" w:type="auto"/>
            <w:tcBorders>
              <w:top w:val="nil"/>
              <w:left w:val="nil"/>
              <w:bottom w:val="nil"/>
              <w:right w:val="nil"/>
            </w:tcBorders>
            <w:vAlign w:val="center"/>
            <w:hideMark/>
          </w:tcPr>
          <w:p w14:paraId="30F4C8A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9.9%</w:t>
            </w:r>
          </w:p>
        </w:tc>
        <w:tc>
          <w:tcPr>
            <w:tcW w:w="0" w:type="auto"/>
            <w:tcBorders>
              <w:top w:val="nil"/>
              <w:left w:val="nil"/>
              <w:bottom w:val="nil"/>
              <w:right w:val="nil"/>
            </w:tcBorders>
            <w:vAlign w:val="center"/>
            <w:hideMark/>
          </w:tcPr>
          <w:p w14:paraId="39C21A3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13.9%</w:t>
            </w:r>
          </w:p>
        </w:tc>
        <w:tc>
          <w:tcPr>
            <w:tcW w:w="0" w:type="auto"/>
            <w:tcBorders>
              <w:top w:val="nil"/>
              <w:left w:val="nil"/>
              <w:bottom w:val="nil"/>
              <w:right w:val="nil"/>
            </w:tcBorders>
            <w:vAlign w:val="center"/>
            <w:hideMark/>
          </w:tcPr>
          <w:p w14:paraId="6674734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9.8%</w:t>
            </w:r>
          </w:p>
        </w:tc>
        <w:tc>
          <w:tcPr>
            <w:tcW w:w="0" w:type="auto"/>
            <w:tcBorders>
              <w:top w:val="nil"/>
              <w:left w:val="nil"/>
              <w:bottom w:val="nil"/>
              <w:right w:val="nil"/>
            </w:tcBorders>
            <w:vAlign w:val="center"/>
            <w:hideMark/>
          </w:tcPr>
          <w:p w14:paraId="1C76D5E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9.8%</w:t>
            </w:r>
          </w:p>
        </w:tc>
      </w:tr>
      <w:tr w:rsidR="00424987" w:rsidRPr="00424987" w14:paraId="563293DA" w14:textId="77777777" w:rsidTr="00424987">
        <w:trPr>
          <w:trHeight w:val="276"/>
        </w:trPr>
        <w:tc>
          <w:tcPr>
            <w:tcW w:w="0" w:type="auto"/>
            <w:tcBorders>
              <w:top w:val="nil"/>
              <w:left w:val="nil"/>
              <w:bottom w:val="nil"/>
              <w:right w:val="nil"/>
            </w:tcBorders>
            <w:vAlign w:val="center"/>
            <w:hideMark/>
          </w:tcPr>
          <w:p w14:paraId="717BAFAB"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Dividend cover</w:t>
            </w:r>
          </w:p>
        </w:tc>
        <w:tc>
          <w:tcPr>
            <w:tcW w:w="0" w:type="auto"/>
            <w:tcBorders>
              <w:top w:val="nil"/>
              <w:left w:val="nil"/>
              <w:bottom w:val="nil"/>
              <w:right w:val="nil"/>
            </w:tcBorders>
            <w:vAlign w:val="center"/>
            <w:hideMark/>
          </w:tcPr>
          <w:p w14:paraId="310F1714"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p>
        </w:tc>
        <w:tc>
          <w:tcPr>
            <w:tcW w:w="0" w:type="auto"/>
            <w:tcBorders>
              <w:top w:val="nil"/>
              <w:left w:val="nil"/>
              <w:bottom w:val="nil"/>
              <w:right w:val="nil"/>
            </w:tcBorders>
            <w:vAlign w:val="center"/>
            <w:hideMark/>
          </w:tcPr>
          <w:p w14:paraId="2AF519B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10.07x</w:t>
            </w:r>
          </w:p>
        </w:tc>
        <w:tc>
          <w:tcPr>
            <w:tcW w:w="0" w:type="auto"/>
            <w:tcBorders>
              <w:top w:val="nil"/>
              <w:left w:val="nil"/>
              <w:bottom w:val="nil"/>
              <w:right w:val="nil"/>
            </w:tcBorders>
            <w:vAlign w:val="center"/>
            <w:hideMark/>
          </w:tcPr>
          <w:p w14:paraId="17E8EF0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7.22x</w:t>
            </w:r>
          </w:p>
        </w:tc>
        <w:tc>
          <w:tcPr>
            <w:tcW w:w="0" w:type="auto"/>
            <w:tcBorders>
              <w:top w:val="nil"/>
              <w:left w:val="nil"/>
              <w:bottom w:val="nil"/>
              <w:right w:val="nil"/>
            </w:tcBorders>
            <w:vAlign w:val="center"/>
            <w:hideMark/>
          </w:tcPr>
          <w:p w14:paraId="5E25CB8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10.23x</w:t>
            </w:r>
          </w:p>
        </w:tc>
        <w:tc>
          <w:tcPr>
            <w:tcW w:w="0" w:type="auto"/>
            <w:tcBorders>
              <w:top w:val="nil"/>
              <w:left w:val="nil"/>
              <w:bottom w:val="nil"/>
              <w:right w:val="nil"/>
            </w:tcBorders>
            <w:vAlign w:val="center"/>
            <w:hideMark/>
          </w:tcPr>
          <w:p w14:paraId="6AFF10C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10.20x</w:t>
            </w:r>
          </w:p>
        </w:tc>
      </w:tr>
      <w:tr w:rsidR="00424987" w:rsidRPr="00424987" w14:paraId="6C489BAB" w14:textId="77777777" w:rsidTr="00424987">
        <w:trPr>
          <w:trHeight w:val="276"/>
        </w:trPr>
        <w:tc>
          <w:tcPr>
            <w:tcW w:w="0" w:type="auto"/>
            <w:tcBorders>
              <w:top w:val="nil"/>
              <w:left w:val="nil"/>
              <w:bottom w:val="nil"/>
              <w:right w:val="nil"/>
            </w:tcBorders>
            <w:vAlign w:val="center"/>
            <w:hideMark/>
          </w:tcPr>
          <w:p w14:paraId="6D5F0702" w14:textId="77777777" w:rsidR="00424987" w:rsidRPr="00424987" w:rsidRDefault="00424987" w:rsidP="00424987">
            <w:pPr>
              <w:spacing w:after="0" w:line="360" w:lineRule="auto"/>
              <w:jc w:val="right"/>
              <w:rPr>
                <w:rFonts w:ascii="Arial" w:eastAsia="Times New Roman" w:hAnsi="Arial" w:cs="Arial"/>
                <w:color w:val="008000"/>
                <w:sz w:val="24"/>
                <w:szCs w:val="24"/>
              </w:rPr>
            </w:pPr>
          </w:p>
        </w:tc>
        <w:tc>
          <w:tcPr>
            <w:tcW w:w="0" w:type="auto"/>
            <w:tcBorders>
              <w:top w:val="nil"/>
              <w:left w:val="nil"/>
              <w:bottom w:val="nil"/>
              <w:right w:val="nil"/>
            </w:tcBorders>
            <w:vAlign w:val="center"/>
            <w:hideMark/>
          </w:tcPr>
          <w:p w14:paraId="719CB862"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245A6DBB"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3C306897"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2829318A" w14:textId="77777777" w:rsidR="00424987" w:rsidRPr="00424987" w:rsidRDefault="00424987" w:rsidP="00424987">
            <w:pPr>
              <w:spacing w:after="0" w:line="360" w:lineRule="auto"/>
              <w:rPr>
                <w:rFonts w:ascii="Arial" w:eastAsia="Times New Roman" w:hAnsi="Arial" w:cs="Arial"/>
                <w:sz w:val="24"/>
                <w:szCs w:val="24"/>
              </w:rPr>
            </w:pPr>
          </w:p>
        </w:tc>
        <w:tc>
          <w:tcPr>
            <w:tcW w:w="0" w:type="auto"/>
            <w:tcBorders>
              <w:top w:val="nil"/>
              <w:left w:val="nil"/>
              <w:bottom w:val="nil"/>
              <w:right w:val="nil"/>
            </w:tcBorders>
            <w:vAlign w:val="center"/>
            <w:hideMark/>
          </w:tcPr>
          <w:p w14:paraId="4F5E35F3" w14:textId="77777777" w:rsidR="00424987" w:rsidRPr="00424987" w:rsidRDefault="00424987" w:rsidP="00424987">
            <w:pPr>
              <w:spacing w:after="0" w:line="360" w:lineRule="auto"/>
              <w:rPr>
                <w:rFonts w:ascii="Arial" w:eastAsia="Times New Roman" w:hAnsi="Arial" w:cs="Arial"/>
                <w:sz w:val="24"/>
                <w:szCs w:val="24"/>
              </w:rPr>
            </w:pPr>
          </w:p>
        </w:tc>
      </w:tr>
      <w:tr w:rsidR="00424987" w:rsidRPr="00424987" w14:paraId="7538B897" w14:textId="77777777" w:rsidTr="00424987">
        <w:trPr>
          <w:trHeight w:val="276"/>
        </w:trPr>
        <w:tc>
          <w:tcPr>
            <w:tcW w:w="0" w:type="auto"/>
            <w:gridSpan w:val="6"/>
            <w:tcBorders>
              <w:top w:val="nil"/>
              <w:left w:val="nil"/>
              <w:bottom w:val="nil"/>
              <w:right w:val="nil"/>
            </w:tcBorders>
            <w:shd w:val="clear" w:color="000000" w:fill="17365D"/>
            <w:vAlign w:val="center"/>
            <w:hideMark/>
          </w:tcPr>
          <w:p w14:paraId="3888DAA5" w14:textId="77777777" w:rsidR="00424987" w:rsidRPr="00424987" w:rsidRDefault="00424987" w:rsidP="00424987">
            <w:pPr>
              <w:spacing w:after="0" w:line="360" w:lineRule="auto"/>
              <w:rPr>
                <w:rFonts w:ascii="Arial" w:eastAsia="Times New Roman" w:hAnsi="Arial" w:cs="Arial"/>
                <w:b/>
                <w:bCs/>
                <w:color w:val="FFFFFF"/>
                <w:sz w:val="24"/>
                <w:szCs w:val="24"/>
              </w:rPr>
            </w:pPr>
            <w:r w:rsidRPr="00424987">
              <w:rPr>
                <w:rFonts w:ascii="Arial" w:eastAsia="Times New Roman" w:hAnsi="Arial" w:cs="Arial"/>
                <w:b/>
                <w:bCs/>
                <w:color w:val="FFFFFF"/>
                <w:sz w:val="24"/>
                <w:szCs w:val="24"/>
              </w:rPr>
              <w:t>CASH FLOW</w:t>
            </w:r>
          </w:p>
        </w:tc>
      </w:tr>
      <w:tr w:rsidR="00424987" w:rsidRPr="00424987" w14:paraId="653F6290" w14:textId="77777777" w:rsidTr="00424987">
        <w:trPr>
          <w:trHeight w:val="276"/>
        </w:trPr>
        <w:tc>
          <w:tcPr>
            <w:tcW w:w="0" w:type="auto"/>
            <w:tcBorders>
              <w:top w:val="nil"/>
              <w:left w:val="nil"/>
              <w:bottom w:val="nil"/>
              <w:right w:val="nil"/>
            </w:tcBorders>
            <w:vAlign w:val="center"/>
            <w:hideMark/>
          </w:tcPr>
          <w:p w14:paraId="1C0E7218"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Operating cash-flow margin</w:t>
            </w:r>
          </w:p>
        </w:tc>
        <w:tc>
          <w:tcPr>
            <w:tcW w:w="0" w:type="auto"/>
            <w:tcBorders>
              <w:top w:val="nil"/>
              <w:left w:val="nil"/>
              <w:bottom w:val="nil"/>
              <w:right w:val="nil"/>
            </w:tcBorders>
            <w:vAlign w:val="center"/>
            <w:hideMark/>
          </w:tcPr>
          <w:p w14:paraId="713BB24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1.9%</w:t>
            </w:r>
          </w:p>
        </w:tc>
        <w:tc>
          <w:tcPr>
            <w:tcW w:w="0" w:type="auto"/>
            <w:tcBorders>
              <w:top w:val="nil"/>
              <w:left w:val="nil"/>
              <w:bottom w:val="nil"/>
              <w:right w:val="nil"/>
            </w:tcBorders>
            <w:vAlign w:val="center"/>
            <w:hideMark/>
          </w:tcPr>
          <w:p w14:paraId="1A33F49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19.2%</w:t>
            </w:r>
          </w:p>
        </w:tc>
        <w:tc>
          <w:tcPr>
            <w:tcW w:w="0" w:type="auto"/>
            <w:tcBorders>
              <w:top w:val="nil"/>
              <w:left w:val="nil"/>
              <w:bottom w:val="nil"/>
              <w:right w:val="nil"/>
            </w:tcBorders>
            <w:vAlign w:val="center"/>
            <w:hideMark/>
          </w:tcPr>
          <w:p w14:paraId="563A01F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19.0%</w:t>
            </w:r>
          </w:p>
        </w:tc>
        <w:tc>
          <w:tcPr>
            <w:tcW w:w="0" w:type="auto"/>
            <w:tcBorders>
              <w:top w:val="nil"/>
              <w:left w:val="nil"/>
              <w:bottom w:val="nil"/>
              <w:right w:val="nil"/>
            </w:tcBorders>
            <w:vAlign w:val="center"/>
            <w:hideMark/>
          </w:tcPr>
          <w:p w14:paraId="0A6A4FC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18.0%</w:t>
            </w:r>
          </w:p>
        </w:tc>
        <w:tc>
          <w:tcPr>
            <w:tcW w:w="0" w:type="auto"/>
            <w:tcBorders>
              <w:top w:val="nil"/>
              <w:left w:val="nil"/>
              <w:bottom w:val="nil"/>
              <w:right w:val="nil"/>
            </w:tcBorders>
            <w:vAlign w:val="center"/>
            <w:hideMark/>
          </w:tcPr>
          <w:p w14:paraId="2B83401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17.7%</w:t>
            </w:r>
          </w:p>
        </w:tc>
      </w:tr>
      <w:tr w:rsidR="00424987" w:rsidRPr="00424987" w14:paraId="60176299" w14:textId="77777777" w:rsidTr="00424987">
        <w:trPr>
          <w:trHeight w:val="276"/>
        </w:trPr>
        <w:tc>
          <w:tcPr>
            <w:tcW w:w="0" w:type="auto"/>
            <w:tcBorders>
              <w:top w:val="nil"/>
              <w:left w:val="nil"/>
              <w:bottom w:val="nil"/>
              <w:right w:val="nil"/>
            </w:tcBorders>
            <w:vAlign w:val="center"/>
            <w:hideMark/>
          </w:tcPr>
          <w:p w14:paraId="4BB519D6"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Cash conversion</w:t>
            </w:r>
          </w:p>
        </w:tc>
        <w:tc>
          <w:tcPr>
            <w:tcW w:w="0" w:type="auto"/>
            <w:tcBorders>
              <w:top w:val="nil"/>
              <w:left w:val="nil"/>
              <w:bottom w:val="nil"/>
              <w:right w:val="nil"/>
            </w:tcBorders>
            <w:vAlign w:val="center"/>
            <w:hideMark/>
          </w:tcPr>
          <w:p w14:paraId="7DACF351"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0.27x</w:t>
            </w:r>
          </w:p>
        </w:tc>
        <w:tc>
          <w:tcPr>
            <w:tcW w:w="0" w:type="auto"/>
            <w:tcBorders>
              <w:top w:val="nil"/>
              <w:left w:val="nil"/>
              <w:bottom w:val="nil"/>
              <w:right w:val="nil"/>
            </w:tcBorders>
            <w:vAlign w:val="center"/>
            <w:hideMark/>
          </w:tcPr>
          <w:p w14:paraId="6EFF5CB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1.34x</w:t>
            </w:r>
          </w:p>
        </w:tc>
        <w:tc>
          <w:tcPr>
            <w:tcW w:w="0" w:type="auto"/>
            <w:tcBorders>
              <w:top w:val="nil"/>
              <w:left w:val="nil"/>
              <w:bottom w:val="nil"/>
              <w:right w:val="nil"/>
            </w:tcBorders>
            <w:vAlign w:val="center"/>
            <w:hideMark/>
          </w:tcPr>
          <w:p w14:paraId="5593CC4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1.69x</w:t>
            </w:r>
          </w:p>
        </w:tc>
        <w:tc>
          <w:tcPr>
            <w:tcW w:w="0" w:type="auto"/>
            <w:tcBorders>
              <w:top w:val="nil"/>
              <w:left w:val="nil"/>
              <w:bottom w:val="nil"/>
              <w:right w:val="nil"/>
            </w:tcBorders>
            <w:vAlign w:val="center"/>
            <w:hideMark/>
          </w:tcPr>
          <w:p w14:paraId="2211129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1.31x</w:t>
            </w:r>
          </w:p>
        </w:tc>
        <w:tc>
          <w:tcPr>
            <w:tcW w:w="0" w:type="auto"/>
            <w:tcBorders>
              <w:top w:val="nil"/>
              <w:left w:val="nil"/>
              <w:bottom w:val="nil"/>
              <w:right w:val="nil"/>
            </w:tcBorders>
            <w:vAlign w:val="center"/>
            <w:hideMark/>
          </w:tcPr>
          <w:p w14:paraId="04021CCC"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1.46x</w:t>
            </w:r>
          </w:p>
        </w:tc>
      </w:tr>
      <w:tr w:rsidR="00424987" w:rsidRPr="00424987" w14:paraId="2B4B8776" w14:textId="77777777" w:rsidTr="00424987">
        <w:trPr>
          <w:trHeight w:val="276"/>
        </w:trPr>
        <w:tc>
          <w:tcPr>
            <w:tcW w:w="0" w:type="auto"/>
            <w:tcBorders>
              <w:top w:val="nil"/>
              <w:left w:val="nil"/>
              <w:bottom w:val="nil"/>
              <w:right w:val="nil"/>
            </w:tcBorders>
            <w:vAlign w:val="center"/>
            <w:hideMark/>
          </w:tcPr>
          <w:p w14:paraId="7C2E7307"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Free cash flow ($m)</w:t>
            </w:r>
          </w:p>
        </w:tc>
        <w:tc>
          <w:tcPr>
            <w:tcW w:w="0" w:type="auto"/>
            <w:tcBorders>
              <w:top w:val="nil"/>
              <w:left w:val="nil"/>
              <w:bottom w:val="nil"/>
              <w:right w:val="nil"/>
            </w:tcBorders>
            <w:vAlign w:val="center"/>
            <w:hideMark/>
          </w:tcPr>
          <w:p w14:paraId="1CFFBF8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30</w:t>
            </w:r>
          </w:p>
        </w:tc>
        <w:tc>
          <w:tcPr>
            <w:tcW w:w="0" w:type="auto"/>
            <w:tcBorders>
              <w:top w:val="nil"/>
              <w:left w:val="nil"/>
              <w:bottom w:val="nil"/>
              <w:right w:val="nil"/>
            </w:tcBorders>
            <w:vAlign w:val="center"/>
            <w:hideMark/>
          </w:tcPr>
          <w:p w14:paraId="1A62FB0E"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1,579</w:t>
            </w:r>
          </w:p>
        </w:tc>
        <w:tc>
          <w:tcPr>
            <w:tcW w:w="0" w:type="auto"/>
            <w:tcBorders>
              <w:top w:val="nil"/>
              <w:left w:val="nil"/>
              <w:bottom w:val="nil"/>
              <w:right w:val="nil"/>
            </w:tcBorders>
            <w:vAlign w:val="center"/>
            <w:hideMark/>
          </w:tcPr>
          <w:p w14:paraId="6246023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1,699</w:t>
            </w:r>
          </w:p>
        </w:tc>
        <w:tc>
          <w:tcPr>
            <w:tcW w:w="0" w:type="auto"/>
            <w:tcBorders>
              <w:top w:val="nil"/>
              <w:left w:val="nil"/>
              <w:bottom w:val="nil"/>
              <w:right w:val="nil"/>
            </w:tcBorders>
            <w:vAlign w:val="center"/>
            <w:hideMark/>
          </w:tcPr>
          <w:p w14:paraId="32D0697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1,815</w:t>
            </w:r>
          </w:p>
        </w:tc>
        <w:tc>
          <w:tcPr>
            <w:tcW w:w="0" w:type="auto"/>
            <w:tcBorders>
              <w:top w:val="nil"/>
              <w:left w:val="nil"/>
              <w:bottom w:val="nil"/>
              <w:right w:val="nil"/>
            </w:tcBorders>
            <w:vAlign w:val="center"/>
            <w:hideMark/>
          </w:tcPr>
          <w:p w14:paraId="006B313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1,944</w:t>
            </w:r>
          </w:p>
        </w:tc>
      </w:tr>
      <w:tr w:rsidR="00424987" w:rsidRPr="00424987" w14:paraId="327260B0" w14:textId="77777777" w:rsidTr="00424987">
        <w:trPr>
          <w:trHeight w:val="276"/>
        </w:trPr>
        <w:tc>
          <w:tcPr>
            <w:tcW w:w="0" w:type="auto"/>
            <w:tcBorders>
              <w:top w:val="nil"/>
              <w:left w:val="nil"/>
              <w:bottom w:val="nil"/>
              <w:right w:val="nil"/>
            </w:tcBorders>
            <w:vAlign w:val="center"/>
            <w:hideMark/>
          </w:tcPr>
          <w:p w14:paraId="0B987F1B"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Free cash-flow margin</w:t>
            </w:r>
          </w:p>
        </w:tc>
        <w:tc>
          <w:tcPr>
            <w:tcW w:w="0" w:type="auto"/>
            <w:tcBorders>
              <w:top w:val="nil"/>
              <w:left w:val="nil"/>
              <w:bottom w:val="nil"/>
              <w:right w:val="nil"/>
            </w:tcBorders>
            <w:vAlign w:val="center"/>
            <w:hideMark/>
          </w:tcPr>
          <w:p w14:paraId="7450E77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0.5%</w:t>
            </w:r>
          </w:p>
        </w:tc>
        <w:tc>
          <w:tcPr>
            <w:tcW w:w="0" w:type="auto"/>
            <w:tcBorders>
              <w:top w:val="nil"/>
              <w:left w:val="nil"/>
              <w:bottom w:val="nil"/>
              <w:right w:val="nil"/>
            </w:tcBorders>
            <w:vAlign w:val="center"/>
            <w:hideMark/>
          </w:tcPr>
          <w:p w14:paraId="5ECDA33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18.0%</w:t>
            </w:r>
          </w:p>
        </w:tc>
        <w:tc>
          <w:tcPr>
            <w:tcW w:w="0" w:type="auto"/>
            <w:tcBorders>
              <w:top w:val="nil"/>
              <w:left w:val="nil"/>
              <w:bottom w:val="nil"/>
              <w:right w:val="nil"/>
            </w:tcBorders>
            <w:vAlign w:val="center"/>
            <w:hideMark/>
          </w:tcPr>
          <w:p w14:paraId="11FADCA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16.6%</w:t>
            </w:r>
          </w:p>
        </w:tc>
        <w:tc>
          <w:tcPr>
            <w:tcW w:w="0" w:type="auto"/>
            <w:tcBorders>
              <w:top w:val="nil"/>
              <w:left w:val="nil"/>
              <w:bottom w:val="nil"/>
              <w:right w:val="nil"/>
            </w:tcBorders>
            <w:vAlign w:val="center"/>
            <w:hideMark/>
          </w:tcPr>
          <w:p w14:paraId="5FEEE50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16.2%</w:t>
            </w:r>
          </w:p>
        </w:tc>
        <w:tc>
          <w:tcPr>
            <w:tcW w:w="0" w:type="auto"/>
            <w:tcBorders>
              <w:top w:val="nil"/>
              <w:left w:val="nil"/>
              <w:bottom w:val="nil"/>
              <w:right w:val="nil"/>
            </w:tcBorders>
            <w:vAlign w:val="center"/>
            <w:hideMark/>
          </w:tcPr>
          <w:p w14:paraId="6AD61862"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16.1%</w:t>
            </w:r>
          </w:p>
        </w:tc>
      </w:tr>
      <w:tr w:rsidR="00424987" w:rsidRPr="00424987" w14:paraId="58D667D0" w14:textId="77777777" w:rsidTr="00424987">
        <w:trPr>
          <w:trHeight w:val="276"/>
        </w:trPr>
        <w:tc>
          <w:tcPr>
            <w:tcW w:w="0" w:type="auto"/>
            <w:tcBorders>
              <w:top w:val="nil"/>
              <w:left w:val="nil"/>
              <w:bottom w:val="nil"/>
              <w:right w:val="nil"/>
            </w:tcBorders>
            <w:vAlign w:val="center"/>
            <w:hideMark/>
          </w:tcPr>
          <w:p w14:paraId="68F407CB"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Capex coverage</w:t>
            </w:r>
          </w:p>
        </w:tc>
        <w:tc>
          <w:tcPr>
            <w:tcW w:w="0" w:type="auto"/>
            <w:tcBorders>
              <w:top w:val="nil"/>
              <w:left w:val="nil"/>
              <w:bottom w:val="nil"/>
              <w:right w:val="nil"/>
            </w:tcBorders>
            <w:vAlign w:val="center"/>
            <w:hideMark/>
          </w:tcPr>
          <w:p w14:paraId="74DBD800"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1.38x</w:t>
            </w:r>
          </w:p>
        </w:tc>
        <w:tc>
          <w:tcPr>
            <w:tcW w:w="0" w:type="auto"/>
            <w:tcBorders>
              <w:top w:val="nil"/>
              <w:left w:val="nil"/>
              <w:bottom w:val="nil"/>
              <w:right w:val="nil"/>
            </w:tcBorders>
            <w:vAlign w:val="center"/>
            <w:hideMark/>
          </w:tcPr>
          <w:p w14:paraId="30FA6F5D"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16.48x</w:t>
            </w:r>
          </w:p>
        </w:tc>
        <w:tc>
          <w:tcPr>
            <w:tcW w:w="0" w:type="auto"/>
            <w:tcBorders>
              <w:top w:val="nil"/>
              <w:left w:val="nil"/>
              <w:bottom w:val="nil"/>
              <w:right w:val="nil"/>
            </w:tcBorders>
            <w:vAlign w:val="center"/>
            <w:hideMark/>
          </w:tcPr>
          <w:p w14:paraId="128F03E7"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7.88x</w:t>
            </w:r>
          </w:p>
        </w:tc>
        <w:tc>
          <w:tcPr>
            <w:tcW w:w="0" w:type="auto"/>
            <w:tcBorders>
              <w:top w:val="nil"/>
              <w:left w:val="nil"/>
              <w:bottom w:val="nil"/>
              <w:right w:val="nil"/>
            </w:tcBorders>
            <w:vAlign w:val="center"/>
            <w:hideMark/>
          </w:tcPr>
          <w:p w14:paraId="1395627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10.17x</w:t>
            </w:r>
          </w:p>
        </w:tc>
        <w:tc>
          <w:tcPr>
            <w:tcW w:w="0" w:type="auto"/>
            <w:tcBorders>
              <w:top w:val="nil"/>
              <w:left w:val="nil"/>
              <w:bottom w:val="nil"/>
              <w:right w:val="nil"/>
            </w:tcBorders>
            <w:vAlign w:val="center"/>
            <w:hideMark/>
          </w:tcPr>
          <w:p w14:paraId="64EFA694"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11.51x</w:t>
            </w:r>
          </w:p>
        </w:tc>
      </w:tr>
      <w:tr w:rsidR="00424987" w:rsidRPr="00424987" w14:paraId="04DE0038" w14:textId="77777777" w:rsidTr="00424987">
        <w:trPr>
          <w:trHeight w:val="276"/>
        </w:trPr>
        <w:tc>
          <w:tcPr>
            <w:tcW w:w="0" w:type="auto"/>
            <w:tcBorders>
              <w:top w:val="nil"/>
              <w:left w:val="nil"/>
              <w:bottom w:val="nil"/>
              <w:right w:val="nil"/>
            </w:tcBorders>
            <w:vAlign w:val="center"/>
            <w:hideMark/>
          </w:tcPr>
          <w:p w14:paraId="34596D8E"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FCF dividend coverage</w:t>
            </w:r>
          </w:p>
        </w:tc>
        <w:tc>
          <w:tcPr>
            <w:tcW w:w="0" w:type="auto"/>
            <w:tcBorders>
              <w:top w:val="nil"/>
              <w:left w:val="nil"/>
              <w:bottom w:val="nil"/>
              <w:right w:val="nil"/>
            </w:tcBorders>
            <w:vAlign w:val="center"/>
            <w:hideMark/>
          </w:tcPr>
          <w:p w14:paraId="65CCB601"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p>
        </w:tc>
        <w:tc>
          <w:tcPr>
            <w:tcW w:w="0" w:type="auto"/>
            <w:tcBorders>
              <w:top w:val="nil"/>
              <w:left w:val="nil"/>
              <w:bottom w:val="nil"/>
              <w:right w:val="nil"/>
            </w:tcBorders>
            <w:vAlign w:val="center"/>
            <w:hideMark/>
          </w:tcPr>
          <w:p w14:paraId="796F20E6"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12.84x</w:t>
            </w:r>
          </w:p>
        </w:tc>
        <w:tc>
          <w:tcPr>
            <w:tcW w:w="0" w:type="auto"/>
            <w:tcBorders>
              <w:top w:val="nil"/>
              <w:left w:val="nil"/>
              <w:bottom w:val="nil"/>
              <w:right w:val="nil"/>
            </w:tcBorders>
            <w:vAlign w:val="center"/>
            <w:hideMark/>
          </w:tcPr>
          <w:p w14:paraId="374DFDE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10.75x</w:t>
            </w:r>
          </w:p>
        </w:tc>
        <w:tc>
          <w:tcPr>
            <w:tcW w:w="0" w:type="auto"/>
            <w:tcBorders>
              <w:top w:val="nil"/>
              <w:left w:val="nil"/>
              <w:bottom w:val="nil"/>
              <w:right w:val="nil"/>
            </w:tcBorders>
            <w:vAlign w:val="center"/>
            <w:hideMark/>
          </w:tcPr>
          <w:p w14:paraId="46128BEA"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12.10x</w:t>
            </w:r>
          </w:p>
        </w:tc>
        <w:tc>
          <w:tcPr>
            <w:tcW w:w="0" w:type="auto"/>
            <w:tcBorders>
              <w:top w:val="nil"/>
              <w:left w:val="nil"/>
              <w:bottom w:val="nil"/>
              <w:right w:val="nil"/>
            </w:tcBorders>
            <w:vAlign w:val="center"/>
            <w:hideMark/>
          </w:tcPr>
          <w:p w14:paraId="508E79A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13.59x</w:t>
            </w:r>
          </w:p>
        </w:tc>
      </w:tr>
      <w:tr w:rsidR="00424987" w:rsidRPr="00424987" w14:paraId="68ECD53D" w14:textId="77777777" w:rsidTr="00424987">
        <w:trPr>
          <w:trHeight w:val="276"/>
        </w:trPr>
        <w:tc>
          <w:tcPr>
            <w:tcW w:w="0" w:type="auto"/>
            <w:tcBorders>
              <w:top w:val="nil"/>
              <w:left w:val="nil"/>
              <w:bottom w:val="nil"/>
              <w:right w:val="nil"/>
            </w:tcBorders>
            <w:vAlign w:val="center"/>
            <w:hideMark/>
          </w:tcPr>
          <w:p w14:paraId="53BB242F" w14:textId="77777777" w:rsidR="00424987" w:rsidRPr="002C17CC" w:rsidRDefault="00424987" w:rsidP="00424987">
            <w:pPr>
              <w:spacing w:after="0" w:line="360" w:lineRule="auto"/>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Share repurchases / OCF</w:t>
            </w:r>
          </w:p>
        </w:tc>
        <w:tc>
          <w:tcPr>
            <w:tcW w:w="0" w:type="auto"/>
            <w:tcBorders>
              <w:top w:val="nil"/>
              <w:left w:val="nil"/>
              <w:bottom w:val="nil"/>
              <w:right w:val="nil"/>
            </w:tcBorders>
            <w:vAlign w:val="center"/>
            <w:hideMark/>
          </w:tcPr>
          <w:p w14:paraId="4D67EF9F"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w:t>
            </w:r>
          </w:p>
        </w:tc>
        <w:tc>
          <w:tcPr>
            <w:tcW w:w="0" w:type="auto"/>
            <w:tcBorders>
              <w:top w:val="nil"/>
              <w:left w:val="nil"/>
              <w:bottom w:val="nil"/>
              <w:right w:val="nil"/>
            </w:tcBorders>
            <w:vAlign w:val="center"/>
            <w:hideMark/>
          </w:tcPr>
          <w:p w14:paraId="27608AB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0.95x</w:t>
            </w:r>
          </w:p>
        </w:tc>
        <w:tc>
          <w:tcPr>
            <w:tcW w:w="0" w:type="auto"/>
            <w:tcBorders>
              <w:top w:val="nil"/>
              <w:left w:val="nil"/>
              <w:bottom w:val="nil"/>
              <w:right w:val="nil"/>
            </w:tcBorders>
            <w:vAlign w:val="center"/>
            <w:hideMark/>
          </w:tcPr>
          <w:p w14:paraId="3DB67429"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1.20x</w:t>
            </w:r>
          </w:p>
        </w:tc>
        <w:tc>
          <w:tcPr>
            <w:tcW w:w="0" w:type="auto"/>
            <w:tcBorders>
              <w:top w:val="nil"/>
              <w:left w:val="nil"/>
              <w:bottom w:val="nil"/>
              <w:right w:val="nil"/>
            </w:tcBorders>
            <w:vAlign w:val="center"/>
            <w:hideMark/>
          </w:tcPr>
          <w:p w14:paraId="1B930F08"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1.44x</w:t>
            </w:r>
          </w:p>
        </w:tc>
        <w:tc>
          <w:tcPr>
            <w:tcW w:w="0" w:type="auto"/>
            <w:tcBorders>
              <w:top w:val="nil"/>
              <w:left w:val="nil"/>
              <w:bottom w:val="nil"/>
              <w:right w:val="nil"/>
            </w:tcBorders>
            <w:vAlign w:val="center"/>
            <w:hideMark/>
          </w:tcPr>
          <w:p w14:paraId="73B459FB" w14:textId="77777777" w:rsidR="00424987" w:rsidRPr="002C17CC" w:rsidRDefault="00424987" w:rsidP="00424987">
            <w:pPr>
              <w:spacing w:after="0" w:line="360" w:lineRule="auto"/>
              <w:jc w:val="right"/>
              <w:rPr>
                <w:rFonts w:ascii="Arial" w:eastAsia="Times New Roman" w:hAnsi="Arial" w:cs="Arial"/>
                <w:color w:val="0D0D0D" w:themeColor="text1" w:themeTint="F2"/>
                <w:sz w:val="24"/>
                <w:szCs w:val="24"/>
              </w:rPr>
            </w:pPr>
            <w:r w:rsidRPr="002C17CC">
              <w:rPr>
                <w:rFonts w:ascii="Arial" w:eastAsia="Times New Roman" w:hAnsi="Arial" w:cs="Arial"/>
                <w:color w:val="0D0D0D" w:themeColor="text1" w:themeTint="F2"/>
                <w:sz w:val="24"/>
                <w:szCs w:val="24"/>
              </w:rPr>
              <w:t>1.49x</w:t>
            </w:r>
          </w:p>
        </w:tc>
      </w:tr>
    </w:tbl>
    <w:p w14:paraId="0CCD8B66" w14:textId="77777777" w:rsidR="00424987" w:rsidRPr="00424987" w:rsidRDefault="00424987" w:rsidP="00424987"/>
    <w:p w14:paraId="604BE9AB" w14:textId="77777777" w:rsidR="00424987" w:rsidRDefault="00424987" w:rsidP="00424987">
      <w:pPr>
        <w:pStyle w:val="Heading2"/>
        <w:rPr>
          <w:rFonts w:ascii="Arial" w:hAnsi="Arial" w:cs="Arial"/>
          <w:sz w:val="24"/>
          <w:szCs w:val="24"/>
        </w:rPr>
      </w:pPr>
      <w:bookmarkStart w:id="35" w:name="_Toc235694644"/>
      <w:r w:rsidRPr="00424987">
        <w:rPr>
          <w:rFonts w:ascii="Arial" w:hAnsi="Arial" w:cs="Arial"/>
          <w:sz w:val="24"/>
          <w:szCs w:val="24"/>
        </w:rPr>
        <w:t>Appendix C: 2025 Liquidity Benchmark</w:t>
      </w:r>
      <w:bookmarkEnd w:id="35"/>
    </w:p>
    <w:tbl>
      <w:tblPr>
        <w:tblW w:w="9559" w:type="dxa"/>
        <w:tblLook w:val="04A0" w:firstRow="1" w:lastRow="0" w:firstColumn="1" w:lastColumn="0" w:noHBand="0" w:noVBand="1"/>
      </w:tblPr>
      <w:tblGrid>
        <w:gridCol w:w="1427"/>
        <w:gridCol w:w="754"/>
        <w:gridCol w:w="1292"/>
        <w:gridCol w:w="1488"/>
        <w:gridCol w:w="1011"/>
        <w:gridCol w:w="1158"/>
        <w:gridCol w:w="1011"/>
        <w:gridCol w:w="828"/>
        <w:gridCol w:w="767"/>
      </w:tblGrid>
      <w:tr w:rsidR="00424987" w:rsidRPr="00DA7D3C" w14:paraId="3B328552" w14:textId="77777777" w:rsidTr="00DA7D3C">
        <w:trPr>
          <w:trHeight w:val="1600"/>
        </w:trPr>
        <w:tc>
          <w:tcPr>
            <w:tcW w:w="0" w:type="auto"/>
            <w:tcBorders>
              <w:top w:val="nil"/>
              <w:left w:val="nil"/>
              <w:bottom w:val="nil"/>
              <w:right w:val="nil"/>
            </w:tcBorders>
            <w:shd w:val="clear" w:color="000000" w:fill="0B1F33"/>
            <w:vAlign w:val="center"/>
            <w:hideMark/>
          </w:tcPr>
          <w:p w14:paraId="3B34E389"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Company</w:t>
            </w:r>
          </w:p>
        </w:tc>
        <w:tc>
          <w:tcPr>
            <w:tcW w:w="0" w:type="auto"/>
            <w:tcBorders>
              <w:top w:val="nil"/>
              <w:left w:val="nil"/>
              <w:bottom w:val="nil"/>
              <w:right w:val="nil"/>
            </w:tcBorders>
            <w:shd w:val="clear" w:color="000000" w:fill="0B1F33"/>
            <w:vAlign w:val="center"/>
            <w:hideMark/>
          </w:tcPr>
          <w:p w14:paraId="7709E199"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Cash</w:t>
            </w:r>
          </w:p>
        </w:tc>
        <w:tc>
          <w:tcPr>
            <w:tcW w:w="0" w:type="auto"/>
            <w:tcBorders>
              <w:top w:val="nil"/>
              <w:left w:val="nil"/>
              <w:bottom w:val="nil"/>
              <w:right w:val="nil"/>
            </w:tcBorders>
            <w:shd w:val="clear" w:color="000000" w:fill="0B1F33"/>
            <w:vAlign w:val="center"/>
            <w:hideMark/>
          </w:tcPr>
          <w:p w14:paraId="51209AD3"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Restricted cash</w:t>
            </w:r>
          </w:p>
        </w:tc>
        <w:tc>
          <w:tcPr>
            <w:tcW w:w="0" w:type="auto"/>
            <w:tcBorders>
              <w:top w:val="nil"/>
              <w:left w:val="nil"/>
              <w:bottom w:val="nil"/>
              <w:right w:val="nil"/>
            </w:tcBorders>
            <w:shd w:val="clear" w:color="000000" w:fill="0B1F33"/>
            <w:vAlign w:val="center"/>
            <w:hideMark/>
          </w:tcPr>
          <w:p w14:paraId="6AE06E63"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Receivables / near-cash</w:t>
            </w:r>
          </w:p>
        </w:tc>
        <w:tc>
          <w:tcPr>
            <w:tcW w:w="0" w:type="auto"/>
            <w:tcBorders>
              <w:top w:val="nil"/>
              <w:left w:val="nil"/>
              <w:bottom w:val="nil"/>
              <w:right w:val="nil"/>
            </w:tcBorders>
            <w:shd w:val="clear" w:color="000000" w:fill="0B1F33"/>
            <w:vAlign w:val="center"/>
            <w:hideMark/>
          </w:tcPr>
          <w:p w14:paraId="3EF7AEB9"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Current assets</w:t>
            </w:r>
          </w:p>
        </w:tc>
        <w:tc>
          <w:tcPr>
            <w:tcW w:w="0" w:type="auto"/>
            <w:tcBorders>
              <w:top w:val="nil"/>
              <w:left w:val="nil"/>
              <w:bottom w:val="nil"/>
              <w:right w:val="nil"/>
            </w:tcBorders>
            <w:shd w:val="clear" w:color="000000" w:fill="0B1F33"/>
            <w:vAlign w:val="center"/>
            <w:hideMark/>
          </w:tcPr>
          <w:p w14:paraId="3EF6B245"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Current liabilities</w:t>
            </w:r>
          </w:p>
        </w:tc>
        <w:tc>
          <w:tcPr>
            <w:tcW w:w="0" w:type="auto"/>
            <w:tcBorders>
              <w:top w:val="nil"/>
              <w:left w:val="nil"/>
              <w:bottom w:val="nil"/>
              <w:right w:val="nil"/>
            </w:tcBorders>
            <w:shd w:val="clear" w:color="000000" w:fill="0B1F33"/>
            <w:vAlign w:val="center"/>
            <w:hideMark/>
          </w:tcPr>
          <w:p w14:paraId="1921CA59"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Current ratio</w:t>
            </w:r>
          </w:p>
        </w:tc>
        <w:tc>
          <w:tcPr>
            <w:tcW w:w="0" w:type="auto"/>
            <w:tcBorders>
              <w:top w:val="nil"/>
              <w:left w:val="nil"/>
              <w:bottom w:val="nil"/>
              <w:right w:val="nil"/>
            </w:tcBorders>
            <w:shd w:val="clear" w:color="000000" w:fill="0B1F33"/>
            <w:vAlign w:val="center"/>
            <w:hideMark/>
          </w:tcPr>
          <w:p w14:paraId="405C8489"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Quick ratio</w:t>
            </w:r>
          </w:p>
        </w:tc>
        <w:tc>
          <w:tcPr>
            <w:tcW w:w="692" w:type="dxa"/>
            <w:tcBorders>
              <w:top w:val="nil"/>
              <w:left w:val="nil"/>
              <w:bottom w:val="nil"/>
              <w:right w:val="nil"/>
            </w:tcBorders>
            <w:shd w:val="clear" w:color="000000" w:fill="0B1F33"/>
            <w:vAlign w:val="center"/>
            <w:hideMark/>
          </w:tcPr>
          <w:p w14:paraId="38554B32" w14:textId="77777777" w:rsidR="00424987" w:rsidRPr="00DA7D3C" w:rsidRDefault="00424987" w:rsidP="00424987">
            <w:pPr>
              <w:spacing w:after="0" w:line="240" w:lineRule="auto"/>
              <w:jc w:val="center"/>
              <w:rPr>
                <w:rFonts w:ascii="Arial" w:eastAsia="Times New Roman" w:hAnsi="Arial" w:cs="Arial"/>
                <w:b/>
                <w:bCs/>
                <w:color w:val="FFFFFF"/>
              </w:rPr>
            </w:pPr>
            <w:r w:rsidRPr="00DA7D3C">
              <w:rPr>
                <w:rFonts w:ascii="Arial" w:eastAsia="Times New Roman" w:hAnsi="Arial" w:cs="Arial"/>
                <w:b/>
                <w:bCs/>
                <w:color w:val="FFFFFF"/>
              </w:rPr>
              <w:t>Cash ratio</w:t>
            </w:r>
          </w:p>
        </w:tc>
      </w:tr>
      <w:tr w:rsidR="00424987" w:rsidRPr="00DA7D3C" w14:paraId="34FA031C" w14:textId="77777777" w:rsidTr="00DA7D3C">
        <w:trPr>
          <w:trHeight w:val="835"/>
        </w:trPr>
        <w:tc>
          <w:tcPr>
            <w:tcW w:w="0" w:type="auto"/>
            <w:tcBorders>
              <w:top w:val="nil"/>
              <w:left w:val="nil"/>
              <w:bottom w:val="nil"/>
              <w:right w:val="nil"/>
            </w:tcBorders>
            <w:vAlign w:val="center"/>
            <w:hideMark/>
          </w:tcPr>
          <w:p w14:paraId="1C31718F" w14:textId="77777777" w:rsidR="00424987" w:rsidRPr="00DA7D3C" w:rsidRDefault="00424987" w:rsidP="00424987">
            <w:pPr>
              <w:spacing w:after="0" w:line="240" w:lineRule="auto"/>
              <w:jc w:val="center"/>
              <w:rPr>
                <w:rFonts w:ascii="Arial" w:eastAsia="Times New Roman" w:hAnsi="Arial" w:cs="Arial"/>
              </w:rPr>
            </w:pPr>
            <w:r w:rsidRPr="00DA7D3C">
              <w:rPr>
                <w:rFonts w:ascii="Arial" w:eastAsia="Times New Roman" w:hAnsi="Arial" w:cs="Arial"/>
              </w:rPr>
              <w:t>Hilton Worldwide</w:t>
            </w:r>
          </w:p>
        </w:tc>
        <w:tc>
          <w:tcPr>
            <w:tcW w:w="0" w:type="auto"/>
            <w:tcBorders>
              <w:top w:val="nil"/>
              <w:left w:val="nil"/>
              <w:bottom w:val="nil"/>
              <w:right w:val="nil"/>
            </w:tcBorders>
            <w:vAlign w:val="center"/>
            <w:hideMark/>
          </w:tcPr>
          <w:p w14:paraId="2FDE3B77"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918</w:t>
            </w:r>
          </w:p>
        </w:tc>
        <w:tc>
          <w:tcPr>
            <w:tcW w:w="0" w:type="auto"/>
            <w:tcBorders>
              <w:top w:val="nil"/>
              <w:left w:val="nil"/>
              <w:bottom w:val="nil"/>
              <w:right w:val="nil"/>
            </w:tcBorders>
            <w:vAlign w:val="center"/>
            <w:hideMark/>
          </w:tcPr>
          <w:p w14:paraId="7B9C06C3"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52</w:t>
            </w:r>
          </w:p>
        </w:tc>
        <w:tc>
          <w:tcPr>
            <w:tcW w:w="0" w:type="auto"/>
            <w:tcBorders>
              <w:top w:val="nil"/>
              <w:left w:val="nil"/>
              <w:bottom w:val="nil"/>
              <w:right w:val="nil"/>
            </w:tcBorders>
            <w:vAlign w:val="center"/>
            <w:hideMark/>
          </w:tcPr>
          <w:p w14:paraId="2BBC726F"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1,690</w:t>
            </w:r>
          </w:p>
        </w:tc>
        <w:tc>
          <w:tcPr>
            <w:tcW w:w="0" w:type="auto"/>
            <w:tcBorders>
              <w:top w:val="nil"/>
              <w:left w:val="nil"/>
              <w:bottom w:val="nil"/>
              <w:right w:val="nil"/>
            </w:tcBorders>
            <w:vAlign w:val="center"/>
            <w:hideMark/>
          </w:tcPr>
          <w:p w14:paraId="777ECF15"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2,996</w:t>
            </w:r>
          </w:p>
        </w:tc>
        <w:tc>
          <w:tcPr>
            <w:tcW w:w="0" w:type="auto"/>
            <w:tcBorders>
              <w:top w:val="nil"/>
              <w:left w:val="nil"/>
              <w:bottom w:val="nil"/>
              <w:right w:val="nil"/>
            </w:tcBorders>
            <w:vAlign w:val="center"/>
            <w:hideMark/>
          </w:tcPr>
          <w:p w14:paraId="56DB52C3"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4,508</w:t>
            </w:r>
          </w:p>
        </w:tc>
        <w:tc>
          <w:tcPr>
            <w:tcW w:w="0" w:type="auto"/>
            <w:tcBorders>
              <w:top w:val="nil"/>
              <w:left w:val="nil"/>
              <w:bottom w:val="nil"/>
              <w:right w:val="nil"/>
            </w:tcBorders>
            <w:vAlign w:val="center"/>
            <w:hideMark/>
          </w:tcPr>
          <w:p w14:paraId="3702DFAD"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0.66x</w:t>
            </w:r>
          </w:p>
        </w:tc>
        <w:tc>
          <w:tcPr>
            <w:tcW w:w="0" w:type="auto"/>
            <w:tcBorders>
              <w:top w:val="nil"/>
              <w:left w:val="nil"/>
              <w:bottom w:val="nil"/>
              <w:right w:val="nil"/>
            </w:tcBorders>
            <w:vAlign w:val="center"/>
            <w:hideMark/>
          </w:tcPr>
          <w:p w14:paraId="044BCBB7"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0.59x</w:t>
            </w:r>
          </w:p>
        </w:tc>
        <w:tc>
          <w:tcPr>
            <w:tcW w:w="692" w:type="dxa"/>
            <w:tcBorders>
              <w:top w:val="nil"/>
              <w:left w:val="nil"/>
              <w:bottom w:val="nil"/>
              <w:right w:val="nil"/>
            </w:tcBorders>
            <w:vAlign w:val="center"/>
            <w:hideMark/>
          </w:tcPr>
          <w:p w14:paraId="6AD2D31E"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0.22x</w:t>
            </w:r>
          </w:p>
        </w:tc>
      </w:tr>
      <w:tr w:rsidR="00424987" w:rsidRPr="00DA7D3C" w14:paraId="524B957A" w14:textId="77777777" w:rsidTr="00DA7D3C">
        <w:trPr>
          <w:trHeight w:val="835"/>
        </w:trPr>
        <w:tc>
          <w:tcPr>
            <w:tcW w:w="0" w:type="auto"/>
            <w:tcBorders>
              <w:top w:val="nil"/>
              <w:left w:val="nil"/>
              <w:bottom w:val="nil"/>
              <w:right w:val="nil"/>
            </w:tcBorders>
            <w:vAlign w:val="center"/>
            <w:hideMark/>
          </w:tcPr>
          <w:p w14:paraId="76562182" w14:textId="77777777" w:rsidR="00424987" w:rsidRPr="00DA7D3C" w:rsidRDefault="00424987" w:rsidP="00424987">
            <w:pPr>
              <w:spacing w:after="0" w:line="240" w:lineRule="auto"/>
              <w:jc w:val="center"/>
              <w:rPr>
                <w:rFonts w:ascii="Arial" w:eastAsia="Times New Roman" w:hAnsi="Arial" w:cs="Arial"/>
              </w:rPr>
            </w:pPr>
            <w:r w:rsidRPr="00DA7D3C">
              <w:rPr>
                <w:rFonts w:ascii="Arial" w:eastAsia="Times New Roman" w:hAnsi="Arial" w:cs="Arial"/>
              </w:rPr>
              <w:t>Marriott International</w:t>
            </w:r>
          </w:p>
        </w:tc>
        <w:tc>
          <w:tcPr>
            <w:tcW w:w="0" w:type="auto"/>
            <w:tcBorders>
              <w:top w:val="nil"/>
              <w:left w:val="nil"/>
              <w:bottom w:val="nil"/>
              <w:right w:val="nil"/>
            </w:tcBorders>
            <w:vAlign w:val="center"/>
            <w:hideMark/>
          </w:tcPr>
          <w:p w14:paraId="61507E59"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358</w:t>
            </w:r>
          </w:p>
        </w:tc>
        <w:tc>
          <w:tcPr>
            <w:tcW w:w="0" w:type="auto"/>
            <w:tcBorders>
              <w:top w:val="nil"/>
              <w:left w:val="nil"/>
              <w:bottom w:val="nil"/>
              <w:right w:val="nil"/>
            </w:tcBorders>
            <w:vAlign w:val="center"/>
            <w:hideMark/>
          </w:tcPr>
          <w:p w14:paraId="680BFB90"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w:t>
            </w:r>
          </w:p>
        </w:tc>
        <w:tc>
          <w:tcPr>
            <w:tcW w:w="0" w:type="auto"/>
            <w:tcBorders>
              <w:top w:val="nil"/>
              <w:left w:val="nil"/>
              <w:bottom w:val="nil"/>
              <w:right w:val="nil"/>
            </w:tcBorders>
            <w:vAlign w:val="center"/>
            <w:hideMark/>
          </w:tcPr>
          <w:p w14:paraId="2EBEBE59"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2,909</w:t>
            </w:r>
          </w:p>
        </w:tc>
        <w:tc>
          <w:tcPr>
            <w:tcW w:w="0" w:type="auto"/>
            <w:tcBorders>
              <w:top w:val="nil"/>
              <w:left w:val="nil"/>
              <w:bottom w:val="nil"/>
              <w:right w:val="nil"/>
            </w:tcBorders>
            <w:vAlign w:val="center"/>
            <w:hideMark/>
          </w:tcPr>
          <w:p w14:paraId="6699198C"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3,584</w:t>
            </w:r>
          </w:p>
        </w:tc>
        <w:tc>
          <w:tcPr>
            <w:tcW w:w="0" w:type="auto"/>
            <w:tcBorders>
              <w:top w:val="nil"/>
              <w:left w:val="nil"/>
              <w:bottom w:val="nil"/>
              <w:right w:val="nil"/>
            </w:tcBorders>
            <w:vAlign w:val="center"/>
            <w:hideMark/>
          </w:tcPr>
          <w:p w14:paraId="1A75F910"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8,398</w:t>
            </w:r>
          </w:p>
        </w:tc>
        <w:tc>
          <w:tcPr>
            <w:tcW w:w="0" w:type="auto"/>
            <w:tcBorders>
              <w:top w:val="nil"/>
              <w:left w:val="nil"/>
              <w:bottom w:val="nil"/>
              <w:right w:val="nil"/>
            </w:tcBorders>
            <w:vAlign w:val="center"/>
            <w:hideMark/>
          </w:tcPr>
          <w:p w14:paraId="3AE08F30"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0.43x</w:t>
            </w:r>
          </w:p>
        </w:tc>
        <w:tc>
          <w:tcPr>
            <w:tcW w:w="0" w:type="auto"/>
            <w:tcBorders>
              <w:top w:val="nil"/>
              <w:left w:val="nil"/>
              <w:bottom w:val="nil"/>
              <w:right w:val="nil"/>
            </w:tcBorders>
            <w:vAlign w:val="center"/>
            <w:hideMark/>
          </w:tcPr>
          <w:p w14:paraId="53E1FD00"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0.39x</w:t>
            </w:r>
          </w:p>
        </w:tc>
        <w:tc>
          <w:tcPr>
            <w:tcW w:w="692" w:type="dxa"/>
            <w:tcBorders>
              <w:top w:val="nil"/>
              <w:left w:val="nil"/>
              <w:bottom w:val="nil"/>
              <w:right w:val="nil"/>
            </w:tcBorders>
            <w:vAlign w:val="center"/>
            <w:hideMark/>
          </w:tcPr>
          <w:p w14:paraId="1FB3DDAA"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0.04x</w:t>
            </w:r>
          </w:p>
        </w:tc>
      </w:tr>
      <w:tr w:rsidR="00424987" w:rsidRPr="00DA7D3C" w14:paraId="3B02E094" w14:textId="77777777" w:rsidTr="00DA7D3C">
        <w:trPr>
          <w:trHeight w:val="835"/>
        </w:trPr>
        <w:tc>
          <w:tcPr>
            <w:tcW w:w="0" w:type="auto"/>
            <w:tcBorders>
              <w:top w:val="nil"/>
              <w:left w:val="nil"/>
              <w:bottom w:val="nil"/>
              <w:right w:val="nil"/>
            </w:tcBorders>
            <w:vAlign w:val="center"/>
            <w:hideMark/>
          </w:tcPr>
          <w:p w14:paraId="38B2578A" w14:textId="77777777" w:rsidR="00424987" w:rsidRPr="00DA7D3C" w:rsidRDefault="00424987" w:rsidP="00424987">
            <w:pPr>
              <w:spacing w:after="0" w:line="240" w:lineRule="auto"/>
              <w:jc w:val="center"/>
              <w:rPr>
                <w:rFonts w:ascii="Arial" w:eastAsia="Times New Roman" w:hAnsi="Arial" w:cs="Arial"/>
              </w:rPr>
            </w:pPr>
            <w:r w:rsidRPr="00DA7D3C">
              <w:rPr>
                <w:rFonts w:ascii="Arial" w:eastAsia="Times New Roman" w:hAnsi="Arial" w:cs="Arial"/>
              </w:rPr>
              <w:t>Wyndham Hotels &amp; Resorts</w:t>
            </w:r>
          </w:p>
        </w:tc>
        <w:tc>
          <w:tcPr>
            <w:tcW w:w="0" w:type="auto"/>
            <w:tcBorders>
              <w:top w:val="nil"/>
              <w:left w:val="nil"/>
              <w:bottom w:val="nil"/>
              <w:right w:val="nil"/>
            </w:tcBorders>
            <w:vAlign w:val="center"/>
            <w:hideMark/>
          </w:tcPr>
          <w:p w14:paraId="2CD52A64"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64</w:t>
            </w:r>
          </w:p>
        </w:tc>
        <w:tc>
          <w:tcPr>
            <w:tcW w:w="0" w:type="auto"/>
            <w:tcBorders>
              <w:top w:val="nil"/>
              <w:left w:val="nil"/>
              <w:bottom w:val="nil"/>
              <w:right w:val="nil"/>
            </w:tcBorders>
            <w:vAlign w:val="center"/>
            <w:hideMark/>
          </w:tcPr>
          <w:p w14:paraId="08C80F54"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w:t>
            </w:r>
          </w:p>
        </w:tc>
        <w:tc>
          <w:tcPr>
            <w:tcW w:w="0" w:type="auto"/>
            <w:tcBorders>
              <w:top w:val="nil"/>
              <w:left w:val="nil"/>
              <w:bottom w:val="nil"/>
              <w:right w:val="nil"/>
            </w:tcBorders>
            <w:vAlign w:val="center"/>
            <w:hideMark/>
          </w:tcPr>
          <w:p w14:paraId="7E00CA8D"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291</w:t>
            </w:r>
          </w:p>
        </w:tc>
        <w:tc>
          <w:tcPr>
            <w:tcW w:w="0" w:type="auto"/>
            <w:tcBorders>
              <w:top w:val="nil"/>
              <w:left w:val="nil"/>
              <w:bottom w:val="nil"/>
              <w:right w:val="nil"/>
            </w:tcBorders>
            <w:vAlign w:val="center"/>
            <w:hideMark/>
          </w:tcPr>
          <w:p w14:paraId="7F677689"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435</w:t>
            </w:r>
          </w:p>
        </w:tc>
        <w:tc>
          <w:tcPr>
            <w:tcW w:w="0" w:type="auto"/>
            <w:tcBorders>
              <w:top w:val="nil"/>
              <w:left w:val="nil"/>
              <w:bottom w:val="nil"/>
              <w:right w:val="nil"/>
            </w:tcBorders>
            <w:vAlign w:val="center"/>
            <w:hideMark/>
          </w:tcPr>
          <w:p w14:paraId="3F3B5497"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507</w:t>
            </w:r>
          </w:p>
        </w:tc>
        <w:tc>
          <w:tcPr>
            <w:tcW w:w="0" w:type="auto"/>
            <w:tcBorders>
              <w:top w:val="nil"/>
              <w:left w:val="nil"/>
              <w:bottom w:val="nil"/>
              <w:right w:val="nil"/>
            </w:tcBorders>
            <w:vAlign w:val="center"/>
            <w:hideMark/>
          </w:tcPr>
          <w:p w14:paraId="6228F135"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0.86x</w:t>
            </w:r>
          </w:p>
        </w:tc>
        <w:tc>
          <w:tcPr>
            <w:tcW w:w="0" w:type="auto"/>
            <w:tcBorders>
              <w:top w:val="nil"/>
              <w:left w:val="nil"/>
              <w:bottom w:val="nil"/>
              <w:right w:val="nil"/>
            </w:tcBorders>
            <w:vAlign w:val="center"/>
            <w:hideMark/>
          </w:tcPr>
          <w:p w14:paraId="57BA5B9D"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0.70x</w:t>
            </w:r>
          </w:p>
        </w:tc>
        <w:tc>
          <w:tcPr>
            <w:tcW w:w="692" w:type="dxa"/>
            <w:tcBorders>
              <w:top w:val="nil"/>
              <w:left w:val="nil"/>
              <w:bottom w:val="nil"/>
              <w:right w:val="nil"/>
            </w:tcBorders>
            <w:vAlign w:val="center"/>
            <w:hideMark/>
          </w:tcPr>
          <w:p w14:paraId="23597C50"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0.13x</w:t>
            </w:r>
          </w:p>
        </w:tc>
      </w:tr>
      <w:tr w:rsidR="00424987" w:rsidRPr="00DA7D3C" w14:paraId="7F48F30D" w14:textId="77777777" w:rsidTr="00DA7D3C">
        <w:trPr>
          <w:trHeight w:val="835"/>
        </w:trPr>
        <w:tc>
          <w:tcPr>
            <w:tcW w:w="0" w:type="auto"/>
            <w:tcBorders>
              <w:top w:val="nil"/>
              <w:left w:val="nil"/>
              <w:bottom w:val="nil"/>
              <w:right w:val="nil"/>
            </w:tcBorders>
            <w:vAlign w:val="center"/>
            <w:hideMark/>
          </w:tcPr>
          <w:p w14:paraId="786E6D99" w14:textId="77777777" w:rsidR="00424987" w:rsidRPr="00DA7D3C" w:rsidRDefault="00424987" w:rsidP="00424987">
            <w:pPr>
              <w:spacing w:after="0" w:line="240" w:lineRule="auto"/>
              <w:jc w:val="center"/>
              <w:rPr>
                <w:rFonts w:ascii="Arial" w:eastAsia="Times New Roman" w:hAnsi="Arial" w:cs="Arial"/>
              </w:rPr>
            </w:pPr>
            <w:r w:rsidRPr="00DA7D3C">
              <w:rPr>
                <w:rFonts w:ascii="Arial" w:eastAsia="Times New Roman" w:hAnsi="Arial" w:cs="Arial"/>
              </w:rPr>
              <w:t>Choice Hotels International</w:t>
            </w:r>
          </w:p>
        </w:tc>
        <w:tc>
          <w:tcPr>
            <w:tcW w:w="0" w:type="auto"/>
            <w:tcBorders>
              <w:top w:val="nil"/>
              <w:left w:val="nil"/>
              <w:bottom w:val="nil"/>
              <w:right w:val="nil"/>
            </w:tcBorders>
            <w:vAlign w:val="center"/>
            <w:hideMark/>
          </w:tcPr>
          <w:p w14:paraId="3F6F6CA2"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45</w:t>
            </w:r>
          </w:p>
        </w:tc>
        <w:tc>
          <w:tcPr>
            <w:tcW w:w="0" w:type="auto"/>
            <w:tcBorders>
              <w:top w:val="nil"/>
              <w:left w:val="nil"/>
              <w:bottom w:val="nil"/>
              <w:right w:val="nil"/>
            </w:tcBorders>
            <w:vAlign w:val="center"/>
            <w:hideMark/>
          </w:tcPr>
          <w:p w14:paraId="30A76BFA"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w:t>
            </w:r>
          </w:p>
        </w:tc>
        <w:tc>
          <w:tcPr>
            <w:tcW w:w="0" w:type="auto"/>
            <w:tcBorders>
              <w:top w:val="nil"/>
              <w:left w:val="nil"/>
              <w:bottom w:val="nil"/>
              <w:right w:val="nil"/>
            </w:tcBorders>
            <w:vAlign w:val="center"/>
            <w:hideMark/>
          </w:tcPr>
          <w:p w14:paraId="21E62998"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316</w:t>
            </w:r>
          </w:p>
        </w:tc>
        <w:tc>
          <w:tcPr>
            <w:tcW w:w="0" w:type="auto"/>
            <w:tcBorders>
              <w:top w:val="nil"/>
              <w:left w:val="nil"/>
              <w:bottom w:val="nil"/>
              <w:right w:val="nil"/>
            </w:tcBorders>
            <w:vAlign w:val="center"/>
            <w:hideMark/>
          </w:tcPr>
          <w:p w14:paraId="15D6628B"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406</w:t>
            </w:r>
          </w:p>
        </w:tc>
        <w:tc>
          <w:tcPr>
            <w:tcW w:w="0" w:type="auto"/>
            <w:tcBorders>
              <w:top w:val="nil"/>
              <w:left w:val="nil"/>
              <w:bottom w:val="nil"/>
              <w:right w:val="nil"/>
            </w:tcBorders>
            <w:vAlign w:val="center"/>
            <w:hideMark/>
          </w:tcPr>
          <w:p w14:paraId="5C8F3C6C"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467</w:t>
            </w:r>
          </w:p>
        </w:tc>
        <w:tc>
          <w:tcPr>
            <w:tcW w:w="0" w:type="auto"/>
            <w:tcBorders>
              <w:top w:val="nil"/>
              <w:left w:val="nil"/>
              <w:bottom w:val="nil"/>
              <w:right w:val="nil"/>
            </w:tcBorders>
            <w:vAlign w:val="center"/>
            <w:hideMark/>
          </w:tcPr>
          <w:p w14:paraId="7E0DD179"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0.87x</w:t>
            </w:r>
          </w:p>
        </w:tc>
        <w:tc>
          <w:tcPr>
            <w:tcW w:w="0" w:type="auto"/>
            <w:tcBorders>
              <w:top w:val="nil"/>
              <w:left w:val="nil"/>
              <w:bottom w:val="nil"/>
              <w:right w:val="nil"/>
            </w:tcBorders>
            <w:vAlign w:val="center"/>
            <w:hideMark/>
          </w:tcPr>
          <w:p w14:paraId="732A11C7"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0.77x</w:t>
            </w:r>
          </w:p>
        </w:tc>
        <w:tc>
          <w:tcPr>
            <w:tcW w:w="692" w:type="dxa"/>
            <w:tcBorders>
              <w:top w:val="nil"/>
              <w:left w:val="nil"/>
              <w:bottom w:val="nil"/>
              <w:right w:val="nil"/>
            </w:tcBorders>
            <w:vAlign w:val="center"/>
            <w:hideMark/>
          </w:tcPr>
          <w:p w14:paraId="2FF90531" w14:textId="77777777" w:rsidR="00424987" w:rsidRPr="002C17CC" w:rsidRDefault="00424987" w:rsidP="00424987">
            <w:pPr>
              <w:spacing w:after="0" w:line="240" w:lineRule="auto"/>
              <w:jc w:val="center"/>
              <w:rPr>
                <w:rFonts w:ascii="Arial" w:eastAsia="Times New Roman" w:hAnsi="Arial" w:cs="Arial"/>
                <w:color w:val="000000" w:themeColor="text1"/>
              </w:rPr>
            </w:pPr>
            <w:r w:rsidRPr="002C17CC">
              <w:rPr>
                <w:rFonts w:ascii="Arial" w:eastAsia="Times New Roman" w:hAnsi="Arial" w:cs="Arial"/>
                <w:color w:val="000000" w:themeColor="text1"/>
              </w:rPr>
              <w:t>0.10x</w:t>
            </w:r>
          </w:p>
        </w:tc>
      </w:tr>
      <w:tr w:rsidR="00424987" w:rsidRPr="00DA7D3C" w14:paraId="06CA965E" w14:textId="77777777" w:rsidTr="00DA7D3C">
        <w:trPr>
          <w:trHeight w:val="835"/>
        </w:trPr>
        <w:tc>
          <w:tcPr>
            <w:tcW w:w="0" w:type="auto"/>
            <w:tcBorders>
              <w:top w:val="nil"/>
              <w:left w:val="nil"/>
              <w:bottom w:val="nil"/>
              <w:right w:val="nil"/>
            </w:tcBorders>
            <w:shd w:val="clear" w:color="000000" w:fill="FFF2CC"/>
            <w:vAlign w:val="center"/>
            <w:hideMark/>
          </w:tcPr>
          <w:p w14:paraId="2CA13A27" w14:textId="77777777" w:rsidR="00424987" w:rsidRPr="00DA7D3C" w:rsidRDefault="00424987" w:rsidP="00424987">
            <w:pPr>
              <w:spacing w:after="0" w:line="240" w:lineRule="auto"/>
              <w:jc w:val="center"/>
              <w:rPr>
                <w:rFonts w:ascii="Arial" w:eastAsia="Times New Roman" w:hAnsi="Arial" w:cs="Arial"/>
                <w:b/>
                <w:bCs/>
                <w:color w:val="000000"/>
              </w:rPr>
            </w:pPr>
            <w:r w:rsidRPr="00DA7D3C">
              <w:rPr>
                <w:rFonts w:ascii="Arial" w:eastAsia="Times New Roman" w:hAnsi="Arial" w:cs="Arial"/>
                <w:b/>
                <w:bCs/>
                <w:color w:val="000000"/>
              </w:rPr>
              <w:t>Peer median</w:t>
            </w:r>
          </w:p>
        </w:tc>
        <w:tc>
          <w:tcPr>
            <w:tcW w:w="0" w:type="auto"/>
            <w:tcBorders>
              <w:top w:val="nil"/>
              <w:left w:val="nil"/>
              <w:bottom w:val="nil"/>
              <w:right w:val="nil"/>
            </w:tcBorders>
            <w:shd w:val="clear" w:color="000000" w:fill="FFF2CC"/>
            <w:vAlign w:val="center"/>
            <w:hideMark/>
          </w:tcPr>
          <w:p w14:paraId="4040AA88" w14:textId="5B1A4F18" w:rsidR="00424987" w:rsidRPr="00DA7D3C" w:rsidRDefault="00424987" w:rsidP="00424987">
            <w:pPr>
              <w:spacing w:after="0" w:line="240" w:lineRule="auto"/>
              <w:jc w:val="center"/>
              <w:rPr>
                <w:rFonts w:ascii="Arial" w:eastAsia="Times New Roman" w:hAnsi="Arial" w:cs="Arial"/>
                <w:b/>
                <w:bCs/>
                <w:color w:val="000000"/>
              </w:rPr>
            </w:pPr>
          </w:p>
        </w:tc>
        <w:tc>
          <w:tcPr>
            <w:tcW w:w="0" w:type="auto"/>
            <w:tcBorders>
              <w:top w:val="nil"/>
              <w:left w:val="nil"/>
              <w:bottom w:val="nil"/>
              <w:right w:val="nil"/>
            </w:tcBorders>
            <w:shd w:val="clear" w:color="000000" w:fill="FFF2CC"/>
            <w:vAlign w:val="center"/>
            <w:hideMark/>
          </w:tcPr>
          <w:p w14:paraId="0BDAFE5F" w14:textId="1B592530" w:rsidR="00424987" w:rsidRPr="00DA7D3C" w:rsidRDefault="00424987" w:rsidP="00424987">
            <w:pPr>
              <w:spacing w:after="0" w:line="240" w:lineRule="auto"/>
              <w:jc w:val="center"/>
              <w:rPr>
                <w:rFonts w:ascii="Arial" w:eastAsia="Times New Roman" w:hAnsi="Arial" w:cs="Arial"/>
                <w:b/>
                <w:bCs/>
                <w:color w:val="000000"/>
              </w:rPr>
            </w:pPr>
          </w:p>
        </w:tc>
        <w:tc>
          <w:tcPr>
            <w:tcW w:w="0" w:type="auto"/>
            <w:tcBorders>
              <w:top w:val="nil"/>
              <w:left w:val="nil"/>
              <w:bottom w:val="nil"/>
              <w:right w:val="nil"/>
            </w:tcBorders>
            <w:shd w:val="clear" w:color="000000" w:fill="FFF2CC"/>
            <w:vAlign w:val="center"/>
            <w:hideMark/>
          </w:tcPr>
          <w:p w14:paraId="6B5D499E" w14:textId="45F45145" w:rsidR="00424987" w:rsidRPr="00DA7D3C" w:rsidRDefault="00424987" w:rsidP="00424987">
            <w:pPr>
              <w:spacing w:after="0" w:line="240" w:lineRule="auto"/>
              <w:jc w:val="center"/>
              <w:rPr>
                <w:rFonts w:ascii="Arial" w:eastAsia="Times New Roman" w:hAnsi="Arial" w:cs="Arial"/>
                <w:b/>
                <w:bCs/>
                <w:color w:val="000000"/>
              </w:rPr>
            </w:pPr>
          </w:p>
        </w:tc>
        <w:tc>
          <w:tcPr>
            <w:tcW w:w="0" w:type="auto"/>
            <w:tcBorders>
              <w:top w:val="nil"/>
              <w:left w:val="nil"/>
              <w:bottom w:val="nil"/>
              <w:right w:val="nil"/>
            </w:tcBorders>
            <w:shd w:val="clear" w:color="000000" w:fill="FFF2CC"/>
            <w:vAlign w:val="center"/>
            <w:hideMark/>
          </w:tcPr>
          <w:p w14:paraId="74DE1AB2" w14:textId="48DE8BB3" w:rsidR="00424987" w:rsidRPr="00DA7D3C" w:rsidRDefault="00424987" w:rsidP="00424987">
            <w:pPr>
              <w:spacing w:after="0" w:line="240" w:lineRule="auto"/>
              <w:jc w:val="center"/>
              <w:rPr>
                <w:rFonts w:ascii="Arial" w:eastAsia="Times New Roman" w:hAnsi="Arial" w:cs="Arial"/>
                <w:b/>
                <w:bCs/>
                <w:color w:val="000000"/>
              </w:rPr>
            </w:pPr>
          </w:p>
        </w:tc>
        <w:tc>
          <w:tcPr>
            <w:tcW w:w="0" w:type="auto"/>
            <w:tcBorders>
              <w:top w:val="nil"/>
              <w:left w:val="nil"/>
              <w:bottom w:val="nil"/>
              <w:right w:val="nil"/>
            </w:tcBorders>
            <w:shd w:val="clear" w:color="000000" w:fill="FFF2CC"/>
            <w:vAlign w:val="center"/>
            <w:hideMark/>
          </w:tcPr>
          <w:p w14:paraId="07B318E0" w14:textId="1CA21E62" w:rsidR="00424987" w:rsidRPr="00DA7D3C" w:rsidRDefault="00424987" w:rsidP="00424987">
            <w:pPr>
              <w:spacing w:after="0" w:line="240" w:lineRule="auto"/>
              <w:jc w:val="center"/>
              <w:rPr>
                <w:rFonts w:ascii="Arial" w:eastAsia="Times New Roman" w:hAnsi="Arial" w:cs="Arial"/>
                <w:b/>
                <w:bCs/>
                <w:color w:val="000000"/>
              </w:rPr>
            </w:pPr>
          </w:p>
        </w:tc>
        <w:tc>
          <w:tcPr>
            <w:tcW w:w="0" w:type="auto"/>
            <w:tcBorders>
              <w:top w:val="nil"/>
              <w:left w:val="nil"/>
              <w:bottom w:val="nil"/>
              <w:right w:val="nil"/>
            </w:tcBorders>
            <w:shd w:val="clear" w:color="000000" w:fill="FFF2CC"/>
            <w:vAlign w:val="center"/>
            <w:hideMark/>
          </w:tcPr>
          <w:p w14:paraId="7CCE06BD" w14:textId="77777777" w:rsidR="00424987" w:rsidRPr="00DA7D3C" w:rsidRDefault="00424987" w:rsidP="00424987">
            <w:pPr>
              <w:spacing w:after="0" w:line="240" w:lineRule="auto"/>
              <w:jc w:val="center"/>
              <w:rPr>
                <w:rFonts w:ascii="Arial" w:eastAsia="Times New Roman" w:hAnsi="Arial" w:cs="Arial"/>
                <w:b/>
                <w:bCs/>
                <w:color w:val="000000"/>
              </w:rPr>
            </w:pPr>
            <w:r w:rsidRPr="00DA7D3C">
              <w:rPr>
                <w:rFonts w:ascii="Arial" w:eastAsia="Times New Roman" w:hAnsi="Arial" w:cs="Arial"/>
                <w:b/>
                <w:bCs/>
                <w:color w:val="000000"/>
              </w:rPr>
              <w:t>0.86x</w:t>
            </w:r>
          </w:p>
        </w:tc>
        <w:tc>
          <w:tcPr>
            <w:tcW w:w="0" w:type="auto"/>
            <w:tcBorders>
              <w:top w:val="nil"/>
              <w:left w:val="nil"/>
              <w:bottom w:val="nil"/>
              <w:right w:val="nil"/>
            </w:tcBorders>
            <w:shd w:val="clear" w:color="000000" w:fill="FFF2CC"/>
            <w:vAlign w:val="center"/>
            <w:hideMark/>
          </w:tcPr>
          <w:p w14:paraId="06E577CD" w14:textId="77777777" w:rsidR="00424987" w:rsidRPr="00DA7D3C" w:rsidRDefault="00424987" w:rsidP="00424987">
            <w:pPr>
              <w:spacing w:after="0" w:line="240" w:lineRule="auto"/>
              <w:jc w:val="center"/>
              <w:rPr>
                <w:rFonts w:ascii="Arial" w:eastAsia="Times New Roman" w:hAnsi="Arial" w:cs="Arial"/>
                <w:b/>
                <w:bCs/>
                <w:color w:val="000000"/>
              </w:rPr>
            </w:pPr>
            <w:r w:rsidRPr="00DA7D3C">
              <w:rPr>
                <w:rFonts w:ascii="Arial" w:eastAsia="Times New Roman" w:hAnsi="Arial" w:cs="Arial"/>
                <w:b/>
                <w:bCs/>
                <w:color w:val="000000"/>
              </w:rPr>
              <w:t>0.70x</w:t>
            </w:r>
          </w:p>
        </w:tc>
        <w:tc>
          <w:tcPr>
            <w:tcW w:w="692" w:type="dxa"/>
            <w:tcBorders>
              <w:top w:val="nil"/>
              <w:left w:val="nil"/>
              <w:bottom w:val="nil"/>
              <w:right w:val="nil"/>
            </w:tcBorders>
            <w:shd w:val="clear" w:color="000000" w:fill="FFF2CC"/>
            <w:vAlign w:val="center"/>
            <w:hideMark/>
          </w:tcPr>
          <w:p w14:paraId="2C319FC2" w14:textId="77777777" w:rsidR="00424987" w:rsidRPr="00DA7D3C" w:rsidRDefault="00424987" w:rsidP="00424987">
            <w:pPr>
              <w:spacing w:after="0" w:line="240" w:lineRule="auto"/>
              <w:jc w:val="center"/>
              <w:rPr>
                <w:rFonts w:ascii="Arial" w:eastAsia="Times New Roman" w:hAnsi="Arial" w:cs="Arial"/>
                <w:b/>
                <w:bCs/>
                <w:color w:val="000000"/>
              </w:rPr>
            </w:pPr>
            <w:r w:rsidRPr="00DA7D3C">
              <w:rPr>
                <w:rFonts w:ascii="Arial" w:eastAsia="Times New Roman" w:hAnsi="Arial" w:cs="Arial"/>
                <w:b/>
                <w:bCs/>
                <w:color w:val="000000"/>
              </w:rPr>
              <w:t>0.10x</w:t>
            </w:r>
          </w:p>
        </w:tc>
      </w:tr>
    </w:tbl>
    <w:p w14:paraId="68C9057A" w14:textId="77777777" w:rsidR="00424987" w:rsidRDefault="00424987" w:rsidP="00424987"/>
    <w:p w14:paraId="6C727E29" w14:textId="500881D3" w:rsidR="00424987" w:rsidRPr="00424987" w:rsidRDefault="00424987" w:rsidP="00424987">
      <w:r>
        <w:rPr>
          <w:noProof/>
        </w:rPr>
        <w:lastRenderedPageBreak/>
        <w:drawing>
          <wp:inline distT="0" distB="0" distL="0" distR="0" wp14:anchorId="71695198" wp14:editId="603E841F">
            <wp:extent cx="6124575" cy="4048125"/>
            <wp:effectExtent l="0" t="0" r="9525" b="9525"/>
            <wp:docPr id="1398641644" name="Chart 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6B2D9253" w14:textId="4C95F3B2" w:rsidR="001A773C" w:rsidRDefault="00424987" w:rsidP="00424987">
      <w:pPr>
        <w:pStyle w:val="Heading2"/>
      </w:pPr>
      <w:bookmarkStart w:id="36" w:name="_Toc235694645"/>
      <w:r>
        <w:t>Appendix D: Graphical Representations</w:t>
      </w:r>
      <w:bookmarkEnd w:id="36"/>
    </w:p>
    <w:p w14:paraId="571AC9E4" w14:textId="7CE05B18" w:rsidR="00424987" w:rsidRDefault="00424987" w:rsidP="00424987">
      <w:pPr>
        <w:spacing w:line="360" w:lineRule="auto"/>
        <w:jc w:val="both"/>
        <w:rPr>
          <w:rFonts w:ascii="Arial" w:hAnsi="Arial" w:cs="Arial"/>
          <w:sz w:val="24"/>
          <w:szCs w:val="24"/>
        </w:rPr>
      </w:pPr>
      <w:r>
        <w:rPr>
          <w:noProof/>
        </w:rPr>
        <w:drawing>
          <wp:inline distT="0" distB="0" distL="0" distR="0" wp14:anchorId="4613A4ED" wp14:editId="7ED61BB1">
            <wp:extent cx="5947719" cy="3888260"/>
            <wp:effectExtent l="0" t="0" r="15240" b="17145"/>
            <wp:docPr id="928559144"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06E667FB" w14:textId="77CB6F44" w:rsidR="00424987" w:rsidRDefault="00424987" w:rsidP="00424987">
      <w:pPr>
        <w:spacing w:line="360" w:lineRule="auto"/>
        <w:jc w:val="both"/>
        <w:rPr>
          <w:rFonts w:ascii="Arial" w:hAnsi="Arial" w:cs="Arial"/>
          <w:sz w:val="24"/>
          <w:szCs w:val="24"/>
        </w:rPr>
      </w:pPr>
      <w:r>
        <w:rPr>
          <w:noProof/>
        </w:rPr>
        <w:lastRenderedPageBreak/>
        <w:drawing>
          <wp:inline distT="0" distB="0" distL="0" distR="0" wp14:anchorId="527882B5" wp14:editId="179AD871">
            <wp:extent cx="5955665" cy="3845859"/>
            <wp:effectExtent l="0" t="0" r="6985" b="2540"/>
            <wp:docPr id="194101329" name="Chart 1">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16692AA" w14:textId="5FFB3000" w:rsidR="00424987" w:rsidRDefault="00424987" w:rsidP="00424987">
      <w:pPr>
        <w:spacing w:line="360" w:lineRule="auto"/>
        <w:jc w:val="both"/>
        <w:rPr>
          <w:rFonts w:ascii="Arial" w:hAnsi="Arial" w:cs="Arial"/>
          <w:sz w:val="24"/>
          <w:szCs w:val="24"/>
        </w:rPr>
      </w:pPr>
      <w:r>
        <w:rPr>
          <w:noProof/>
        </w:rPr>
        <w:drawing>
          <wp:inline distT="0" distB="0" distL="0" distR="0" wp14:anchorId="426D57A0" wp14:editId="3A3FD399">
            <wp:extent cx="6005384" cy="4349578"/>
            <wp:effectExtent l="0" t="0" r="14605" b="13335"/>
            <wp:docPr id="131631198" name="Chart 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55439AE" w14:textId="6249B4CF" w:rsidR="00424987" w:rsidRDefault="00424987" w:rsidP="00424987">
      <w:pPr>
        <w:spacing w:line="360" w:lineRule="auto"/>
        <w:jc w:val="both"/>
        <w:rPr>
          <w:rFonts w:ascii="Arial" w:hAnsi="Arial" w:cs="Arial"/>
          <w:sz w:val="24"/>
          <w:szCs w:val="24"/>
        </w:rPr>
      </w:pPr>
      <w:r>
        <w:rPr>
          <w:noProof/>
        </w:rPr>
        <w:lastRenderedPageBreak/>
        <w:drawing>
          <wp:inline distT="0" distB="0" distL="0" distR="0" wp14:anchorId="40AA6462" wp14:editId="40E43021">
            <wp:extent cx="6170141" cy="3674076"/>
            <wp:effectExtent l="0" t="0" r="2540" b="3175"/>
            <wp:docPr id="390995482" name="Chart 1">
              <a:extLst xmlns:a="http://schemas.openxmlformats.org/drawingml/2006/main">
                <a:ext uri="{FF2B5EF4-FFF2-40B4-BE49-F238E27FC236}">
                  <a16:creationId xmlns:a16="http://schemas.microsoft.com/office/drawing/2014/main" id="{00000000-0008-0000-00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9F54F14" w14:textId="6900A3DF" w:rsidR="00424987" w:rsidRDefault="00424987" w:rsidP="00424987">
      <w:pPr>
        <w:spacing w:line="360" w:lineRule="auto"/>
        <w:jc w:val="both"/>
        <w:rPr>
          <w:rFonts w:ascii="Arial" w:hAnsi="Arial" w:cs="Arial"/>
          <w:sz w:val="24"/>
          <w:szCs w:val="24"/>
        </w:rPr>
      </w:pPr>
      <w:r>
        <w:rPr>
          <w:noProof/>
        </w:rPr>
        <w:drawing>
          <wp:inline distT="0" distB="0" distL="0" distR="0" wp14:anchorId="589B85E4" wp14:editId="7C3A5F04">
            <wp:extent cx="5939481" cy="4143632"/>
            <wp:effectExtent l="0" t="0" r="4445" b="9525"/>
            <wp:docPr id="1552180223" name="Chart 1">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24B8F3EC" w14:textId="672C0F8D" w:rsidR="00424987" w:rsidRDefault="00424987" w:rsidP="00424987">
      <w:pPr>
        <w:spacing w:line="360" w:lineRule="auto"/>
        <w:jc w:val="both"/>
        <w:rPr>
          <w:rFonts w:ascii="Arial" w:hAnsi="Arial" w:cs="Arial"/>
          <w:sz w:val="24"/>
          <w:szCs w:val="24"/>
        </w:rPr>
      </w:pPr>
      <w:r>
        <w:rPr>
          <w:noProof/>
        </w:rPr>
        <w:lastRenderedPageBreak/>
        <w:drawing>
          <wp:inline distT="0" distB="0" distL="0" distR="0" wp14:anchorId="205D7BC7" wp14:editId="04B14DBA">
            <wp:extent cx="5890054" cy="3698789"/>
            <wp:effectExtent l="0" t="0" r="15875" b="16510"/>
            <wp:docPr id="1453139336" name="Chart 1">
              <a:extLst xmlns:a="http://schemas.openxmlformats.org/drawingml/2006/main">
                <a:ext uri="{FF2B5EF4-FFF2-40B4-BE49-F238E27FC236}">
                  <a16:creationId xmlns:a16="http://schemas.microsoft.com/office/drawing/2014/main" id="{00000000-0008-0000-00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337F3B2" w14:textId="74082D11" w:rsidR="009B3040" w:rsidRPr="003E2392" w:rsidRDefault="009B3040" w:rsidP="009B3040">
      <w:pPr>
        <w:pStyle w:val="Heading2"/>
        <w:numPr>
          <w:ilvl w:val="1"/>
          <w:numId w:val="2"/>
        </w:numPr>
        <w:spacing w:line="360" w:lineRule="auto"/>
        <w:rPr>
          <w:rFonts w:ascii="Arial" w:hAnsi="Arial" w:cs="Arial"/>
          <w:sz w:val="24"/>
          <w:szCs w:val="24"/>
        </w:rPr>
      </w:pPr>
      <w:bookmarkStart w:id="37" w:name="_Toc235694646"/>
      <w:r w:rsidRPr="003E2392">
        <w:rPr>
          <w:rFonts w:ascii="Arial" w:hAnsi="Arial" w:cs="Arial"/>
          <w:sz w:val="24"/>
          <w:szCs w:val="24"/>
        </w:rPr>
        <w:t xml:space="preserve">Appendix </w:t>
      </w:r>
      <w:r>
        <w:rPr>
          <w:rFonts w:ascii="Arial" w:hAnsi="Arial" w:cs="Arial"/>
          <w:sz w:val="24"/>
          <w:szCs w:val="24"/>
        </w:rPr>
        <w:t>E</w:t>
      </w:r>
      <w:r w:rsidRPr="003E2392">
        <w:rPr>
          <w:rFonts w:ascii="Arial" w:hAnsi="Arial" w:cs="Arial"/>
          <w:sz w:val="24"/>
          <w:szCs w:val="24"/>
        </w:rPr>
        <w:t>: Detailed Project Appraisal</w:t>
      </w:r>
      <w:bookmarkEnd w:id="37"/>
    </w:p>
    <w:tbl>
      <w:tblPr>
        <w:tblStyle w:val="TableGrid"/>
        <w:tblW w:w="0" w:type="auto"/>
        <w:jc w:val="center"/>
        <w:tblLook w:val="04A0" w:firstRow="1" w:lastRow="0" w:firstColumn="1" w:lastColumn="0" w:noHBand="0" w:noVBand="1"/>
      </w:tblPr>
      <w:tblGrid>
        <w:gridCol w:w="1611"/>
        <w:gridCol w:w="1286"/>
        <w:gridCol w:w="1286"/>
        <w:gridCol w:w="1261"/>
        <w:gridCol w:w="987"/>
        <w:gridCol w:w="856"/>
        <w:gridCol w:w="1729"/>
      </w:tblGrid>
      <w:tr w:rsidR="009B3040" w:rsidRPr="003E2392" w14:paraId="61195E23" w14:textId="77777777" w:rsidTr="00AA5684">
        <w:trPr>
          <w:jc w:val="center"/>
        </w:trPr>
        <w:tc>
          <w:tcPr>
            <w:tcW w:w="1336" w:type="dxa"/>
            <w:shd w:val="clear" w:color="auto" w:fill="17365D"/>
            <w:vAlign w:val="center"/>
          </w:tcPr>
          <w:p w14:paraId="248CC975"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Measure</w:t>
            </w:r>
          </w:p>
        </w:tc>
        <w:tc>
          <w:tcPr>
            <w:tcW w:w="1336" w:type="dxa"/>
            <w:shd w:val="clear" w:color="auto" w:fill="17365D"/>
            <w:vAlign w:val="center"/>
          </w:tcPr>
          <w:p w14:paraId="48196685"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Project A</w:t>
            </w:r>
          </w:p>
        </w:tc>
        <w:tc>
          <w:tcPr>
            <w:tcW w:w="1336" w:type="dxa"/>
            <w:shd w:val="clear" w:color="auto" w:fill="17365D"/>
            <w:vAlign w:val="center"/>
          </w:tcPr>
          <w:p w14:paraId="117ECE1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Project B</w:t>
            </w:r>
          </w:p>
        </w:tc>
        <w:tc>
          <w:tcPr>
            <w:tcW w:w="1336" w:type="dxa"/>
            <w:shd w:val="clear" w:color="auto" w:fill="17365D"/>
            <w:vAlign w:val="center"/>
          </w:tcPr>
          <w:p w14:paraId="48B41C2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Project C</w:t>
            </w:r>
          </w:p>
        </w:tc>
        <w:tc>
          <w:tcPr>
            <w:tcW w:w="1336" w:type="dxa"/>
            <w:shd w:val="clear" w:color="auto" w:fill="17365D"/>
            <w:vAlign w:val="center"/>
          </w:tcPr>
          <w:p w14:paraId="40A98E17"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Rule</w:t>
            </w:r>
          </w:p>
        </w:tc>
        <w:tc>
          <w:tcPr>
            <w:tcW w:w="1336" w:type="dxa"/>
            <w:shd w:val="clear" w:color="auto" w:fill="17365D"/>
            <w:vAlign w:val="center"/>
          </w:tcPr>
          <w:p w14:paraId="43BCD47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Best</w:t>
            </w:r>
          </w:p>
        </w:tc>
        <w:tc>
          <w:tcPr>
            <w:tcW w:w="1336" w:type="dxa"/>
            <w:shd w:val="clear" w:color="auto" w:fill="17365D"/>
            <w:vAlign w:val="center"/>
          </w:tcPr>
          <w:p w14:paraId="3E30618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Interpretation</w:t>
            </w:r>
          </w:p>
        </w:tc>
      </w:tr>
      <w:tr w:rsidR="009B3040" w:rsidRPr="003E2392" w14:paraId="7C65879F" w14:textId="77777777" w:rsidTr="00AA5684">
        <w:trPr>
          <w:jc w:val="center"/>
        </w:trPr>
        <w:tc>
          <w:tcPr>
            <w:tcW w:w="1336" w:type="dxa"/>
            <w:vAlign w:val="center"/>
          </w:tcPr>
          <w:p w14:paraId="253D6179"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Initial investment</w:t>
            </w:r>
          </w:p>
        </w:tc>
        <w:tc>
          <w:tcPr>
            <w:tcW w:w="1336" w:type="dxa"/>
            <w:vAlign w:val="center"/>
          </w:tcPr>
          <w:p w14:paraId="3ED122FE"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£50.000m</w:t>
            </w:r>
          </w:p>
        </w:tc>
        <w:tc>
          <w:tcPr>
            <w:tcW w:w="1336" w:type="dxa"/>
            <w:vAlign w:val="center"/>
          </w:tcPr>
          <w:p w14:paraId="78384169"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£50.000m</w:t>
            </w:r>
          </w:p>
        </w:tc>
        <w:tc>
          <w:tcPr>
            <w:tcW w:w="1336" w:type="dxa"/>
            <w:vAlign w:val="center"/>
          </w:tcPr>
          <w:p w14:paraId="213262DD"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£50.000m</w:t>
            </w:r>
          </w:p>
        </w:tc>
        <w:tc>
          <w:tcPr>
            <w:tcW w:w="1336" w:type="dxa"/>
            <w:vAlign w:val="center"/>
          </w:tcPr>
          <w:p w14:paraId="25078CB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Given</w:t>
            </w:r>
          </w:p>
        </w:tc>
        <w:tc>
          <w:tcPr>
            <w:tcW w:w="1336" w:type="dxa"/>
            <w:vAlign w:val="center"/>
          </w:tcPr>
          <w:p w14:paraId="2DAEB09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Equal</w:t>
            </w:r>
          </w:p>
        </w:tc>
        <w:tc>
          <w:tcPr>
            <w:tcW w:w="1336" w:type="dxa"/>
            <w:vAlign w:val="center"/>
          </w:tcPr>
          <w:p w14:paraId="21BA1FE0"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Identical capital outlay</w:t>
            </w:r>
          </w:p>
        </w:tc>
      </w:tr>
      <w:tr w:rsidR="009B3040" w:rsidRPr="003E2392" w14:paraId="27501329" w14:textId="77777777" w:rsidTr="00AA5684">
        <w:trPr>
          <w:jc w:val="center"/>
        </w:trPr>
        <w:tc>
          <w:tcPr>
            <w:tcW w:w="1336" w:type="dxa"/>
            <w:shd w:val="clear" w:color="auto" w:fill="E2F0D9"/>
            <w:vAlign w:val="center"/>
          </w:tcPr>
          <w:p w14:paraId="5E10E841"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Total inflows</w:t>
            </w:r>
          </w:p>
        </w:tc>
        <w:tc>
          <w:tcPr>
            <w:tcW w:w="1336" w:type="dxa"/>
            <w:shd w:val="clear" w:color="auto" w:fill="E2F0D9"/>
            <w:vAlign w:val="center"/>
          </w:tcPr>
          <w:p w14:paraId="49AAEB7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£54.000m</w:t>
            </w:r>
          </w:p>
        </w:tc>
        <w:tc>
          <w:tcPr>
            <w:tcW w:w="1336" w:type="dxa"/>
            <w:shd w:val="clear" w:color="auto" w:fill="E2F0D9"/>
            <w:vAlign w:val="center"/>
          </w:tcPr>
          <w:p w14:paraId="3D17221F"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£55.000m</w:t>
            </w:r>
          </w:p>
        </w:tc>
        <w:tc>
          <w:tcPr>
            <w:tcW w:w="1336" w:type="dxa"/>
            <w:shd w:val="clear" w:color="auto" w:fill="E2F0D9"/>
            <w:vAlign w:val="center"/>
          </w:tcPr>
          <w:p w14:paraId="3B84D175"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£65.000m</w:t>
            </w:r>
          </w:p>
        </w:tc>
        <w:tc>
          <w:tcPr>
            <w:tcW w:w="1336" w:type="dxa"/>
            <w:shd w:val="clear" w:color="auto" w:fill="E2F0D9"/>
            <w:vAlign w:val="center"/>
          </w:tcPr>
          <w:p w14:paraId="7164594E"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Higher</w:t>
            </w:r>
          </w:p>
        </w:tc>
        <w:tc>
          <w:tcPr>
            <w:tcW w:w="1336" w:type="dxa"/>
            <w:shd w:val="clear" w:color="auto" w:fill="E2F0D9"/>
            <w:vAlign w:val="center"/>
          </w:tcPr>
          <w:p w14:paraId="31C3037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w:t>
            </w:r>
          </w:p>
        </w:tc>
        <w:tc>
          <w:tcPr>
            <w:tcW w:w="1336" w:type="dxa"/>
            <w:shd w:val="clear" w:color="auto" w:fill="E2F0D9"/>
            <w:vAlign w:val="center"/>
          </w:tcPr>
          <w:p w14:paraId="2167D481"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Highest undiscounted inflows</w:t>
            </w:r>
          </w:p>
        </w:tc>
      </w:tr>
      <w:tr w:rsidR="009B3040" w:rsidRPr="003E2392" w14:paraId="2E109EBE" w14:textId="77777777" w:rsidTr="00AA5684">
        <w:trPr>
          <w:jc w:val="center"/>
        </w:trPr>
        <w:tc>
          <w:tcPr>
            <w:tcW w:w="1336" w:type="dxa"/>
            <w:vAlign w:val="center"/>
          </w:tcPr>
          <w:p w14:paraId="45FBCB82"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Annual depreciation</w:t>
            </w:r>
          </w:p>
        </w:tc>
        <w:tc>
          <w:tcPr>
            <w:tcW w:w="1336" w:type="dxa"/>
            <w:vAlign w:val="center"/>
          </w:tcPr>
          <w:p w14:paraId="67BB1C3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£10.000m</w:t>
            </w:r>
          </w:p>
        </w:tc>
        <w:tc>
          <w:tcPr>
            <w:tcW w:w="1336" w:type="dxa"/>
            <w:vAlign w:val="center"/>
          </w:tcPr>
          <w:p w14:paraId="1036F3C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£10.000m</w:t>
            </w:r>
          </w:p>
        </w:tc>
        <w:tc>
          <w:tcPr>
            <w:tcW w:w="1336" w:type="dxa"/>
            <w:vAlign w:val="center"/>
          </w:tcPr>
          <w:p w14:paraId="2731F14E"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£10.000m</w:t>
            </w:r>
          </w:p>
        </w:tc>
        <w:tc>
          <w:tcPr>
            <w:tcW w:w="1336" w:type="dxa"/>
            <w:vAlign w:val="center"/>
          </w:tcPr>
          <w:p w14:paraId="42030E09"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Given</w:t>
            </w:r>
          </w:p>
        </w:tc>
        <w:tc>
          <w:tcPr>
            <w:tcW w:w="1336" w:type="dxa"/>
            <w:vAlign w:val="center"/>
          </w:tcPr>
          <w:p w14:paraId="0A3E3ACD"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Equal</w:t>
            </w:r>
          </w:p>
        </w:tc>
        <w:tc>
          <w:tcPr>
            <w:tcW w:w="1336" w:type="dxa"/>
            <w:vAlign w:val="center"/>
          </w:tcPr>
          <w:p w14:paraId="1062818C"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Straight-line to zero</w:t>
            </w:r>
          </w:p>
        </w:tc>
      </w:tr>
      <w:tr w:rsidR="009B3040" w:rsidRPr="003E2392" w14:paraId="63892A76" w14:textId="77777777" w:rsidTr="00AA5684">
        <w:trPr>
          <w:jc w:val="center"/>
        </w:trPr>
        <w:tc>
          <w:tcPr>
            <w:tcW w:w="1336" w:type="dxa"/>
            <w:shd w:val="clear" w:color="auto" w:fill="E2F0D9"/>
            <w:vAlign w:val="center"/>
          </w:tcPr>
          <w:p w14:paraId="4EA6B26B"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Average annual profit</w:t>
            </w:r>
          </w:p>
        </w:tc>
        <w:tc>
          <w:tcPr>
            <w:tcW w:w="1336" w:type="dxa"/>
            <w:shd w:val="clear" w:color="auto" w:fill="E2F0D9"/>
            <w:vAlign w:val="center"/>
          </w:tcPr>
          <w:p w14:paraId="6C179314"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£0.800m</w:t>
            </w:r>
          </w:p>
        </w:tc>
        <w:tc>
          <w:tcPr>
            <w:tcW w:w="1336" w:type="dxa"/>
            <w:shd w:val="clear" w:color="auto" w:fill="E2F0D9"/>
            <w:vAlign w:val="center"/>
          </w:tcPr>
          <w:p w14:paraId="5F7248C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£1.000m</w:t>
            </w:r>
          </w:p>
        </w:tc>
        <w:tc>
          <w:tcPr>
            <w:tcW w:w="1336" w:type="dxa"/>
            <w:shd w:val="clear" w:color="auto" w:fill="E2F0D9"/>
            <w:vAlign w:val="center"/>
          </w:tcPr>
          <w:p w14:paraId="3E5F8E8E"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£3.000m</w:t>
            </w:r>
          </w:p>
        </w:tc>
        <w:tc>
          <w:tcPr>
            <w:tcW w:w="1336" w:type="dxa"/>
            <w:shd w:val="clear" w:color="auto" w:fill="E2F0D9"/>
            <w:vAlign w:val="center"/>
          </w:tcPr>
          <w:p w14:paraId="72ECAC42"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Higher</w:t>
            </w:r>
          </w:p>
        </w:tc>
        <w:tc>
          <w:tcPr>
            <w:tcW w:w="1336" w:type="dxa"/>
            <w:shd w:val="clear" w:color="auto" w:fill="E2F0D9"/>
            <w:vAlign w:val="center"/>
          </w:tcPr>
          <w:p w14:paraId="7C995589"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w:t>
            </w:r>
          </w:p>
        </w:tc>
        <w:tc>
          <w:tcPr>
            <w:tcW w:w="1336" w:type="dxa"/>
            <w:shd w:val="clear" w:color="auto" w:fill="E2F0D9"/>
            <w:vAlign w:val="center"/>
          </w:tcPr>
          <w:p w14:paraId="217368D3"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Supports superior ARR</w:t>
            </w:r>
          </w:p>
        </w:tc>
      </w:tr>
      <w:tr w:rsidR="009B3040" w:rsidRPr="003E2392" w14:paraId="08E79B0E" w14:textId="77777777" w:rsidTr="00AA5684">
        <w:trPr>
          <w:jc w:val="center"/>
        </w:trPr>
        <w:tc>
          <w:tcPr>
            <w:tcW w:w="1336" w:type="dxa"/>
            <w:shd w:val="clear" w:color="auto" w:fill="E2F0D9"/>
            <w:vAlign w:val="center"/>
          </w:tcPr>
          <w:p w14:paraId="202ED978"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Payback period</w:t>
            </w:r>
          </w:p>
        </w:tc>
        <w:tc>
          <w:tcPr>
            <w:tcW w:w="1336" w:type="dxa"/>
            <w:shd w:val="clear" w:color="auto" w:fill="E2F0D9"/>
            <w:vAlign w:val="center"/>
          </w:tcPr>
          <w:p w14:paraId="405999F3"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4.50</w:t>
            </w:r>
          </w:p>
        </w:tc>
        <w:tc>
          <w:tcPr>
            <w:tcW w:w="1336" w:type="dxa"/>
            <w:shd w:val="clear" w:color="auto" w:fill="E2F0D9"/>
            <w:vAlign w:val="center"/>
          </w:tcPr>
          <w:p w14:paraId="4873D273"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4.55</w:t>
            </w:r>
          </w:p>
        </w:tc>
        <w:tc>
          <w:tcPr>
            <w:tcW w:w="1336" w:type="dxa"/>
            <w:shd w:val="clear" w:color="auto" w:fill="E2F0D9"/>
            <w:vAlign w:val="center"/>
          </w:tcPr>
          <w:p w14:paraId="1E5D5115"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3.60</w:t>
            </w:r>
          </w:p>
        </w:tc>
        <w:tc>
          <w:tcPr>
            <w:tcW w:w="1336" w:type="dxa"/>
            <w:shd w:val="clear" w:color="auto" w:fill="E2F0D9"/>
            <w:vAlign w:val="center"/>
          </w:tcPr>
          <w:p w14:paraId="7CFC5B28"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Shorter</w:t>
            </w:r>
          </w:p>
        </w:tc>
        <w:tc>
          <w:tcPr>
            <w:tcW w:w="1336" w:type="dxa"/>
            <w:shd w:val="clear" w:color="auto" w:fill="E2F0D9"/>
            <w:vAlign w:val="center"/>
          </w:tcPr>
          <w:p w14:paraId="78420723"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w:t>
            </w:r>
          </w:p>
        </w:tc>
        <w:tc>
          <w:tcPr>
            <w:tcW w:w="1336" w:type="dxa"/>
            <w:shd w:val="clear" w:color="auto" w:fill="E2F0D9"/>
            <w:vAlign w:val="center"/>
          </w:tcPr>
          <w:p w14:paraId="1818C26D"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Fastest capital recovery</w:t>
            </w:r>
          </w:p>
        </w:tc>
      </w:tr>
      <w:tr w:rsidR="009B3040" w:rsidRPr="003E2392" w14:paraId="3442CAE2" w14:textId="77777777" w:rsidTr="00AA5684">
        <w:trPr>
          <w:jc w:val="center"/>
        </w:trPr>
        <w:tc>
          <w:tcPr>
            <w:tcW w:w="1336" w:type="dxa"/>
            <w:shd w:val="clear" w:color="auto" w:fill="E2F0D9"/>
            <w:vAlign w:val="center"/>
          </w:tcPr>
          <w:p w14:paraId="38341831"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lastRenderedPageBreak/>
              <w:t>ARR</w:t>
            </w:r>
          </w:p>
        </w:tc>
        <w:tc>
          <w:tcPr>
            <w:tcW w:w="1336" w:type="dxa"/>
            <w:shd w:val="clear" w:color="auto" w:fill="E2F0D9"/>
            <w:vAlign w:val="center"/>
          </w:tcPr>
          <w:p w14:paraId="4190DACE"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3.20%</w:t>
            </w:r>
          </w:p>
        </w:tc>
        <w:tc>
          <w:tcPr>
            <w:tcW w:w="1336" w:type="dxa"/>
            <w:shd w:val="clear" w:color="auto" w:fill="E2F0D9"/>
            <w:vAlign w:val="center"/>
          </w:tcPr>
          <w:p w14:paraId="6D26E3D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4.00%</w:t>
            </w:r>
          </w:p>
        </w:tc>
        <w:tc>
          <w:tcPr>
            <w:tcW w:w="1336" w:type="dxa"/>
            <w:shd w:val="clear" w:color="auto" w:fill="E2F0D9"/>
            <w:vAlign w:val="center"/>
          </w:tcPr>
          <w:p w14:paraId="08002C4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12.00%</w:t>
            </w:r>
          </w:p>
        </w:tc>
        <w:tc>
          <w:tcPr>
            <w:tcW w:w="1336" w:type="dxa"/>
            <w:shd w:val="clear" w:color="auto" w:fill="E2F0D9"/>
            <w:vAlign w:val="center"/>
          </w:tcPr>
          <w:p w14:paraId="09AFE3B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Higher</w:t>
            </w:r>
          </w:p>
        </w:tc>
        <w:tc>
          <w:tcPr>
            <w:tcW w:w="1336" w:type="dxa"/>
            <w:shd w:val="clear" w:color="auto" w:fill="E2F0D9"/>
            <w:vAlign w:val="center"/>
          </w:tcPr>
          <w:p w14:paraId="3BC05666"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w:t>
            </w:r>
          </w:p>
        </w:tc>
        <w:tc>
          <w:tcPr>
            <w:tcW w:w="1336" w:type="dxa"/>
            <w:shd w:val="clear" w:color="auto" w:fill="E2F0D9"/>
            <w:vAlign w:val="center"/>
          </w:tcPr>
          <w:p w14:paraId="5CBF5C3F"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Highest accounting return</w:t>
            </w:r>
          </w:p>
        </w:tc>
      </w:tr>
      <w:tr w:rsidR="009B3040" w:rsidRPr="003E2392" w14:paraId="3FD67D36" w14:textId="77777777" w:rsidTr="00AA5684">
        <w:trPr>
          <w:jc w:val="center"/>
        </w:trPr>
        <w:tc>
          <w:tcPr>
            <w:tcW w:w="1336" w:type="dxa"/>
            <w:shd w:val="clear" w:color="auto" w:fill="E2F0D9"/>
            <w:vAlign w:val="center"/>
          </w:tcPr>
          <w:p w14:paraId="016E0C75"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PV of inflows</w:t>
            </w:r>
          </w:p>
        </w:tc>
        <w:tc>
          <w:tcPr>
            <w:tcW w:w="1336" w:type="dxa"/>
            <w:shd w:val="clear" w:color="auto" w:fill="E2F0D9"/>
            <w:vAlign w:val="center"/>
          </w:tcPr>
          <w:p w14:paraId="75E09B80"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£43.456m</w:t>
            </w:r>
          </w:p>
        </w:tc>
        <w:tc>
          <w:tcPr>
            <w:tcW w:w="1336" w:type="dxa"/>
            <w:shd w:val="clear" w:color="auto" w:fill="E2F0D9"/>
            <w:vAlign w:val="center"/>
          </w:tcPr>
          <w:p w14:paraId="44BA63C7"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£43.920m</w:t>
            </w:r>
          </w:p>
        </w:tc>
        <w:tc>
          <w:tcPr>
            <w:tcW w:w="1336" w:type="dxa"/>
            <w:shd w:val="clear" w:color="auto" w:fill="E2F0D9"/>
            <w:vAlign w:val="center"/>
          </w:tcPr>
          <w:p w14:paraId="3D92AC6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£50.858m</w:t>
            </w:r>
          </w:p>
        </w:tc>
        <w:tc>
          <w:tcPr>
            <w:tcW w:w="1336" w:type="dxa"/>
            <w:shd w:val="clear" w:color="auto" w:fill="E2F0D9"/>
            <w:vAlign w:val="center"/>
          </w:tcPr>
          <w:p w14:paraId="3EED90FD"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Higher</w:t>
            </w:r>
          </w:p>
        </w:tc>
        <w:tc>
          <w:tcPr>
            <w:tcW w:w="1336" w:type="dxa"/>
            <w:shd w:val="clear" w:color="auto" w:fill="E2F0D9"/>
            <w:vAlign w:val="center"/>
          </w:tcPr>
          <w:p w14:paraId="3AE00703"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w:t>
            </w:r>
          </w:p>
        </w:tc>
        <w:tc>
          <w:tcPr>
            <w:tcW w:w="1336" w:type="dxa"/>
            <w:shd w:val="clear" w:color="auto" w:fill="E2F0D9"/>
            <w:vAlign w:val="center"/>
          </w:tcPr>
          <w:p w14:paraId="3F79D468"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Only PV above cost</w:t>
            </w:r>
          </w:p>
        </w:tc>
      </w:tr>
      <w:tr w:rsidR="009B3040" w:rsidRPr="003E2392" w14:paraId="2AA401EA" w14:textId="77777777" w:rsidTr="00AA5684">
        <w:trPr>
          <w:jc w:val="center"/>
        </w:trPr>
        <w:tc>
          <w:tcPr>
            <w:tcW w:w="1336" w:type="dxa"/>
            <w:shd w:val="clear" w:color="auto" w:fill="E2F0D9"/>
            <w:vAlign w:val="center"/>
          </w:tcPr>
          <w:p w14:paraId="228E5BE2"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NPV</w:t>
            </w:r>
          </w:p>
        </w:tc>
        <w:tc>
          <w:tcPr>
            <w:tcW w:w="1336" w:type="dxa"/>
            <w:shd w:val="clear" w:color="auto" w:fill="E2F0D9"/>
            <w:vAlign w:val="center"/>
          </w:tcPr>
          <w:p w14:paraId="4A67A9B8"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(£6.544m)</w:t>
            </w:r>
          </w:p>
        </w:tc>
        <w:tc>
          <w:tcPr>
            <w:tcW w:w="1336" w:type="dxa"/>
            <w:shd w:val="clear" w:color="auto" w:fill="E2F0D9"/>
            <w:vAlign w:val="center"/>
          </w:tcPr>
          <w:p w14:paraId="05E6CFAA"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(£6.080m)</w:t>
            </w:r>
          </w:p>
        </w:tc>
        <w:tc>
          <w:tcPr>
            <w:tcW w:w="1336" w:type="dxa"/>
            <w:shd w:val="clear" w:color="auto" w:fill="E2F0D9"/>
            <w:vAlign w:val="center"/>
          </w:tcPr>
          <w:p w14:paraId="02B95BBE"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£0.858m</w:t>
            </w:r>
          </w:p>
        </w:tc>
        <w:tc>
          <w:tcPr>
            <w:tcW w:w="1336" w:type="dxa"/>
            <w:shd w:val="clear" w:color="auto" w:fill="E2F0D9"/>
            <w:vAlign w:val="center"/>
          </w:tcPr>
          <w:p w14:paraId="1C01373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&gt; £0</w:t>
            </w:r>
          </w:p>
        </w:tc>
        <w:tc>
          <w:tcPr>
            <w:tcW w:w="1336" w:type="dxa"/>
            <w:shd w:val="clear" w:color="auto" w:fill="E2F0D9"/>
            <w:vAlign w:val="center"/>
          </w:tcPr>
          <w:p w14:paraId="75B0968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w:t>
            </w:r>
          </w:p>
        </w:tc>
        <w:tc>
          <w:tcPr>
            <w:tcW w:w="1336" w:type="dxa"/>
            <w:shd w:val="clear" w:color="auto" w:fill="E2F0D9"/>
            <w:vAlign w:val="center"/>
          </w:tcPr>
          <w:p w14:paraId="128C479D"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Only value-creating project</w:t>
            </w:r>
          </w:p>
        </w:tc>
      </w:tr>
      <w:tr w:rsidR="009B3040" w:rsidRPr="003E2392" w14:paraId="225EF06C" w14:textId="77777777" w:rsidTr="00AA5684">
        <w:trPr>
          <w:jc w:val="center"/>
        </w:trPr>
        <w:tc>
          <w:tcPr>
            <w:tcW w:w="1336" w:type="dxa"/>
            <w:shd w:val="clear" w:color="auto" w:fill="E2F0D9"/>
            <w:vAlign w:val="center"/>
          </w:tcPr>
          <w:p w14:paraId="70EA4A77"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PI</w:t>
            </w:r>
          </w:p>
        </w:tc>
        <w:tc>
          <w:tcPr>
            <w:tcW w:w="1336" w:type="dxa"/>
            <w:shd w:val="clear" w:color="auto" w:fill="E2F0D9"/>
            <w:vAlign w:val="center"/>
          </w:tcPr>
          <w:p w14:paraId="6737BCFA"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0.869</w:t>
            </w:r>
          </w:p>
        </w:tc>
        <w:tc>
          <w:tcPr>
            <w:tcW w:w="1336" w:type="dxa"/>
            <w:shd w:val="clear" w:color="auto" w:fill="E2F0D9"/>
            <w:vAlign w:val="center"/>
          </w:tcPr>
          <w:p w14:paraId="6059A580"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0.878</w:t>
            </w:r>
          </w:p>
        </w:tc>
        <w:tc>
          <w:tcPr>
            <w:tcW w:w="1336" w:type="dxa"/>
            <w:shd w:val="clear" w:color="auto" w:fill="E2F0D9"/>
            <w:vAlign w:val="center"/>
          </w:tcPr>
          <w:p w14:paraId="6A2F01CE"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1.017</w:t>
            </w:r>
          </w:p>
        </w:tc>
        <w:tc>
          <w:tcPr>
            <w:tcW w:w="1336" w:type="dxa"/>
            <w:shd w:val="clear" w:color="auto" w:fill="E2F0D9"/>
            <w:vAlign w:val="center"/>
          </w:tcPr>
          <w:p w14:paraId="286521AA"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&gt; 1.0</w:t>
            </w:r>
          </w:p>
        </w:tc>
        <w:tc>
          <w:tcPr>
            <w:tcW w:w="1336" w:type="dxa"/>
            <w:shd w:val="clear" w:color="auto" w:fill="E2F0D9"/>
            <w:vAlign w:val="center"/>
          </w:tcPr>
          <w:p w14:paraId="4AC94AD4"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w:t>
            </w:r>
          </w:p>
        </w:tc>
        <w:tc>
          <w:tcPr>
            <w:tcW w:w="1336" w:type="dxa"/>
            <w:shd w:val="clear" w:color="auto" w:fill="E2F0D9"/>
            <w:vAlign w:val="center"/>
          </w:tcPr>
          <w:p w14:paraId="27487937"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Only acceptable PI</w:t>
            </w:r>
          </w:p>
        </w:tc>
      </w:tr>
      <w:tr w:rsidR="009B3040" w:rsidRPr="003E2392" w14:paraId="101CCF1F" w14:textId="77777777" w:rsidTr="00AA5684">
        <w:trPr>
          <w:jc w:val="center"/>
        </w:trPr>
        <w:tc>
          <w:tcPr>
            <w:tcW w:w="1336" w:type="dxa"/>
            <w:shd w:val="clear" w:color="auto" w:fill="E2F0D9"/>
            <w:vAlign w:val="center"/>
          </w:tcPr>
          <w:p w14:paraId="2F3A36FA" w14:textId="77777777" w:rsidR="009B3040" w:rsidRPr="003E2392" w:rsidRDefault="009B3040" w:rsidP="00AA5684">
            <w:pPr>
              <w:spacing w:line="360" w:lineRule="auto"/>
              <w:rPr>
                <w:rFonts w:ascii="Arial" w:hAnsi="Arial" w:cs="Arial"/>
                <w:sz w:val="24"/>
                <w:szCs w:val="24"/>
              </w:rPr>
            </w:pPr>
            <w:r w:rsidRPr="003E2392">
              <w:rPr>
                <w:rFonts w:ascii="Arial" w:hAnsi="Arial" w:cs="Arial"/>
                <w:b/>
                <w:sz w:val="24"/>
                <w:szCs w:val="24"/>
              </w:rPr>
              <w:t>IRR</w:t>
            </w:r>
          </w:p>
        </w:tc>
        <w:tc>
          <w:tcPr>
            <w:tcW w:w="1336" w:type="dxa"/>
            <w:shd w:val="clear" w:color="auto" w:fill="E2F0D9"/>
            <w:vAlign w:val="center"/>
          </w:tcPr>
          <w:p w14:paraId="675BE33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2.72%</w:t>
            </w:r>
          </w:p>
        </w:tc>
        <w:tc>
          <w:tcPr>
            <w:tcW w:w="1336" w:type="dxa"/>
            <w:shd w:val="clear" w:color="auto" w:fill="E2F0D9"/>
            <w:vAlign w:val="center"/>
          </w:tcPr>
          <w:p w14:paraId="4B27CEDA"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3.26%</w:t>
            </w:r>
          </w:p>
        </w:tc>
        <w:tc>
          <w:tcPr>
            <w:tcW w:w="1336" w:type="dxa"/>
            <w:shd w:val="clear" w:color="auto" w:fill="E2F0D9"/>
            <w:vAlign w:val="center"/>
          </w:tcPr>
          <w:p w14:paraId="51376B4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8.59%</w:t>
            </w:r>
          </w:p>
        </w:tc>
        <w:tc>
          <w:tcPr>
            <w:tcW w:w="1336" w:type="dxa"/>
            <w:shd w:val="clear" w:color="auto" w:fill="E2F0D9"/>
            <w:vAlign w:val="center"/>
          </w:tcPr>
          <w:p w14:paraId="561BFDE0"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&gt; 8%</w:t>
            </w:r>
          </w:p>
        </w:tc>
        <w:tc>
          <w:tcPr>
            <w:tcW w:w="1336" w:type="dxa"/>
            <w:shd w:val="clear" w:color="auto" w:fill="E2F0D9"/>
            <w:vAlign w:val="center"/>
          </w:tcPr>
          <w:p w14:paraId="0AE76E38"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w:t>
            </w:r>
          </w:p>
        </w:tc>
        <w:tc>
          <w:tcPr>
            <w:tcW w:w="1336" w:type="dxa"/>
            <w:shd w:val="clear" w:color="auto" w:fill="E2F0D9"/>
            <w:vAlign w:val="center"/>
          </w:tcPr>
          <w:p w14:paraId="6B7C06C6" w14:textId="77777777" w:rsidR="009B3040" w:rsidRPr="003E2392" w:rsidRDefault="009B3040" w:rsidP="00AA5684">
            <w:pPr>
              <w:spacing w:line="360" w:lineRule="auto"/>
              <w:rPr>
                <w:rFonts w:ascii="Arial" w:hAnsi="Arial" w:cs="Arial"/>
                <w:sz w:val="24"/>
                <w:szCs w:val="24"/>
              </w:rPr>
            </w:pPr>
            <w:r w:rsidRPr="003E2392">
              <w:rPr>
                <w:rFonts w:ascii="Arial" w:hAnsi="Arial" w:cs="Arial"/>
                <w:sz w:val="24"/>
                <w:szCs w:val="24"/>
              </w:rPr>
              <w:t>Only return above hurdle</w:t>
            </w:r>
          </w:p>
        </w:tc>
      </w:tr>
    </w:tbl>
    <w:p w14:paraId="3C428F09" w14:textId="75F9A2E0" w:rsidR="009B3040" w:rsidRDefault="009B3040" w:rsidP="009B3040">
      <w:pPr>
        <w:pStyle w:val="Heading2"/>
        <w:numPr>
          <w:ilvl w:val="1"/>
          <w:numId w:val="2"/>
        </w:numPr>
        <w:spacing w:line="360" w:lineRule="auto"/>
        <w:rPr>
          <w:rFonts w:ascii="Arial" w:hAnsi="Arial" w:cs="Arial"/>
          <w:sz w:val="24"/>
          <w:szCs w:val="24"/>
        </w:rPr>
      </w:pPr>
      <w:bookmarkStart w:id="38" w:name="_Toc235694647"/>
      <w:r w:rsidRPr="003E2392">
        <w:rPr>
          <w:rFonts w:ascii="Arial" w:hAnsi="Arial" w:cs="Arial"/>
          <w:sz w:val="24"/>
          <w:szCs w:val="24"/>
        </w:rPr>
        <w:t xml:space="preserve">Appendix </w:t>
      </w:r>
      <w:r>
        <w:rPr>
          <w:rFonts w:ascii="Arial" w:hAnsi="Arial" w:cs="Arial"/>
          <w:sz w:val="24"/>
          <w:szCs w:val="24"/>
        </w:rPr>
        <w:t>F</w:t>
      </w:r>
      <w:r w:rsidRPr="003E2392">
        <w:rPr>
          <w:rFonts w:ascii="Arial" w:hAnsi="Arial" w:cs="Arial"/>
          <w:sz w:val="24"/>
          <w:szCs w:val="24"/>
        </w:rPr>
        <w:t>: Capital-Rationing Analysis</w:t>
      </w:r>
      <w:bookmarkEnd w:id="38"/>
    </w:p>
    <w:p w14:paraId="60761DA4" w14:textId="77777777" w:rsidR="009B3040" w:rsidRDefault="009B3040" w:rsidP="009B3040">
      <w:r>
        <w:rPr>
          <w:noProof/>
        </w:rPr>
        <w:drawing>
          <wp:inline distT="0" distB="0" distL="0" distR="0" wp14:anchorId="054955AC" wp14:editId="696847C7">
            <wp:extent cx="5940425" cy="2228850"/>
            <wp:effectExtent l="0" t="0" r="3175" b="0"/>
            <wp:docPr id="26335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356480" name=""/>
                    <pic:cNvPicPr/>
                  </pic:nvPicPr>
                  <pic:blipFill>
                    <a:blip r:embed="rId33"/>
                    <a:stretch>
                      <a:fillRect/>
                    </a:stretch>
                  </pic:blipFill>
                  <pic:spPr>
                    <a:xfrm>
                      <a:off x="0" y="0"/>
                      <a:ext cx="5940425" cy="2228850"/>
                    </a:xfrm>
                    <a:prstGeom prst="rect">
                      <a:avLst/>
                    </a:prstGeom>
                  </pic:spPr>
                </pic:pic>
              </a:graphicData>
            </a:graphic>
          </wp:inline>
        </w:drawing>
      </w:r>
    </w:p>
    <w:p w14:paraId="2E5C0075" w14:textId="77777777" w:rsidR="009B3040" w:rsidRPr="003E2392" w:rsidRDefault="009B3040" w:rsidP="009B3040">
      <w:r>
        <w:rPr>
          <w:noProof/>
        </w:rPr>
        <w:drawing>
          <wp:inline distT="0" distB="0" distL="0" distR="0" wp14:anchorId="60968225" wp14:editId="090BB204">
            <wp:extent cx="5940425" cy="2272665"/>
            <wp:effectExtent l="0" t="0" r="3175" b="0"/>
            <wp:docPr id="1500320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320430" name=""/>
                    <pic:cNvPicPr/>
                  </pic:nvPicPr>
                  <pic:blipFill>
                    <a:blip r:embed="rId34"/>
                    <a:stretch>
                      <a:fillRect/>
                    </a:stretch>
                  </pic:blipFill>
                  <pic:spPr>
                    <a:xfrm>
                      <a:off x="0" y="0"/>
                      <a:ext cx="5940425" cy="2272665"/>
                    </a:xfrm>
                    <a:prstGeom prst="rect">
                      <a:avLst/>
                    </a:prstGeom>
                  </pic:spPr>
                </pic:pic>
              </a:graphicData>
            </a:graphic>
          </wp:inline>
        </w:drawing>
      </w:r>
    </w:p>
    <w:tbl>
      <w:tblPr>
        <w:tblStyle w:val="TableGrid"/>
        <w:tblW w:w="0" w:type="auto"/>
        <w:jc w:val="center"/>
        <w:tblLook w:val="04A0" w:firstRow="1" w:lastRow="0" w:firstColumn="1" w:lastColumn="0" w:noHBand="0" w:noVBand="1"/>
      </w:tblPr>
      <w:tblGrid>
        <w:gridCol w:w="1496"/>
        <w:gridCol w:w="1546"/>
        <w:gridCol w:w="1510"/>
        <w:gridCol w:w="1539"/>
        <w:gridCol w:w="1427"/>
        <w:gridCol w:w="1498"/>
      </w:tblGrid>
      <w:tr w:rsidR="009B3040" w:rsidRPr="003E2392" w14:paraId="198436A5" w14:textId="77777777" w:rsidTr="00AA5684">
        <w:trPr>
          <w:jc w:val="center"/>
        </w:trPr>
        <w:tc>
          <w:tcPr>
            <w:tcW w:w="1559" w:type="dxa"/>
            <w:shd w:val="clear" w:color="auto" w:fill="17365D"/>
            <w:vAlign w:val="center"/>
          </w:tcPr>
          <w:p w14:paraId="1A8A6737"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Portfolio</w:t>
            </w:r>
          </w:p>
        </w:tc>
        <w:tc>
          <w:tcPr>
            <w:tcW w:w="1559" w:type="dxa"/>
            <w:shd w:val="clear" w:color="auto" w:fill="17365D"/>
            <w:vAlign w:val="center"/>
          </w:tcPr>
          <w:p w14:paraId="4AA6733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Investment</w:t>
            </w:r>
          </w:p>
        </w:tc>
        <w:tc>
          <w:tcPr>
            <w:tcW w:w="1559" w:type="dxa"/>
            <w:shd w:val="clear" w:color="auto" w:fill="17365D"/>
            <w:vAlign w:val="center"/>
          </w:tcPr>
          <w:p w14:paraId="6E9F9ED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PV inflows</w:t>
            </w:r>
          </w:p>
        </w:tc>
        <w:tc>
          <w:tcPr>
            <w:tcW w:w="1559" w:type="dxa"/>
            <w:shd w:val="clear" w:color="auto" w:fill="17365D"/>
            <w:vAlign w:val="center"/>
          </w:tcPr>
          <w:p w14:paraId="7C9E447F"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NPV</w:t>
            </w:r>
          </w:p>
        </w:tc>
        <w:tc>
          <w:tcPr>
            <w:tcW w:w="1559" w:type="dxa"/>
            <w:shd w:val="clear" w:color="auto" w:fill="17365D"/>
            <w:vAlign w:val="center"/>
          </w:tcPr>
          <w:p w14:paraId="5EB6AF9A"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PI</w:t>
            </w:r>
          </w:p>
        </w:tc>
        <w:tc>
          <w:tcPr>
            <w:tcW w:w="1559" w:type="dxa"/>
            <w:shd w:val="clear" w:color="auto" w:fill="17365D"/>
            <w:vAlign w:val="center"/>
          </w:tcPr>
          <w:p w14:paraId="217B7D57"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color w:val="FFFFFF"/>
                <w:sz w:val="24"/>
                <w:szCs w:val="24"/>
              </w:rPr>
              <w:t>Decision</w:t>
            </w:r>
          </w:p>
        </w:tc>
      </w:tr>
      <w:tr w:rsidR="009B3040" w:rsidRPr="003E2392" w14:paraId="6A188744" w14:textId="77777777" w:rsidTr="00AA5684">
        <w:trPr>
          <w:jc w:val="center"/>
        </w:trPr>
        <w:tc>
          <w:tcPr>
            <w:tcW w:w="1559" w:type="dxa"/>
            <w:vAlign w:val="center"/>
          </w:tcPr>
          <w:p w14:paraId="003108B9"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lastRenderedPageBreak/>
              <w:t>A only</w:t>
            </w:r>
          </w:p>
        </w:tc>
        <w:tc>
          <w:tcPr>
            <w:tcW w:w="1559" w:type="dxa"/>
            <w:vAlign w:val="center"/>
          </w:tcPr>
          <w:p w14:paraId="74285E32"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£50m</w:t>
            </w:r>
          </w:p>
        </w:tc>
        <w:tc>
          <w:tcPr>
            <w:tcW w:w="1559" w:type="dxa"/>
            <w:vAlign w:val="center"/>
          </w:tcPr>
          <w:p w14:paraId="4BB29ED3"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£43.456m</w:t>
            </w:r>
          </w:p>
        </w:tc>
        <w:tc>
          <w:tcPr>
            <w:tcW w:w="1559" w:type="dxa"/>
            <w:vAlign w:val="center"/>
          </w:tcPr>
          <w:p w14:paraId="1E83D3D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(£6.544m)</w:t>
            </w:r>
          </w:p>
        </w:tc>
        <w:tc>
          <w:tcPr>
            <w:tcW w:w="1559" w:type="dxa"/>
            <w:vAlign w:val="center"/>
          </w:tcPr>
          <w:p w14:paraId="42632BCF"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0.869</w:t>
            </w:r>
          </w:p>
        </w:tc>
        <w:tc>
          <w:tcPr>
            <w:tcW w:w="1559" w:type="dxa"/>
            <w:shd w:val="clear" w:color="auto" w:fill="FCE4D6"/>
            <w:vAlign w:val="center"/>
          </w:tcPr>
          <w:p w14:paraId="71948754"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Reject</w:t>
            </w:r>
          </w:p>
        </w:tc>
      </w:tr>
      <w:tr w:rsidR="009B3040" w:rsidRPr="003E2392" w14:paraId="716947F3" w14:textId="77777777" w:rsidTr="00AA5684">
        <w:trPr>
          <w:jc w:val="center"/>
        </w:trPr>
        <w:tc>
          <w:tcPr>
            <w:tcW w:w="1559" w:type="dxa"/>
            <w:vAlign w:val="center"/>
          </w:tcPr>
          <w:p w14:paraId="4A0A2F5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B only</w:t>
            </w:r>
          </w:p>
        </w:tc>
        <w:tc>
          <w:tcPr>
            <w:tcW w:w="1559" w:type="dxa"/>
            <w:vAlign w:val="center"/>
          </w:tcPr>
          <w:p w14:paraId="03C61AAF"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£50m</w:t>
            </w:r>
          </w:p>
        </w:tc>
        <w:tc>
          <w:tcPr>
            <w:tcW w:w="1559" w:type="dxa"/>
            <w:vAlign w:val="center"/>
          </w:tcPr>
          <w:p w14:paraId="61FA6066"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£43.920m</w:t>
            </w:r>
          </w:p>
        </w:tc>
        <w:tc>
          <w:tcPr>
            <w:tcW w:w="1559" w:type="dxa"/>
            <w:vAlign w:val="center"/>
          </w:tcPr>
          <w:p w14:paraId="5D51051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(£6.080m)</w:t>
            </w:r>
          </w:p>
        </w:tc>
        <w:tc>
          <w:tcPr>
            <w:tcW w:w="1559" w:type="dxa"/>
            <w:vAlign w:val="center"/>
          </w:tcPr>
          <w:p w14:paraId="083C391E"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0.878</w:t>
            </w:r>
          </w:p>
        </w:tc>
        <w:tc>
          <w:tcPr>
            <w:tcW w:w="1559" w:type="dxa"/>
            <w:shd w:val="clear" w:color="auto" w:fill="FCE4D6"/>
            <w:vAlign w:val="center"/>
          </w:tcPr>
          <w:p w14:paraId="0967E282"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Reject</w:t>
            </w:r>
          </w:p>
        </w:tc>
      </w:tr>
      <w:tr w:rsidR="009B3040" w:rsidRPr="003E2392" w14:paraId="6B06C64F" w14:textId="77777777" w:rsidTr="00AA5684">
        <w:trPr>
          <w:jc w:val="center"/>
        </w:trPr>
        <w:tc>
          <w:tcPr>
            <w:tcW w:w="1559" w:type="dxa"/>
            <w:shd w:val="clear" w:color="auto" w:fill="E2F0D9"/>
            <w:vAlign w:val="center"/>
          </w:tcPr>
          <w:p w14:paraId="6EFA345A"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C only</w:t>
            </w:r>
          </w:p>
        </w:tc>
        <w:tc>
          <w:tcPr>
            <w:tcW w:w="1559" w:type="dxa"/>
            <w:shd w:val="clear" w:color="auto" w:fill="E2F0D9"/>
            <w:vAlign w:val="center"/>
          </w:tcPr>
          <w:p w14:paraId="0FB7634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£50m</w:t>
            </w:r>
          </w:p>
        </w:tc>
        <w:tc>
          <w:tcPr>
            <w:tcW w:w="1559" w:type="dxa"/>
            <w:shd w:val="clear" w:color="auto" w:fill="E2F0D9"/>
            <w:vAlign w:val="center"/>
          </w:tcPr>
          <w:p w14:paraId="0969252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£50.858m</w:t>
            </w:r>
          </w:p>
        </w:tc>
        <w:tc>
          <w:tcPr>
            <w:tcW w:w="1559" w:type="dxa"/>
            <w:shd w:val="clear" w:color="auto" w:fill="E2F0D9"/>
            <w:vAlign w:val="center"/>
          </w:tcPr>
          <w:p w14:paraId="21C38BD5"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£0.858m</w:t>
            </w:r>
          </w:p>
        </w:tc>
        <w:tc>
          <w:tcPr>
            <w:tcW w:w="1559" w:type="dxa"/>
            <w:shd w:val="clear" w:color="auto" w:fill="E2F0D9"/>
            <w:vAlign w:val="center"/>
          </w:tcPr>
          <w:p w14:paraId="65D84078"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1.017</w:t>
            </w:r>
          </w:p>
        </w:tc>
        <w:tc>
          <w:tcPr>
            <w:tcW w:w="1559" w:type="dxa"/>
            <w:shd w:val="clear" w:color="auto" w:fill="E2F0D9"/>
            <w:vAlign w:val="center"/>
          </w:tcPr>
          <w:p w14:paraId="342E307C"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Select</w:t>
            </w:r>
          </w:p>
        </w:tc>
      </w:tr>
      <w:tr w:rsidR="009B3040" w:rsidRPr="003E2392" w14:paraId="54AD2536" w14:textId="77777777" w:rsidTr="00AA5684">
        <w:trPr>
          <w:jc w:val="center"/>
        </w:trPr>
        <w:tc>
          <w:tcPr>
            <w:tcW w:w="1559" w:type="dxa"/>
            <w:vAlign w:val="center"/>
          </w:tcPr>
          <w:p w14:paraId="7DF2A68D"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A + B</w:t>
            </w:r>
          </w:p>
        </w:tc>
        <w:tc>
          <w:tcPr>
            <w:tcW w:w="1559" w:type="dxa"/>
            <w:vAlign w:val="center"/>
          </w:tcPr>
          <w:p w14:paraId="60EC781D"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£100m</w:t>
            </w:r>
          </w:p>
        </w:tc>
        <w:tc>
          <w:tcPr>
            <w:tcW w:w="1559" w:type="dxa"/>
            <w:vAlign w:val="center"/>
          </w:tcPr>
          <w:p w14:paraId="6AC8EB57"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£87.376m</w:t>
            </w:r>
          </w:p>
        </w:tc>
        <w:tc>
          <w:tcPr>
            <w:tcW w:w="1559" w:type="dxa"/>
            <w:vAlign w:val="center"/>
          </w:tcPr>
          <w:p w14:paraId="38F95DA5"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(£12.624m)</w:t>
            </w:r>
          </w:p>
        </w:tc>
        <w:tc>
          <w:tcPr>
            <w:tcW w:w="1559" w:type="dxa"/>
            <w:vAlign w:val="center"/>
          </w:tcPr>
          <w:p w14:paraId="518A524A"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0.874</w:t>
            </w:r>
          </w:p>
        </w:tc>
        <w:tc>
          <w:tcPr>
            <w:tcW w:w="1559" w:type="dxa"/>
            <w:shd w:val="clear" w:color="auto" w:fill="FCE4D6"/>
            <w:vAlign w:val="center"/>
          </w:tcPr>
          <w:p w14:paraId="4283C86F"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Reject</w:t>
            </w:r>
          </w:p>
        </w:tc>
      </w:tr>
      <w:tr w:rsidR="009B3040" w:rsidRPr="003E2392" w14:paraId="2AC1302F" w14:textId="77777777" w:rsidTr="00AA5684">
        <w:trPr>
          <w:jc w:val="center"/>
        </w:trPr>
        <w:tc>
          <w:tcPr>
            <w:tcW w:w="1559" w:type="dxa"/>
            <w:vAlign w:val="center"/>
          </w:tcPr>
          <w:p w14:paraId="11796F1F"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A + C</w:t>
            </w:r>
          </w:p>
        </w:tc>
        <w:tc>
          <w:tcPr>
            <w:tcW w:w="1559" w:type="dxa"/>
            <w:vAlign w:val="center"/>
          </w:tcPr>
          <w:p w14:paraId="7AA8BE51"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£100m</w:t>
            </w:r>
          </w:p>
        </w:tc>
        <w:tc>
          <w:tcPr>
            <w:tcW w:w="1559" w:type="dxa"/>
            <w:vAlign w:val="center"/>
          </w:tcPr>
          <w:p w14:paraId="369A2343"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£94.314m</w:t>
            </w:r>
          </w:p>
        </w:tc>
        <w:tc>
          <w:tcPr>
            <w:tcW w:w="1559" w:type="dxa"/>
            <w:vAlign w:val="center"/>
          </w:tcPr>
          <w:p w14:paraId="5247824D"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(£5.686m)</w:t>
            </w:r>
          </w:p>
        </w:tc>
        <w:tc>
          <w:tcPr>
            <w:tcW w:w="1559" w:type="dxa"/>
            <w:vAlign w:val="center"/>
          </w:tcPr>
          <w:p w14:paraId="1C5EB052"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0.943</w:t>
            </w:r>
          </w:p>
        </w:tc>
        <w:tc>
          <w:tcPr>
            <w:tcW w:w="1559" w:type="dxa"/>
            <w:shd w:val="clear" w:color="auto" w:fill="FCE4D6"/>
            <w:vAlign w:val="center"/>
          </w:tcPr>
          <w:p w14:paraId="779F064A"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Reject</w:t>
            </w:r>
          </w:p>
        </w:tc>
      </w:tr>
      <w:tr w:rsidR="009B3040" w:rsidRPr="003E2392" w14:paraId="43072CAA" w14:textId="77777777" w:rsidTr="00AA5684">
        <w:trPr>
          <w:jc w:val="center"/>
        </w:trPr>
        <w:tc>
          <w:tcPr>
            <w:tcW w:w="1559" w:type="dxa"/>
            <w:vAlign w:val="center"/>
          </w:tcPr>
          <w:p w14:paraId="506232BF"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B + C</w:t>
            </w:r>
          </w:p>
        </w:tc>
        <w:tc>
          <w:tcPr>
            <w:tcW w:w="1559" w:type="dxa"/>
            <w:vAlign w:val="center"/>
          </w:tcPr>
          <w:p w14:paraId="6241A1A7"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£100m</w:t>
            </w:r>
          </w:p>
        </w:tc>
        <w:tc>
          <w:tcPr>
            <w:tcW w:w="1559" w:type="dxa"/>
            <w:vAlign w:val="center"/>
          </w:tcPr>
          <w:p w14:paraId="0AE35C76"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£94.778m</w:t>
            </w:r>
          </w:p>
        </w:tc>
        <w:tc>
          <w:tcPr>
            <w:tcW w:w="1559" w:type="dxa"/>
            <w:vAlign w:val="center"/>
          </w:tcPr>
          <w:p w14:paraId="4F5ED7B5"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(£5.222m)</w:t>
            </w:r>
          </w:p>
        </w:tc>
        <w:tc>
          <w:tcPr>
            <w:tcW w:w="1559" w:type="dxa"/>
            <w:vAlign w:val="center"/>
          </w:tcPr>
          <w:p w14:paraId="0486277B"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sz w:val="24"/>
                <w:szCs w:val="24"/>
              </w:rPr>
              <w:t>0.948</w:t>
            </w:r>
          </w:p>
        </w:tc>
        <w:tc>
          <w:tcPr>
            <w:tcW w:w="1559" w:type="dxa"/>
            <w:shd w:val="clear" w:color="auto" w:fill="FCE4D6"/>
            <w:vAlign w:val="center"/>
          </w:tcPr>
          <w:p w14:paraId="29A53C4D" w14:textId="77777777" w:rsidR="009B3040" w:rsidRPr="003E2392" w:rsidRDefault="009B3040" w:rsidP="00AA5684">
            <w:pPr>
              <w:spacing w:line="360" w:lineRule="auto"/>
              <w:jc w:val="center"/>
              <w:rPr>
                <w:rFonts w:ascii="Arial" w:hAnsi="Arial" w:cs="Arial"/>
                <w:sz w:val="24"/>
                <w:szCs w:val="24"/>
              </w:rPr>
            </w:pPr>
            <w:r w:rsidRPr="003E2392">
              <w:rPr>
                <w:rFonts w:ascii="Arial" w:hAnsi="Arial" w:cs="Arial"/>
                <w:b/>
                <w:sz w:val="24"/>
                <w:szCs w:val="24"/>
              </w:rPr>
              <w:t>Reject</w:t>
            </w:r>
          </w:p>
        </w:tc>
      </w:tr>
    </w:tbl>
    <w:p w14:paraId="3F0F90EF" w14:textId="77777777" w:rsidR="009B3040" w:rsidRPr="00424987" w:rsidRDefault="009B3040" w:rsidP="00424987">
      <w:pPr>
        <w:spacing w:line="360" w:lineRule="auto"/>
        <w:jc w:val="both"/>
        <w:rPr>
          <w:rFonts w:ascii="Arial" w:hAnsi="Arial" w:cs="Arial"/>
          <w:sz w:val="24"/>
          <w:szCs w:val="24"/>
        </w:rPr>
      </w:pPr>
    </w:p>
    <w:sectPr w:rsidR="009B3040" w:rsidRPr="00424987" w:rsidSect="00F200C4">
      <w:footerReference w:type="default" r:id="rId35"/>
      <w:pgSz w:w="11906" w:h="16838" w:code="9"/>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C11AA7" w14:textId="77777777" w:rsidR="0078544B" w:rsidRDefault="0078544B" w:rsidP="00F200C4">
      <w:pPr>
        <w:spacing w:after="0" w:line="240" w:lineRule="auto"/>
      </w:pPr>
      <w:r>
        <w:separator/>
      </w:r>
    </w:p>
  </w:endnote>
  <w:endnote w:type="continuationSeparator" w:id="0">
    <w:p w14:paraId="62570964" w14:textId="77777777" w:rsidR="0078544B" w:rsidRDefault="0078544B" w:rsidP="00F20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8"/>
        <w:szCs w:val="28"/>
      </w:rPr>
      <w:id w:val="-1349167257"/>
      <w:docPartObj>
        <w:docPartGallery w:val="Page Numbers (Bottom of Page)"/>
        <w:docPartUnique/>
      </w:docPartObj>
    </w:sdtPr>
    <w:sdtContent>
      <w:sdt>
        <w:sdtPr>
          <w:rPr>
            <w:b/>
            <w:bCs/>
            <w:sz w:val="28"/>
            <w:szCs w:val="28"/>
          </w:rPr>
          <w:id w:val="-1769616900"/>
          <w:docPartObj>
            <w:docPartGallery w:val="Page Numbers (Top of Page)"/>
            <w:docPartUnique/>
          </w:docPartObj>
        </w:sdtPr>
        <w:sdtContent>
          <w:p w14:paraId="5B053D4E" w14:textId="64E59D2A" w:rsidR="00F200C4" w:rsidRPr="00F200C4" w:rsidRDefault="00F200C4">
            <w:pPr>
              <w:pStyle w:val="Footer"/>
              <w:jc w:val="right"/>
              <w:rPr>
                <w:b/>
                <w:bCs/>
                <w:sz w:val="28"/>
                <w:szCs w:val="28"/>
              </w:rPr>
            </w:pPr>
            <w:r w:rsidRPr="00F200C4">
              <w:rPr>
                <w:b/>
                <w:bCs/>
                <w:sz w:val="28"/>
                <w:szCs w:val="28"/>
              </w:rPr>
              <w:t xml:space="preserve">Page </w:t>
            </w:r>
            <w:r w:rsidRPr="00F200C4">
              <w:rPr>
                <w:b/>
                <w:bCs/>
                <w:sz w:val="32"/>
                <w:szCs w:val="32"/>
              </w:rPr>
              <w:fldChar w:fldCharType="begin"/>
            </w:r>
            <w:r w:rsidRPr="00F200C4">
              <w:rPr>
                <w:b/>
                <w:bCs/>
                <w:sz w:val="28"/>
                <w:szCs w:val="28"/>
              </w:rPr>
              <w:instrText xml:space="preserve"> PAGE </w:instrText>
            </w:r>
            <w:r w:rsidRPr="00F200C4">
              <w:rPr>
                <w:b/>
                <w:bCs/>
                <w:sz w:val="32"/>
                <w:szCs w:val="32"/>
              </w:rPr>
              <w:fldChar w:fldCharType="separate"/>
            </w:r>
            <w:r w:rsidRPr="00F200C4">
              <w:rPr>
                <w:b/>
                <w:bCs/>
                <w:noProof/>
                <w:sz w:val="28"/>
                <w:szCs w:val="28"/>
              </w:rPr>
              <w:t>2</w:t>
            </w:r>
            <w:r w:rsidRPr="00F200C4">
              <w:rPr>
                <w:b/>
                <w:bCs/>
                <w:sz w:val="32"/>
                <w:szCs w:val="32"/>
              </w:rPr>
              <w:fldChar w:fldCharType="end"/>
            </w:r>
            <w:r w:rsidRPr="00F200C4">
              <w:rPr>
                <w:b/>
                <w:bCs/>
                <w:sz w:val="28"/>
                <w:szCs w:val="28"/>
              </w:rPr>
              <w:t xml:space="preserve"> of </w:t>
            </w:r>
            <w:r w:rsidRPr="00F200C4">
              <w:rPr>
                <w:b/>
                <w:bCs/>
                <w:sz w:val="32"/>
                <w:szCs w:val="32"/>
              </w:rPr>
              <w:fldChar w:fldCharType="begin"/>
            </w:r>
            <w:r w:rsidRPr="00F200C4">
              <w:rPr>
                <w:b/>
                <w:bCs/>
                <w:sz w:val="28"/>
                <w:szCs w:val="28"/>
              </w:rPr>
              <w:instrText xml:space="preserve"> NUMPAGES  </w:instrText>
            </w:r>
            <w:r w:rsidRPr="00F200C4">
              <w:rPr>
                <w:b/>
                <w:bCs/>
                <w:sz w:val="32"/>
                <w:szCs w:val="32"/>
              </w:rPr>
              <w:fldChar w:fldCharType="separate"/>
            </w:r>
            <w:r w:rsidRPr="00F200C4">
              <w:rPr>
                <w:b/>
                <w:bCs/>
                <w:noProof/>
                <w:sz w:val="28"/>
                <w:szCs w:val="28"/>
              </w:rPr>
              <w:t>2</w:t>
            </w:r>
            <w:r w:rsidRPr="00F200C4">
              <w:rPr>
                <w:b/>
                <w:bCs/>
                <w:sz w:val="32"/>
                <w:szCs w:val="32"/>
              </w:rPr>
              <w:fldChar w:fldCharType="end"/>
            </w:r>
          </w:p>
        </w:sdtContent>
      </w:sdt>
    </w:sdtContent>
  </w:sdt>
  <w:p w14:paraId="2070CF77" w14:textId="77777777" w:rsidR="00F200C4" w:rsidRPr="00F200C4" w:rsidRDefault="00F200C4">
    <w:pPr>
      <w:pStyle w:val="Footer"/>
      <w:rPr>
        <w:b/>
        <w:bCs/>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2926D" w14:textId="77777777" w:rsidR="0078544B" w:rsidRDefault="0078544B" w:rsidP="00F200C4">
      <w:pPr>
        <w:spacing w:after="0" w:line="240" w:lineRule="auto"/>
      </w:pPr>
      <w:r>
        <w:separator/>
      </w:r>
    </w:p>
  </w:footnote>
  <w:footnote w:type="continuationSeparator" w:id="0">
    <w:p w14:paraId="2763189A" w14:textId="77777777" w:rsidR="0078544B" w:rsidRDefault="0078544B" w:rsidP="00F200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B7852"/>
    <w:multiLevelType w:val="hybridMultilevel"/>
    <w:tmpl w:val="8AD46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20AC0C17"/>
    <w:multiLevelType w:val="multilevel"/>
    <w:tmpl w:val="E58A9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3415030">
    <w:abstractNumId w:val="2"/>
  </w:num>
  <w:num w:numId="2" w16cid:durableId="1405646257">
    <w:abstractNumId w:val="1"/>
  </w:num>
  <w:num w:numId="3" w16cid:durableId="227959045">
    <w:abstractNumId w:val="1"/>
  </w:num>
  <w:num w:numId="4" w16cid:durableId="1303577755">
    <w:abstractNumId w:val="1"/>
  </w:num>
  <w:num w:numId="5" w16cid:durableId="1690370359">
    <w:abstractNumId w:val="1"/>
  </w:num>
  <w:num w:numId="6" w16cid:durableId="2078892260">
    <w:abstractNumId w:val="1"/>
  </w:num>
  <w:num w:numId="7" w16cid:durableId="463158893">
    <w:abstractNumId w:val="1"/>
  </w:num>
  <w:num w:numId="8" w16cid:durableId="1339312370">
    <w:abstractNumId w:val="1"/>
  </w:num>
  <w:num w:numId="9" w16cid:durableId="1332374887">
    <w:abstractNumId w:val="1"/>
  </w:num>
  <w:num w:numId="10" w16cid:durableId="748499068">
    <w:abstractNumId w:val="1"/>
  </w:num>
  <w:num w:numId="11" w16cid:durableId="982202073">
    <w:abstractNumId w:val="1"/>
  </w:num>
  <w:num w:numId="12" w16cid:durableId="1048409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987"/>
    <w:rsid w:val="00000D25"/>
    <w:rsid w:val="000150FD"/>
    <w:rsid w:val="00024EE4"/>
    <w:rsid w:val="000259F4"/>
    <w:rsid w:val="00026B0A"/>
    <w:rsid w:val="00036690"/>
    <w:rsid w:val="00036941"/>
    <w:rsid w:val="0005430A"/>
    <w:rsid w:val="0005678F"/>
    <w:rsid w:val="0006344F"/>
    <w:rsid w:val="00084584"/>
    <w:rsid w:val="000C7840"/>
    <w:rsid w:val="0011370F"/>
    <w:rsid w:val="00114A68"/>
    <w:rsid w:val="00135B9B"/>
    <w:rsid w:val="00146E7A"/>
    <w:rsid w:val="00154C69"/>
    <w:rsid w:val="001617D7"/>
    <w:rsid w:val="00161A79"/>
    <w:rsid w:val="00162391"/>
    <w:rsid w:val="00164C53"/>
    <w:rsid w:val="00166D08"/>
    <w:rsid w:val="00171244"/>
    <w:rsid w:val="00175E8A"/>
    <w:rsid w:val="0019719F"/>
    <w:rsid w:val="001A3249"/>
    <w:rsid w:val="001A3B50"/>
    <w:rsid w:val="001A69E6"/>
    <w:rsid w:val="001A773C"/>
    <w:rsid w:val="001B170D"/>
    <w:rsid w:val="001B4D4C"/>
    <w:rsid w:val="001B570C"/>
    <w:rsid w:val="001C1C0C"/>
    <w:rsid w:val="001D29D4"/>
    <w:rsid w:val="001D3C43"/>
    <w:rsid w:val="0020189F"/>
    <w:rsid w:val="0020538D"/>
    <w:rsid w:val="00211183"/>
    <w:rsid w:val="0023716A"/>
    <w:rsid w:val="00244D58"/>
    <w:rsid w:val="00253ED1"/>
    <w:rsid w:val="00265239"/>
    <w:rsid w:val="00267580"/>
    <w:rsid w:val="00276BE4"/>
    <w:rsid w:val="00276C18"/>
    <w:rsid w:val="00284CF7"/>
    <w:rsid w:val="0029137D"/>
    <w:rsid w:val="00291B25"/>
    <w:rsid w:val="002A0658"/>
    <w:rsid w:val="002B1A76"/>
    <w:rsid w:val="002B395F"/>
    <w:rsid w:val="002C17CC"/>
    <w:rsid w:val="002D4F04"/>
    <w:rsid w:val="002F02AD"/>
    <w:rsid w:val="00310099"/>
    <w:rsid w:val="00322089"/>
    <w:rsid w:val="00327E02"/>
    <w:rsid w:val="00334710"/>
    <w:rsid w:val="00352079"/>
    <w:rsid w:val="0038458E"/>
    <w:rsid w:val="00390B11"/>
    <w:rsid w:val="003A1796"/>
    <w:rsid w:val="003B472D"/>
    <w:rsid w:val="003B4A19"/>
    <w:rsid w:val="003D4D7C"/>
    <w:rsid w:val="003D597D"/>
    <w:rsid w:val="003E0A13"/>
    <w:rsid w:val="004236E7"/>
    <w:rsid w:val="00424987"/>
    <w:rsid w:val="004332C3"/>
    <w:rsid w:val="00436CEB"/>
    <w:rsid w:val="00437947"/>
    <w:rsid w:val="004520FD"/>
    <w:rsid w:val="00467C35"/>
    <w:rsid w:val="004703B0"/>
    <w:rsid w:val="004724A7"/>
    <w:rsid w:val="00476D85"/>
    <w:rsid w:val="004820A9"/>
    <w:rsid w:val="00494A5F"/>
    <w:rsid w:val="004C14D6"/>
    <w:rsid w:val="004D3AC8"/>
    <w:rsid w:val="004D6599"/>
    <w:rsid w:val="004E2CDA"/>
    <w:rsid w:val="004E64B8"/>
    <w:rsid w:val="00506EFE"/>
    <w:rsid w:val="00507EE7"/>
    <w:rsid w:val="00543870"/>
    <w:rsid w:val="005465CD"/>
    <w:rsid w:val="00551AEB"/>
    <w:rsid w:val="005539CF"/>
    <w:rsid w:val="00556870"/>
    <w:rsid w:val="00557E8F"/>
    <w:rsid w:val="00585814"/>
    <w:rsid w:val="005B4BCD"/>
    <w:rsid w:val="005C5E7B"/>
    <w:rsid w:val="005D29FB"/>
    <w:rsid w:val="005D3D38"/>
    <w:rsid w:val="005E4332"/>
    <w:rsid w:val="005E6682"/>
    <w:rsid w:val="005E7FC2"/>
    <w:rsid w:val="005F2FEB"/>
    <w:rsid w:val="005F5B83"/>
    <w:rsid w:val="00602645"/>
    <w:rsid w:val="0062065E"/>
    <w:rsid w:val="00623DCD"/>
    <w:rsid w:val="00644159"/>
    <w:rsid w:val="00647D26"/>
    <w:rsid w:val="00695330"/>
    <w:rsid w:val="006959F8"/>
    <w:rsid w:val="006A418A"/>
    <w:rsid w:val="006A7FA3"/>
    <w:rsid w:val="006D4E35"/>
    <w:rsid w:val="006E4753"/>
    <w:rsid w:val="006E5F32"/>
    <w:rsid w:val="006E6109"/>
    <w:rsid w:val="006F67B5"/>
    <w:rsid w:val="0070183F"/>
    <w:rsid w:val="00706794"/>
    <w:rsid w:val="00721395"/>
    <w:rsid w:val="00723887"/>
    <w:rsid w:val="0074553A"/>
    <w:rsid w:val="007642C3"/>
    <w:rsid w:val="00772DEA"/>
    <w:rsid w:val="00781D1E"/>
    <w:rsid w:val="0078544B"/>
    <w:rsid w:val="00794771"/>
    <w:rsid w:val="007D70AF"/>
    <w:rsid w:val="007F2DF0"/>
    <w:rsid w:val="00800CBE"/>
    <w:rsid w:val="0081535B"/>
    <w:rsid w:val="0082291E"/>
    <w:rsid w:val="00824B2C"/>
    <w:rsid w:val="00831416"/>
    <w:rsid w:val="0083242F"/>
    <w:rsid w:val="008526F0"/>
    <w:rsid w:val="00860B8A"/>
    <w:rsid w:val="008809D0"/>
    <w:rsid w:val="00882950"/>
    <w:rsid w:val="00895831"/>
    <w:rsid w:val="008A39F5"/>
    <w:rsid w:val="008A63A8"/>
    <w:rsid w:val="008B1296"/>
    <w:rsid w:val="008B7D2A"/>
    <w:rsid w:val="008E0F18"/>
    <w:rsid w:val="00936921"/>
    <w:rsid w:val="00937C00"/>
    <w:rsid w:val="00951297"/>
    <w:rsid w:val="00951972"/>
    <w:rsid w:val="009861EE"/>
    <w:rsid w:val="009B3040"/>
    <w:rsid w:val="009C250D"/>
    <w:rsid w:val="009D2F80"/>
    <w:rsid w:val="009D76BD"/>
    <w:rsid w:val="009F10E9"/>
    <w:rsid w:val="00A15243"/>
    <w:rsid w:val="00A17AAF"/>
    <w:rsid w:val="00A21B50"/>
    <w:rsid w:val="00A2480D"/>
    <w:rsid w:val="00A328E2"/>
    <w:rsid w:val="00A3357D"/>
    <w:rsid w:val="00A44F4C"/>
    <w:rsid w:val="00A71E0A"/>
    <w:rsid w:val="00A75B0F"/>
    <w:rsid w:val="00A778B4"/>
    <w:rsid w:val="00AA189C"/>
    <w:rsid w:val="00AA1EC9"/>
    <w:rsid w:val="00AA612D"/>
    <w:rsid w:val="00AA64A9"/>
    <w:rsid w:val="00AB2708"/>
    <w:rsid w:val="00AF2BCA"/>
    <w:rsid w:val="00AF31A8"/>
    <w:rsid w:val="00AF70E2"/>
    <w:rsid w:val="00B00A3F"/>
    <w:rsid w:val="00B0765F"/>
    <w:rsid w:val="00B131A9"/>
    <w:rsid w:val="00B136BA"/>
    <w:rsid w:val="00B1676B"/>
    <w:rsid w:val="00B2264B"/>
    <w:rsid w:val="00B46083"/>
    <w:rsid w:val="00B5465F"/>
    <w:rsid w:val="00B77158"/>
    <w:rsid w:val="00B84225"/>
    <w:rsid w:val="00B86EA0"/>
    <w:rsid w:val="00B93A17"/>
    <w:rsid w:val="00B96358"/>
    <w:rsid w:val="00BA30EC"/>
    <w:rsid w:val="00BE4F9D"/>
    <w:rsid w:val="00BF208C"/>
    <w:rsid w:val="00BF5ABF"/>
    <w:rsid w:val="00BF713D"/>
    <w:rsid w:val="00C350DC"/>
    <w:rsid w:val="00C47252"/>
    <w:rsid w:val="00C86A82"/>
    <w:rsid w:val="00C907F0"/>
    <w:rsid w:val="00CA5883"/>
    <w:rsid w:val="00CA5F1E"/>
    <w:rsid w:val="00CB2975"/>
    <w:rsid w:val="00CC230E"/>
    <w:rsid w:val="00CC4C9E"/>
    <w:rsid w:val="00CC6C69"/>
    <w:rsid w:val="00CF08D8"/>
    <w:rsid w:val="00D03201"/>
    <w:rsid w:val="00D05C71"/>
    <w:rsid w:val="00D3481B"/>
    <w:rsid w:val="00D367F4"/>
    <w:rsid w:val="00D47C43"/>
    <w:rsid w:val="00D57589"/>
    <w:rsid w:val="00D639D8"/>
    <w:rsid w:val="00D67DBC"/>
    <w:rsid w:val="00DA0DDB"/>
    <w:rsid w:val="00DA4B58"/>
    <w:rsid w:val="00DA7D3C"/>
    <w:rsid w:val="00DD2901"/>
    <w:rsid w:val="00DD5798"/>
    <w:rsid w:val="00DF49D0"/>
    <w:rsid w:val="00DF65BC"/>
    <w:rsid w:val="00E06081"/>
    <w:rsid w:val="00E2557A"/>
    <w:rsid w:val="00E35567"/>
    <w:rsid w:val="00E41AED"/>
    <w:rsid w:val="00E514B5"/>
    <w:rsid w:val="00E551E7"/>
    <w:rsid w:val="00E56157"/>
    <w:rsid w:val="00E60E75"/>
    <w:rsid w:val="00E73213"/>
    <w:rsid w:val="00E73DC0"/>
    <w:rsid w:val="00E76A08"/>
    <w:rsid w:val="00E919E2"/>
    <w:rsid w:val="00E91E21"/>
    <w:rsid w:val="00E97FE1"/>
    <w:rsid w:val="00EB3999"/>
    <w:rsid w:val="00EC69C2"/>
    <w:rsid w:val="00EE5BE6"/>
    <w:rsid w:val="00EF34FD"/>
    <w:rsid w:val="00F03691"/>
    <w:rsid w:val="00F067B2"/>
    <w:rsid w:val="00F14466"/>
    <w:rsid w:val="00F14A4E"/>
    <w:rsid w:val="00F200C4"/>
    <w:rsid w:val="00F210BB"/>
    <w:rsid w:val="00F2292D"/>
    <w:rsid w:val="00F26CAD"/>
    <w:rsid w:val="00F33110"/>
    <w:rsid w:val="00F42937"/>
    <w:rsid w:val="00F43C12"/>
    <w:rsid w:val="00F51ABE"/>
    <w:rsid w:val="00F63BE5"/>
    <w:rsid w:val="00F7080E"/>
    <w:rsid w:val="00F95178"/>
    <w:rsid w:val="00FA3557"/>
    <w:rsid w:val="00FB0CC2"/>
    <w:rsid w:val="00FB4AC9"/>
    <w:rsid w:val="00FB50A7"/>
    <w:rsid w:val="00FC1FAE"/>
    <w:rsid w:val="00FC41E7"/>
    <w:rsid w:val="00FD0B26"/>
    <w:rsid w:val="00FD6B3B"/>
    <w:rsid w:val="00FF0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392BF"/>
  <w15:chartTrackingRefBased/>
  <w15:docId w15:val="{4949C4CA-283A-46B6-9FB5-DF8D7CBC8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4987"/>
  </w:style>
  <w:style w:type="paragraph" w:styleId="Heading1">
    <w:name w:val="heading 1"/>
    <w:basedOn w:val="Normal"/>
    <w:next w:val="Normal"/>
    <w:link w:val="Heading1Char"/>
    <w:uiPriority w:val="9"/>
    <w:qFormat/>
    <w:rsid w:val="00424987"/>
    <w:pPr>
      <w:keepNext/>
      <w:keepLines/>
      <w:numPr>
        <w:numId w:val="1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424987"/>
    <w:pPr>
      <w:keepNext/>
      <w:keepLines/>
      <w:numPr>
        <w:ilvl w:val="1"/>
        <w:numId w:val="1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424987"/>
    <w:pPr>
      <w:keepNext/>
      <w:keepLines/>
      <w:numPr>
        <w:ilvl w:val="2"/>
        <w:numId w:val="1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424987"/>
    <w:pPr>
      <w:keepNext/>
      <w:keepLines/>
      <w:numPr>
        <w:ilvl w:val="3"/>
        <w:numId w:val="1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424987"/>
    <w:pPr>
      <w:keepNext/>
      <w:keepLines/>
      <w:numPr>
        <w:ilvl w:val="4"/>
        <w:numId w:val="11"/>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424987"/>
    <w:pPr>
      <w:keepNext/>
      <w:keepLines/>
      <w:numPr>
        <w:ilvl w:val="5"/>
        <w:numId w:val="11"/>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424987"/>
    <w:pPr>
      <w:keepNext/>
      <w:keepLines/>
      <w:numPr>
        <w:ilvl w:val="6"/>
        <w:numId w:val="1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24987"/>
    <w:pPr>
      <w:keepNext/>
      <w:keepLines/>
      <w:numPr>
        <w:ilvl w:val="7"/>
        <w:numId w:val="1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24987"/>
    <w:pPr>
      <w:keepNext/>
      <w:keepLines/>
      <w:numPr>
        <w:ilvl w:val="8"/>
        <w:numId w:val="1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987"/>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424987"/>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424987"/>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424987"/>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424987"/>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424987"/>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42498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24987"/>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24987"/>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424987"/>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424987"/>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424987"/>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424987"/>
    <w:rPr>
      <w:color w:val="5A5A5A" w:themeColor="text1" w:themeTint="A5"/>
      <w:spacing w:val="10"/>
    </w:rPr>
  </w:style>
  <w:style w:type="paragraph" w:styleId="Quote">
    <w:name w:val="Quote"/>
    <w:basedOn w:val="Normal"/>
    <w:next w:val="Normal"/>
    <w:link w:val="QuoteChar"/>
    <w:uiPriority w:val="29"/>
    <w:qFormat/>
    <w:rsid w:val="00424987"/>
    <w:pPr>
      <w:spacing w:before="160"/>
      <w:ind w:left="720" w:right="720"/>
    </w:pPr>
    <w:rPr>
      <w:i/>
      <w:iCs/>
      <w:color w:val="000000" w:themeColor="text1"/>
    </w:rPr>
  </w:style>
  <w:style w:type="character" w:customStyle="1" w:styleId="QuoteChar">
    <w:name w:val="Quote Char"/>
    <w:basedOn w:val="DefaultParagraphFont"/>
    <w:link w:val="Quote"/>
    <w:uiPriority w:val="29"/>
    <w:rsid w:val="00424987"/>
    <w:rPr>
      <w:i/>
      <w:iCs/>
      <w:color w:val="000000" w:themeColor="text1"/>
    </w:rPr>
  </w:style>
  <w:style w:type="paragraph" w:styleId="ListParagraph">
    <w:name w:val="List Paragraph"/>
    <w:basedOn w:val="Normal"/>
    <w:uiPriority w:val="34"/>
    <w:qFormat/>
    <w:rsid w:val="00424987"/>
    <w:pPr>
      <w:ind w:left="720"/>
      <w:contextualSpacing/>
    </w:pPr>
  </w:style>
  <w:style w:type="character" w:styleId="IntenseEmphasis">
    <w:name w:val="Intense Emphasis"/>
    <w:basedOn w:val="DefaultParagraphFont"/>
    <w:uiPriority w:val="21"/>
    <w:qFormat/>
    <w:rsid w:val="00424987"/>
    <w:rPr>
      <w:b/>
      <w:bCs/>
      <w:i/>
      <w:iCs/>
      <w:caps/>
    </w:rPr>
  </w:style>
  <w:style w:type="paragraph" w:styleId="IntenseQuote">
    <w:name w:val="Intense Quote"/>
    <w:basedOn w:val="Normal"/>
    <w:next w:val="Normal"/>
    <w:link w:val="IntenseQuoteChar"/>
    <w:uiPriority w:val="30"/>
    <w:qFormat/>
    <w:rsid w:val="00424987"/>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424987"/>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424987"/>
    <w:rPr>
      <w:b/>
      <w:bCs/>
      <w:smallCaps/>
      <w:u w:val="single"/>
    </w:rPr>
  </w:style>
  <w:style w:type="paragraph" w:styleId="Caption">
    <w:name w:val="caption"/>
    <w:basedOn w:val="Normal"/>
    <w:next w:val="Normal"/>
    <w:uiPriority w:val="35"/>
    <w:semiHidden/>
    <w:unhideWhenUsed/>
    <w:qFormat/>
    <w:rsid w:val="00424987"/>
    <w:pPr>
      <w:spacing w:after="200" w:line="240" w:lineRule="auto"/>
    </w:pPr>
    <w:rPr>
      <w:i/>
      <w:iCs/>
      <w:color w:val="1F497D" w:themeColor="text2"/>
      <w:sz w:val="18"/>
      <w:szCs w:val="18"/>
    </w:rPr>
  </w:style>
  <w:style w:type="character" w:styleId="Strong">
    <w:name w:val="Strong"/>
    <w:basedOn w:val="DefaultParagraphFont"/>
    <w:uiPriority w:val="22"/>
    <w:qFormat/>
    <w:rsid w:val="00424987"/>
    <w:rPr>
      <w:b/>
      <w:bCs/>
      <w:color w:val="000000" w:themeColor="text1"/>
    </w:rPr>
  </w:style>
  <w:style w:type="character" w:styleId="Emphasis">
    <w:name w:val="Emphasis"/>
    <w:basedOn w:val="DefaultParagraphFont"/>
    <w:uiPriority w:val="20"/>
    <w:qFormat/>
    <w:rsid w:val="00424987"/>
    <w:rPr>
      <w:i/>
      <w:iCs/>
      <w:color w:val="auto"/>
    </w:rPr>
  </w:style>
  <w:style w:type="paragraph" w:styleId="NoSpacing">
    <w:name w:val="No Spacing"/>
    <w:uiPriority w:val="1"/>
    <w:qFormat/>
    <w:rsid w:val="00424987"/>
    <w:pPr>
      <w:spacing w:after="0" w:line="240" w:lineRule="auto"/>
    </w:pPr>
  </w:style>
  <w:style w:type="character" w:styleId="SubtleEmphasis">
    <w:name w:val="Subtle Emphasis"/>
    <w:basedOn w:val="DefaultParagraphFont"/>
    <w:uiPriority w:val="19"/>
    <w:qFormat/>
    <w:rsid w:val="00424987"/>
    <w:rPr>
      <w:i/>
      <w:iCs/>
      <w:color w:val="404040" w:themeColor="text1" w:themeTint="BF"/>
    </w:rPr>
  </w:style>
  <w:style w:type="character" w:styleId="SubtleReference">
    <w:name w:val="Subtle Reference"/>
    <w:basedOn w:val="DefaultParagraphFont"/>
    <w:uiPriority w:val="31"/>
    <w:qFormat/>
    <w:rsid w:val="00424987"/>
    <w:rPr>
      <w:smallCaps/>
      <w:color w:val="404040" w:themeColor="text1" w:themeTint="BF"/>
      <w:u w:val="single" w:color="7F7F7F" w:themeColor="text1" w:themeTint="80"/>
    </w:rPr>
  </w:style>
  <w:style w:type="character" w:styleId="BookTitle">
    <w:name w:val="Book Title"/>
    <w:basedOn w:val="DefaultParagraphFont"/>
    <w:uiPriority w:val="33"/>
    <w:qFormat/>
    <w:rsid w:val="00424987"/>
    <w:rPr>
      <w:b w:val="0"/>
      <w:bCs w:val="0"/>
      <w:smallCaps/>
      <w:spacing w:val="5"/>
    </w:rPr>
  </w:style>
  <w:style w:type="paragraph" w:styleId="TOCHeading">
    <w:name w:val="TOC Heading"/>
    <w:basedOn w:val="Heading1"/>
    <w:next w:val="Normal"/>
    <w:uiPriority w:val="39"/>
    <w:unhideWhenUsed/>
    <w:qFormat/>
    <w:rsid w:val="00424987"/>
    <w:pPr>
      <w:outlineLvl w:val="9"/>
    </w:pPr>
  </w:style>
  <w:style w:type="table" w:styleId="GridTable4">
    <w:name w:val="Grid Table 4"/>
    <w:basedOn w:val="TableNormal"/>
    <w:uiPriority w:val="49"/>
    <w:rsid w:val="0042498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F200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0C4"/>
  </w:style>
  <w:style w:type="paragraph" w:styleId="Footer">
    <w:name w:val="footer"/>
    <w:basedOn w:val="Normal"/>
    <w:link w:val="FooterChar"/>
    <w:uiPriority w:val="99"/>
    <w:unhideWhenUsed/>
    <w:rsid w:val="00F200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0C4"/>
  </w:style>
  <w:style w:type="paragraph" w:styleId="TOC1">
    <w:name w:val="toc 1"/>
    <w:basedOn w:val="Normal"/>
    <w:next w:val="Normal"/>
    <w:autoRedefine/>
    <w:uiPriority w:val="39"/>
    <w:unhideWhenUsed/>
    <w:rsid w:val="00171244"/>
    <w:pPr>
      <w:spacing w:after="100"/>
    </w:pPr>
  </w:style>
  <w:style w:type="paragraph" w:styleId="TOC2">
    <w:name w:val="toc 2"/>
    <w:basedOn w:val="Normal"/>
    <w:next w:val="Normal"/>
    <w:autoRedefine/>
    <w:uiPriority w:val="39"/>
    <w:unhideWhenUsed/>
    <w:rsid w:val="00171244"/>
    <w:pPr>
      <w:spacing w:after="100"/>
      <w:ind w:left="220"/>
    </w:pPr>
  </w:style>
  <w:style w:type="character" w:styleId="Hyperlink">
    <w:name w:val="Hyperlink"/>
    <w:basedOn w:val="DefaultParagraphFont"/>
    <w:uiPriority w:val="99"/>
    <w:unhideWhenUsed/>
    <w:rsid w:val="00171244"/>
    <w:rPr>
      <w:color w:val="0000FF" w:themeColor="hyperlink"/>
      <w:u w:val="single"/>
    </w:rPr>
  </w:style>
  <w:style w:type="table" w:styleId="GridTable4-Accent4">
    <w:name w:val="Grid Table 4 Accent 4"/>
    <w:basedOn w:val="TableNormal"/>
    <w:uiPriority w:val="49"/>
    <w:rsid w:val="00E76A08"/>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E76A0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Grid">
    <w:name w:val="Table Grid"/>
    <w:basedOn w:val="TableNormal"/>
    <w:uiPriority w:val="59"/>
    <w:rsid w:val="00114A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Caption">
    <w:name w:val="Figure Caption"/>
    <w:rsid w:val="00114A68"/>
    <w:pPr>
      <w:jc w:val="center"/>
    </w:pPr>
    <w:rPr>
      <w:rFonts w:ascii="Arial" w:hAnsi="Arial"/>
      <w:i/>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hyperlink" Target="https://travelwithpurpose.hilton.com/our-reporting/" TargetMode="External"/><Relationship Id="rId26" Type="http://schemas.openxmlformats.org/officeDocument/2006/relationships/chart" Target="charts/chart7.xml"/><Relationship Id="rId21" Type="http://schemas.openxmlformats.org/officeDocument/2006/relationships/hyperlink" Target="https://www.sec.gov/Archives/edgar/data/1585689/000158568926000007/hlt-20251231.htm" TargetMode="External"/><Relationship Id="rId34"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www.sec.gov/Archives/edgar/data/1046311/000104631126000008/chh-20251231.htm" TargetMode="External"/><Relationship Id="rId25" Type="http://schemas.openxmlformats.org/officeDocument/2006/relationships/hyperlink" Target="https://www.sec.gov/Archives/edgar/data/1722684/000172268426000007/wh-20251231.htm" TargetMode="External"/><Relationship Id="rId33"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accaglobal.com/gb/en/student/exam-support-resources/fundamentals-exams-study-resources/f9/technical-articles/advanced-investment-appraisal.html" TargetMode="External"/><Relationship Id="rId20" Type="http://schemas.openxmlformats.org/officeDocument/2006/relationships/hyperlink" Target="https://www.sec.gov/Archives/edgar/data/1585689/000158568924000027/hlt-20231231.htm" TargetMode="External"/><Relationship Id="rId29"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www.sec.gov/Archives/edgar/data/1048286/000104828626000007/mar-20251231.htm" TargetMode="External"/><Relationship Id="rId32" Type="http://schemas.openxmlformats.org/officeDocument/2006/relationships/chart" Target="charts/chart13.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icaew.com/technical/business/financial-management/carrying-out-investment-appraisals" TargetMode="External"/><Relationship Id="rId28" Type="http://schemas.openxmlformats.org/officeDocument/2006/relationships/chart" Target="charts/chart9.xml"/><Relationship Id="rId36"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s://www.sec.gov/Archives/edgar/data/1585689/000158568922000013/hlt-20211231.htm" TargetMode="External"/><Relationship Id="rId31"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 Id="rId22" Type="http://schemas.openxmlformats.org/officeDocument/2006/relationships/hyperlink" Target="https://hospitality.institute/mha805/key-liquidity-ratios-hotel-financial-health/" TargetMode="External"/><Relationship Id="rId27" Type="http://schemas.openxmlformats.org/officeDocument/2006/relationships/chart" Target="charts/chart8.xml"/><Relationship Id="rId30" Type="http://schemas.openxmlformats.org/officeDocument/2006/relationships/chart" Target="charts/chart11.xm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esktop\FILE\Hilton_Five_Year_Financial_Analysis_2021_2025.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esktop\FILE\Hilton_Investment_Appraisal_Capital_Budgeting.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P\Desktop\FILE\Hilton_Investment_Appraisal_Capital_Budgeting.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P\Desktop\FILE\Hilton_Investment_Appraisal_Capital_Budgeting.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P\Desktop\FILE\Hilton_Investment_Appraisal_Capital_Budgeting.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P\Desktop\FILE\Hilton_Investment_Appraisal_Capital_Budgeting.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HP\Desktop\FILE\Hilton_Five_Year_Financial_Analysis_2021_2025.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HP\Desktop\FILE\Hilton_Five_Year_Financial_Analysis_2021_2025.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HP\Desktop\FILE\Hilton_Five_Year_Financial_Analysis_2021_2025.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HP\Desktop\FILE\Hilton_Five_Year_Financial_Analysis_2021_202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HP\Desktop\FILE\Hilton_Five_Year_Financial_Analysis_2021_2025.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HP\Desktop\FILE\Hilton_Five_Year_Financial_Analysis_2021_2025.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HP\Desktop\FILE\Hilton_Five_Year_Financial_Analysis_2021_202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b="1"/>
              <a:t>Liquidity Ratios: Hilton and Peer Set</a:t>
            </a:r>
          </a:p>
        </c:rich>
      </c:tx>
      <c:overlay val="0"/>
    </c:title>
    <c:autoTitleDeleted val="0"/>
    <c:plotArea>
      <c:layout/>
      <c:barChart>
        <c:barDir val="col"/>
        <c:grouping val="clustered"/>
        <c:varyColors val="0"/>
        <c:ser>
          <c:idx val="0"/>
          <c:order val="0"/>
          <c:tx>
            <c:v>Current ratio</c:v>
          </c:tx>
          <c:invertIfNegative val="1"/>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'Liquidity Benchmark'!$L$5:$L$9</c:f>
              <c:strCache>
                <c:ptCount val="5"/>
                <c:pt idx="0">
                  <c:v>Hilton Worldwide</c:v>
                </c:pt>
                <c:pt idx="1">
                  <c:v>Marriott International</c:v>
                </c:pt>
                <c:pt idx="2">
                  <c:v>Wyndham Hotels &amp; Resorts</c:v>
                </c:pt>
                <c:pt idx="3">
                  <c:v>Choice Hotels International</c:v>
                </c:pt>
                <c:pt idx="4">
                  <c:v>Peer median</c:v>
                </c:pt>
              </c:strCache>
            </c:strRef>
          </c:cat>
          <c:val>
            <c:numRef>
              <c:f>'Liquidity Benchmark'!$M$5:$M$9</c:f>
              <c:numCache>
                <c:formatCode>General</c:formatCode>
                <c:ptCount val="5"/>
                <c:pt idx="0">
                  <c:v>0.6645962732919255</c:v>
                </c:pt>
                <c:pt idx="1">
                  <c:v>0.42676827816146701</c:v>
                </c:pt>
                <c:pt idx="2">
                  <c:v>0.85798816568047342</c:v>
                </c:pt>
                <c:pt idx="3">
                  <c:v>0.86883333939665008</c:v>
                </c:pt>
                <c:pt idx="4">
                  <c:v>0.85798816568047342</c:v>
                </c:pt>
              </c:numCache>
            </c:numRef>
          </c:val>
          <c:extLst>
            <c:ext xmlns:c16="http://schemas.microsoft.com/office/drawing/2014/chart" uri="{C3380CC4-5D6E-409C-BE32-E72D297353CC}">
              <c16:uniqueId val="{00000000-C30F-4E27-8266-56B3A15F01A9}"/>
            </c:ext>
          </c:extLst>
        </c:ser>
        <c:ser>
          <c:idx val="1"/>
          <c:order val="1"/>
          <c:tx>
            <c:v>Quick ratio</c:v>
          </c:tx>
          <c:invertIfNegative val="1"/>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'Liquidity Benchmark'!$L$5:$L$9</c:f>
              <c:strCache>
                <c:ptCount val="5"/>
                <c:pt idx="0">
                  <c:v>Hilton Worldwide</c:v>
                </c:pt>
                <c:pt idx="1">
                  <c:v>Marriott International</c:v>
                </c:pt>
                <c:pt idx="2">
                  <c:v>Wyndham Hotels &amp; Resorts</c:v>
                </c:pt>
                <c:pt idx="3">
                  <c:v>Choice Hotels International</c:v>
                </c:pt>
                <c:pt idx="4">
                  <c:v>Peer median</c:v>
                </c:pt>
              </c:strCache>
            </c:strRef>
          </c:cat>
          <c:val>
            <c:numRef>
              <c:f>'Liquidity Benchmark'!$N$5:$N$9</c:f>
              <c:numCache>
                <c:formatCode>General</c:formatCode>
                <c:ptCount val="5"/>
                <c:pt idx="0">
                  <c:v>0.59006211180124224</c:v>
                </c:pt>
                <c:pt idx="1">
                  <c:v>0.3890211955227435</c:v>
                </c:pt>
                <c:pt idx="2">
                  <c:v>0.70019723865877714</c:v>
                </c:pt>
                <c:pt idx="3">
                  <c:v>0.77174608541572598</c:v>
                </c:pt>
                <c:pt idx="4">
                  <c:v>0.70019723865877714</c:v>
                </c:pt>
              </c:numCache>
            </c:numRef>
          </c:val>
          <c:extLst>
            <c:ext xmlns:c16="http://schemas.microsoft.com/office/drawing/2014/chart" uri="{C3380CC4-5D6E-409C-BE32-E72D297353CC}">
              <c16:uniqueId val="{00000001-C30F-4E27-8266-56B3A15F01A9}"/>
            </c:ext>
          </c:extLst>
        </c:ser>
        <c:ser>
          <c:idx val="2"/>
          <c:order val="2"/>
          <c:tx>
            <c:v>Cash ratio</c:v>
          </c:tx>
          <c:invertIfNegative val="1"/>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'Liquidity Benchmark'!$L$5:$L$9</c:f>
              <c:strCache>
                <c:ptCount val="5"/>
                <c:pt idx="0">
                  <c:v>Hilton Worldwide</c:v>
                </c:pt>
                <c:pt idx="1">
                  <c:v>Marriott International</c:v>
                </c:pt>
                <c:pt idx="2">
                  <c:v>Wyndham Hotels &amp; Resorts</c:v>
                </c:pt>
                <c:pt idx="3">
                  <c:v>Choice Hotels International</c:v>
                </c:pt>
                <c:pt idx="4">
                  <c:v>Peer median</c:v>
                </c:pt>
              </c:strCache>
            </c:strRef>
          </c:cat>
          <c:val>
            <c:numRef>
              <c:f>'Liquidity Benchmark'!$O$5:$O$9</c:f>
              <c:numCache>
                <c:formatCode>General</c:formatCode>
                <c:ptCount val="5"/>
                <c:pt idx="0">
                  <c:v>0.21517302573203195</c:v>
                </c:pt>
                <c:pt idx="1">
                  <c:v>4.2629197427959037E-2</c:v>
                </c:pt>
                <c:pt idx="2">
                  <c:v>0.12623274161735701</c:v>
                </c:pt>
                <c:pt idx="3">
                  <c:v>9.629331615631373E-2</c:v>
                </c:pt>
                <c:pt idx="4">
                  <c:v>9.629331615631373E-2</c:v>
                </c:pt>
              </c:numCache>
            </c:numRef>
          </c:val>
          <c:extLst>
            <c:ext xmlns:c16="http://schemas.microsoft.com/office/drawing/2014/chart" uri="{C3380CC4-5D6E-409C-BE32-E72D297353CC}">
              <c16:uniqueId val="{00000002-C30F-4E27-8266-56B3A15F01A9}"/>
            </c:ext>
          </c:extLst>
        </c:ser>
        <c:dLbls>
          <c:dLblPos val="outEnd"/>
          <c:showLegendKey val="0"/>
          <c:showVal val="1"/>
          <c:showCatName val="0"/>
          <c:showSerName val="0"/>
          <c:showPercent val="0"/>
          <c:showBubbleSize val="0"/>
        </c:dLbls>
        <c:gapWidth val="150"/>
        <c:axId val="48650112"/>
        <c:axId val="48672768"/>
      </c:bar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b="1"/>
              <a:t>Annual Net Cash Inflows (£m)</a:t>
            </a:r>
          </a:p>
        </c:rich>
      </c:tx>
      <c:overlay val="0"/>
    </c:title>
    <c:autoTitleDeleted val="0"/>
    <c:plotArea>
      <c:layout/>
      <c:lineChart>
        <c:grouping val="standard"/>
        <c:varyColors val="1"/>
        <c:ser>
          <c:idx val="0"/>
          <c:order val="0"/>
          <c:tx>
            <c:v>Project A</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Dashboard!$L$24:$L$28</c:f>
              <c:numCache>
                <c:formatCode>General</c:formatCode>
                <c:ptCount val="5"/>
                <c:pt idx="0">
                  <c:v>1</c:v>
                </c:pt>
                <c:pt idx="1">
                  <c:v>2</c:v>
                </c:pt>
                <c:pt idx="2">
                  <c:v>3</c:v>
                </c:pt>
                <c:pt idx="3">
                  <c:v>4</c:v>
                </c:pt>
                <c:pt idx="4">
                  <c:v>5</c:v>
                </c:pt>
              </c:numCache>
            </c:numRef>
          </c:cat>
          <c:val>
            <c:numRef>
              <c:f>Dashboard!$M$24:$M$28</c:f>
              <c:numCache>
                <c:formatCode>General</c:formatCode>
                <c:ptCount val="5"/>
                <c:pt idx="0">
                  <c:v>10</c:v>
                </c:pt>
                <c:pt idx="1">
                  <c:v>12</c:v>
                </c:pt>
                <c:pt idx="2">
                  <c:v>14</c:v>
                </c:pt>
                <c:pt idx="3">
                  <c:v>10</c:v>
                </c:pt>
                <c:pt idx="4">
                  <c:v>8</c:v>
                </c:pt>
              </c:numCache>
            </c:numRef>
          </c:val>
          <c:smooth val="0"/>
          <c:extLst>
            <c:ext xmlns:c16="http://schemas.microsoft.com/office/drawing/2014/chart" uri="{C3380CC4-5D6E-409C-BE32-E72D297353CC}">
              <c16:uniqueId val="{00000000-6875-418F-82C6-6D8A1B553B31}"/>
            </c:ext>
          </c:extLst>
        </c:ser>
        <c:ser>
          <c:idx val="1"/>
          <c:order val="1"/>
          <c:tx>
            <c:v>Project B</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Dashboard!$L$24:$L$28</c:f>
              <c:numCache>
                <c:formatCode>General</c:formatCode>
                <c:ptCount val="5"/>
                <c:pt idx="0">
                  <c:v>1</c:v>
                </c:pt>
                <c:pt idx="1">
                  <c:v>2</c:v>
                </c:pt>
                <c:pt idx="2">
                  <c:v>3</c:v>
                </c:pt>
                <c:pt idx="3">
                  <c:v>4</c:v>
                </c:pt>
                <c:pt idx="4">
                  <c:v>5</c:v>
                </c:pt>
              </c:numCache>
            </c:numRef>
          </c:cat>
          <c:val>
            <c:numRef>
              <c:f>Dashboard!$N$24:$N$28</c:f>
              <c:numCache>
                <c:formatCode>General</c:formatCode>
                <c:ptCount val="5"/>
                <c:pt idx="0">
                  <c:v>11</c:v>
                </c:pt>
                <c:pt idx="1">
                  <c:v>11</c:v>
                </c:pt>
                <c:pt idx="2">
                  <c:v>11</c:v>
                </c:pt>
                <c:pt idx="3">
                  <c:v>11</c:v>
                </c:pt>
                <c:pt idx="4">
                  <c:v>11</c:v>
                </c:pt>
              </c:numCache>
            </c:numRef>
          </c:val>
          <c:smooth val="0"/>
          <c:extLst>
            <c:ext xmlns:c16="http://schemas.microsoft.com/office/drawing/2014/chart" uri="{C3380CC4-5D6E-409C-BE32-E72D297353CC}">
              <c16:uniqueId val="{00000001-6875-418F-82C6-6D8A1B553B31}"/>
            </c:ext>
          </c:extLst>
        </c:ser>
        <c:ser>
          <c:idx val="2"/>
          <c:order val="2"/>
          <c:tx>
            <c:v>Project C</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Dashboard!$L$24:$L$28</c:f>
              <c:numCache>
                <c:formatCode>General</c:formatCode>
                <c:ptCount val="5"/>
                <c:pt idx="0">
                  <c:v>1</c:v>
                </c:pt>
                <c:pt idx="1">
                  <c:v>2</c:v>
                </c:pt>
                <c:pt idx="2">
                  <c:v>3</c:v>
                </c:pt>
                <c:pt idx="3">
                  <c:v>4</c:v>
                </c:pt>
                <c:pt idx="4">
                  <c:v>5</c:v>
                </c:pt>
              </c:numCache>
            </c:numRef>
          </c:cat>
          <c:val>
            <c:numRef>
              <c:f>Dashboard!$O$24:$O$28</c:f>
              <c:numCache>
                <c:formatCode>General</c:formatCode>
                <c:ptCount val="5"/>
                <c:pt idx="0">
                  <c:v>5</c:v>
                </c:pt>
                <c:pt idx="1">
                  <c:v>10</c:v>
                </c:pt>
                <c:pt idx="2">
                  <c:v>20</c:v>
                </c:pt>
                <c:pt idx="3">
                  <c:v>25</c:v>
                </c:pt>
                <c:pt idx="4">
                  <c:v>5</c:v>
                </c:pt>
              </c:numCache>
            </c:numRef>
          </c:val>
          <c:smooth val="0"/>
          <c:extLst>
            <c:ext xmlns:c16="http://schemas.microsoft.com/office/drawing/2014/chart" uri="{C3380CC4-5D6E-409C-BE32-E72D297353CC}">
              <c16:uniqueId val="{00000002-6875-418F-82C6-6D8A1B553B31}"/>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a:t>NPV by Project (£m)</a:t>
            </a:r>
          </a:p>
        </c:rich>
      </c:tx>
      <c:overlay val="0"/>
      <c:spPr>
        <a:noFill/>
        <a:ln>
          <a:noFill/>
        </a:ln>
        <a:effectLst/>
      </c:spPr>
    </c:title>
    <c:autoTitleDeleted val="0"/>
    <c:plotArea>
      <c:layout/>
      <c:barChart>
        <c:barDir val="col"/>
        <c:grouping val="clustered"/>
        <c:varyColors val="0"/>
        <c:ser>
          <c:idx val="0"/>
          <c:order val="0"/>
          <c:tx>
            <c:v>NPV (£m)</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Dashboard!$L$12:$L$14</c:f>
              <c:strCache>
                <c:ptCount val="3"/>
                <c:pt idx="0">
                  <c:v>A</c:v>
                </c:pt>
                <c:pt idx="1">
                  <c:v>B</c:v>
                </c:pt>
                <c:pt idx="2">
                  <c:v>C</c:v>
                </c:pt>
              </c:strCache>
            </c:strRef>
          </c:cat>
          <c:val>
            <c:numRef>
              <c:f>Dashboard!$M$12:$M$14</c:f>
              <c:numCache>
                <c:formatCode>General</c:formatCode>
                <c:ptCount val="3"/>
                <c:pt idx="0">
                  <c:v>-6.5440594186024086</c:v>
                </c:pt>
                <c:pt idx="1">
                  <c:v>-6.0801895921410605</c:v>
                </c:pt>
                <c:pt idx="2">
                  <c:v>0.85832495813095733</c:v>
                </c:pt>
              </c:numCache>
            </c:numRef>
          </c:val>
          <c:extLst>
            <c:ext xmlns:c16="http://schemas.microsoft.com/office/drawing/2014/chart" uri="{C3380CC4-5D6E-409C-BE32-E72D297353CC}">
              <c16:uniqueId val="{00000000-72C6-47B2-B50D-D372492A1B1F}"/>
            </c:ext>
          </c:extLst>
        </c:ser>
        <c:dLbls>
          <c:dLblPos val="outEnd"/>
          <c:showLegendKey val="0"/>
          <c:showVal val="1"/>
          <c:showCatName val="0"/>
          <c:showSerName val="0"/>
          <c:showPercent val="0"/>
          <c:showBubbleSize val="0"/>
        </c:dLbls>
        <c:gapWidth val="100"/>
        <c:overlap val="-24"/>
        <c:axId val="48650112"/>
        <c:axId val="48672768"/>
      </c:barChart>
      <c:catAx>
        <c:axId val="4865011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650112"/>
        <c:crosses val="autoZero"/>
        <c:crossBetween val="between"/>
      </c:valAx>
      <c:spPr>
        <a:noFill/>
        <a:ln>
          <a:noFill/>
        </a:ln>
        <a:effectLst/>
      </c:spPr>
    </c:plotArea>
    <c:plotVisOnly val="1"/>
    <c:dispBlanksAs val="zero"/>
    <c:showDLblsOverMax val="1"/>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a:t>IRR versus 8% Hurdle Rate</a:t>
            </a:r>
          </a:p>
        </c:rich>
      </c:tx>
      <c:overlay val="0"/>
      <c:spPr>
        <a:noFill/>
        <a:ln>
          <a:noFill/>
        </a:ln>
        <a:effectLst/>
      </c:spPr>
    </c:title>
    <c:autoTitleDeleted val="0"/>
    <c:plotArea>
      <c:layout/>
      <c:barChart>
        <c:barDir val="col"/>
        <c:grouping val="clustered"/>
        <c:varyColors val="0"/>
        <c:ser>
          <c:idx val="0"/>
          <c:order val="0"/>
          <c:tx>
            <c:v>IRR</c:v>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Dashboard!$L$18:$L$20</c:f>
              <c:strCache>
                <c:ptCount val="3"/>
                <c:pt idx="0">
                  <c:v>A</c:v>
                </c:pt>
                <c:pt idx="1">
                  <c:v>B</c:v>
                </c:pt>
                <c:pt idx="2">
                  <c:v>C</c:v>
                </c:pt>
              </c:strCache>
            </c:strRef>
          </c:cat>
          <c:val>
            <c:numRef>
              <c:f>Dashboard!$M$18:$M$20</c:f>
              <c:numCache>
                <c:formatCode>General</c:formatCode>
                <c:ptCount val="3"/>
                <c:pt idx="0">
                  <c:v>2.7219684840601444E-2</c:v>
                </c:pt>
                <c:pt idx="1">
                  <c:v>3.2634958177834239E-2</c:v>
                </c:pt>
                <c:pt idx="2">
                  <c:v>8.5867557437232289E-2</c:v>
                </c:pt>
              </c:numCache>
            </c:numRef>
          </c:val>
          <c:extLst>
            <c:ext xmlns:c16="http://schemas.microsoft.com/office/drawing/2014/chart" uri="{C3380CC4-5D6E-409C-BE32-E72D297353CC}">
              <c16:uniqueId val="{00000000-E3D1-40E5-998B-D118F96E834D}"/>
            </c:ext>
          </c:extLst>
        </c:ser>
        <c:ser>
          <c:idx val="1"/>
          <c:order val="1"/>
          <c:tx>
            <c:v>8% hurdle</c:v>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Dashboard!$L$18:$L$20</c:f>
              <c:strCache>
                <c:ptCount val="3"/>
                <c:pt idx="0">
                  <c:v>A</c:v>
                </c:pt>
                <c:pt idx="1">
                  <c:v>B</c:v>
                </c:pt>
                <c:pt idx="2">
                  <c:v>C</c:v>
                </c:pt>
              </c:strCache>
            </c:strRef>
          </c:cat>
          <c:val>
            <c:numRef>
              <c:f>Dashboard!$N$18:$N$20</c:f>
              <c:numCache>
                <c:formatCode>General</c:formatCode>
                <c:ptCount val="3"/>
                <c:pt idx="0">
                  <c:v>0.08</c:v>
                </c:pt>
                <c:pt idx="1">
                  <c:v>0.08</c:v>
                </c:pt>
                <c:pt idx="2">
                  <c:v>0.08</c:v>
                </c:pt>
              </c:numCache>
            </c:numRef>
          </c:val>
          <c:extLst>
            <c:ext xmlns:c16="http://schemas.microsoft.com/office/drawing/2014/chart" uri="{C3380CC4-5D6E-409C-BE32-E72D297353CC}">
              <c16:uniqueId val="{00000001-E3D1-40E5-998B-D118F96E834D}"/>
            </c:ext>
          </c:extLst>
        </c:ser>
        <c:dLbls>
          <c:dLblPos val="outEnd"/>
          <c:showLegendKey val="0"/>
          <c:showVal val="1"/>
          <c:showCatName val="0"/>
          <c:showSerName val="0"/>
          <c:showPercent val="0"/>
          <c:showBubbleSize val="0"/>
        </c:dLbls>
        <c:gapWidth val="100"/>
        <c:overlap val="-24"/>
        <c:axId val="48650112"/>
        <c:axId val="48672768"/>
      </c:barChart>
      <c:catAx>
        <c:axId val="4865011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48650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a:t>Portfolio NPV under £100m Limit (£m)</a:t>
            </a:r>
          </a:p>
        </c:rich>
      </c:tx>
      <c:overlay val="0"/>
      <c:spPr>
        <a:noFill/>
        <a:ln>
          <a:noFill/>
        </a:ln>
        <a:effectLst/>
      </c:spPr>
    </c:title>
    <c:autoTitleDeleted val="0"/>
    <c:plotArea>
      <c:layout/>
      <c:barChart>
        <c:barDir val="col"/>
        <c:grouping val="clustered"/>
        <c:varyColors val="0"/>
        <c:ser>
          <c:idx val="0"/>
          <c:order val="0"/>
          <c:tx>
            <c:v>NPV (£m)</c:v>
          </c:tx>
          <c:spPr>
            <a:gradFill>
              <a:gsLst>
                <a:gs pos="0">
                  <a:schemeClr val="accent2"/>
                </a:gs>
                <a:gs pos="100000">
                  <a:schemeClr val="accent2">
                    <a:lumMod val="84000"/>
                  </a:schemeClr>
                </a:gs>
              </a:gsLst>
              <a:lin ang="5400000" scaled="1"/>
            </a:gradFill>
            <a:ln>
              <a:noFill/>
            </a:ln>
            <a:effectLst>
              <a:outerShdw blurRad="76200" dir="18900000" sy="23000" kx="-1200000" algn="bl" rotWithShape="0">
                <a:prstClr val="black">
                  <a:alpha val="20000"/>
                </a:prstClr>
              </a:outerShdw>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Dashboard!$L$32:$L$38</c:f>
              <c:strCache>
                <c:ptCount val="7"/>
                <c:pt idx="0">
                  <c:v>A only</c:v>
                </c:pt>
                <c:pt idx="1">
                  <c:v>B only</c:v>
                </c:pt>
                <c:pt idx="2">
                  <c:v>C only</c:v>
                </c:pt>
                <c:pt idx="3">
                  <c:v>A + B</c:v>
                </c:pt>
                <c:pt idx="4">
                  <c:v>A + C</c:v>
                </c:pt>
                <c:pt idx="5">
                  <c:v>B + C</c:v>
                </c:pt>
                <c:pt idx="6">
                  <c:v>A + B + C</c:v>
                </c:pt>
              </c:strCache>
            </c:strRef>
          </c:cat>
          <c:val>
            <c:numRef>
              <c:f>Dashboard!$M$32:$M$38</c:f>
              <c:numCache>
                <c:formatCode>General</c:formatCode>
                <c:ptCount val="7"/>
                <c:pt idx="0">
                  <c:v>-6.5440594186024086</c:v>
                </c:pt>
                <c:pt idx="1">
                  <c:v>-6.0801895921410605</c:v>
                </c:pt>
                <c:pt idx="2">
                  <c:v>0.85832495813095733</c:v>
                </c:pt>
                <c:pt idx="3">
                  <c:v>-12.624249010743469</c:v>
                </c:pt>
                <c:pt idx="4">
                  <c:v>-5.6857344604714513</c:v>
                </c:pt>
                <c:pt idx="5">
                  <c:v>-5.2218646340101031</c:v>
                </c:pt>
                <c:pt idx="6">
                  <c:v>-11.765924052612519</c:v>
                </c:pt>
              </c:numCache>
            </c:numRef>
          </c:val>
          <c:extLst>
            <c:ext xmlns:c16="http://schemas.microsoft.com/office/drawing/2014/chart" uri="{C3380CC4-5D6E-409C-BE32-E72D297353CC}">
              <c16:uniqueId val="{00000000-D622-4FE5-8CEE-5B41DB1D886E}"/>
            </c:ext>
          </c:extLst>
        </c:ser>
        <c:dLbls>
          <c:dLblPos val="inEnd"/>
          <c:showLegendKey val="0"/>
          <c:showVal val="1"/>
          <c:showCatName val="0"/>
          <c:showSerName val="0"/>
          <c:showPercent val="0"/>
          <c:showBubbleSize val="0"/>
        </c:dLbls>
        <c:gapWidth val="41"/>
        <c:axId val="48650112"/>
        <c:axId val="48672768"/>
      </c:barChart>
      <c:catAx>
        <c:axId val="48650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1"/>
        <c:axPos val="l"/>
        <c:numFmt formatCode="General" sourceLinked="1"/>
        <c:majorTickMark val="none"/>
        <c:minorTickMark val="none"/>
        <c:tickLblPos val="nextTo"/>
        <c:crossAx val="48650112"/>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a:t>Cumulative Cash Flow and Payback (£m)</a:t>
            </a:r>
          </a:p>
        </c:rich>
      </c:tx>
      <c:overlay val="0"/>
    </c:title>
    <c:autoTitleDeleted val="0"/>
    <c:plotArea>
      <c:layout/>
      <c:lineChart>
        <c:grouping val="standard"/>
        <c:varyColors val="1"/>
        <c:ser>
          <c:idx val="0"/>
          <c:order val="0"/>
          <c:tx>
            <c:v>Project A</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Dashboard!$L$3:$L$8</c:f>
              <c:numCache>
                <c:formatCode>General</c:formatCode>
                <c:ptCount val="6"/>
                <c:pt idx="0">
                  <c:v>0</c:v>
                </c:pt>
                <c:pt idx="1">
                  <c:v>1</c:v>
                </c:pt>
                <c:pt idx="2">
                  <c:v>2</c:v>
                </c:pt>
                <c:pt idx="3">
                  <c:v>3</c:v>
                </c:pt>
                <c:pt idx="4">
                  <c:v>4</c:v>
                </c:pt>
                <c:pt idx="5">
                  <c:v>5</c:v>
                </c:pt>
              </c:numCache>
            </c:numRef>
          </c:cat>
          <c:val>
            <c:numRef>
              <c:f>Dashboard!$M$3:$M$8</c:f>
              <c:numCache>
                <c:formatCode>General</c:formatCode>
                <c:ptCount val="6"/>
                <c:pt idx="0">
                  <c:v>-50</c:v>
                </c:pt>
                <c:pt idx="1">
                  <c:v>-40</c:v>
                </c:pt>
                <c:pt idx="2">
                  <c:v>-28</c:v>
                </c:pt>
                <c:pt idx="3">
                  <c:v>-14</c:v>
                </c:pt>
                <c:pt idx="4">
                  <c:v>-4</c:v>
                </c:pt>
                <c:pt idx="5">
                  <c:v>4</c:v>
                </c:pt>
              </c:numCache>
            </c:numRef>
          </c:val>
          <c:smooth val="0"/>
          <c:extLst>
            <c:ext xmlns:c16="http://schemas.microsoft.com/office/drawing/2014/chart" uri="{C3380CC4-5D6E-409C-BE32-E72D297353CC}">
              <c16:uniqueId val="{00000000-0CD9-4033-B5E1-C0A1DF457D99}"/>
            </c:ext>
          </c:extLst>
        </c:ser>
        <c:ser>
          <c:idx val="1"/>
          <c:order val="1"/>
          <c:tx>
            <c:v>Project B</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Dashboard!$L$3:$L$8</c:f>
              <c:numCache>
                <c:formatCode>General</c:formatCode>
                <c:ptCount val="6"/>
                <c:pt idx="0">
                  <c:v>0</c:v>
                </c:pt>
                <c:pt idx="1">
                  <c:v>1</c:v>
                </c:pt>
                <c:pt idx="2">
                  <c:v>2</c:v>
                </c:pt>
                <c:pt idx="3">
                  <c:v>3</c:v>
                </c:pt>
                <c:pt idx="4">
                  <c:v>4</c:v>
                </c:pt>
                <c:pt idx="5">
                  <c:v>5</c:v>
                </c:pt>
              </c:numCache>
            </c:numRef>
          </c:cat>
          <c:val>
            <c:numRef>
              <c:f>Dashboard!$N$3:$N$8</c:f>
              <c:numCache>
                <c:formatCode>General</c:formatCode>
                <c:ptCount val="6"/>
                <c:pt idx="0">
                  <c:v>-50</c:v>
                </c:pt>
                <c:pt idx="1">
                  <c:v>-39</c:v>
                </c:pt>
                <c:pt idx="2">
                  <c:v>-28</c:v>
                </c:pt>
                <c:pt idx="3">
                  <c:v>-17</c:v>
                </c:pt>
                <c:pt idx="4">
                  <c:v>-6</c:v>
                </c:pt>
                <c:pt idx="5">
                  <c:v>5</c:v>
                </c:pt>
              </c:numCache>
            </c:numRef>
          </c:val>
          <c:smooth val="0"/>
          <c:extLst>
            <c:ext xmlns:c16="http://schemas.microsoft.com/office/drawing/2014/chart" uri="{C3380CC4-5D6E-409C-BE32-E72D297353CC}">
              <c16:uniqueId val="{00000001-0CD9-4033-B5E1-C0A1DF457D99}"/>
            </c:ext>
          </c:extLst>
        </c:ser>
        <c:ser>
          <c:idx val="2"/>
          <c:order val="2"/>
          <c:tx>
            <c:v>Project C</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Dashboard!$L$3:$L$8</c:f>
              <c:numCache>
                <c:formatCode>General</c:formatCode>
                <c:ptCount val="6"/>
                <c:pt idx="0">
                  <c:v>0</c:v>
                </c:pt>
                <c:pt idx="1">
                  <c:v>1</c:v>
                </c:pt>
                <c:pt idx="2">
                  <c:v>2</c:v>
                </c:pt>
                <c:pt idx="3">
                  <c:v>3</c:v>
                </c:pt>
                <c:pt idx="4">
                  <c:v>4</c:v>
                </c:pt>
                <c:pt idx="5">
                  <c:v>5</c:v>
                </c:pt>
              </c:numCache>
            </c:numRef>
          </c:cat>
          <c:val>
            <c:numRef>
              <c:f>Dashboard!$O$3:$O$8</c:f>
              <c:numCache>
                <c:formatCode>General</c:formatCode>
                <c:ptCount val="6"/>
                <c:pt idx="0">
                  <c:v>-50</c:v>
                </c:pt>
                <c:pt idx="1">
                  <c:v>-45</c:v>
                </c:pt>
                <c:pt idx="2">
                  <c:v>-35</c:v>
                </c:pt>
                <c:pt idx="3">
                  <c:v>-15</c:v>
                </c:pt>
                <c:pt idx="4">
                  <c:v>10</c:v>
                </c:pt>
                <c:pt idx="5">
                  <c:v>15</c:v>
                </c:pt>
              </c:numCache>
            </c:numRef>
          </c:val>
          <c:smooth val="0"/>
          <c:extLst>
            <c:ext xmlns:c16="http://schemas.microsoft.com/office/drawing/2014/chart" uri="{C3380CC4-5D6E-409C-BE32-E72D297353CC}">
              <c16:uniqueId val="{00000002-0CD9-4033-B5E1-C0A1DF457D99}"/>
            </c:ext>
          </c:extLst>
        </c:ser>
        <c:ser>
          <c:idx val="3"/>
          <c:order val="3"/>
          <c:tx>
            <c:v>Zero line</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Dashboard!$L$3:$L$8</c:f>
              <c:numCache>
                <c:formatCode>General</c:formatCode>
                <c:ptCount val="6"/>
                <c:pt idx="0">
                  <c:v>0</c:v>
                </c:pt>
                <c:pt idx="1">
                  <c:v>1</c:v>
                </c:pt>
                <c:pt idx="2">
                  <c:v>2</c:v>
                </c:pt>
                <c:pt idx="3">
                  <c:v>3</c:v>
                </c:pt>
                <c:pt idx="4">
                  <c:v>4</c:v>
                </c:pt>
                <c:pt idx="5">
                  <c:v>5</c:v>
                </c:pt>
              </c:numCache>
            </c:numRef>
          </c:cat>
          <c:val>
            <c:numRef>
              <c:f>Dashboard!$P$3:$P$8</c:f>
              <c:numCache>
                <c:formatCode>General</c:formatCode>
                <c:ptCount val="6"/>
                <c:pt idx="0">
                  <c:v>0</c:v>
                </c:pt>
                <c:pt idx="1">
                  <c:v>0</c:v>
                </c:pt>
                <c:pt idx="2">
                  <c:v>0</c:v>
                </c:pt>
                <c:pt idx="3">
                  <c:v>0</c:v>
                </c:pt>
                <c:pt idx="4">
                  <c:v>0</c:v>
                </c:pt>
                <c:pt idx="5">
                  <c:v>0</c:v>
                </c:pt>
              </c:numCache>
            </c:numRef>
          </c:val>
          <c:smooth val="0"/>
          <c:extLst>
            <c:ext xmlns:c16="http://schemas.microsoft.com/office/drawing/2014/chart" uri="{C3380CC4-5D6E-409C-BE32-E72D297353CC}">
              <c16:uniqueId val="{00000003-0CD9-4033-B5E1-C0A1DF457D99}"/>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b="1"/>
              <a:t>Liquidity Ratios: Hilton and Peer Set</a:t>
            </a:r>
          </a:p>
        </c:rich>
      </c:tx>
      <c:overlay val="0"/>
    </c:title>
    <c:autoTitleDeleted val="0"/>
    <c:plotArea>
      <c:layout/>
      <c:barChart>
        <c:barDir val="col"/>
        <c:grouping val="clustered"/>
        <c:varyColors val="0"/>
        <c:ser>
          <c:idx val="0"/>
          <c:order val="0"/>
          <c:tx>
            <c:v>Current ratio</c:v>
          </c:tx>
          <c:invertIfNegative val="1"/>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'Liquidity Benchmark'!$L$5:$L$9</c:f>
              <c:strCache>
                <c:ptCount val="5"/>
                <c:pt idx="0">
                  <c:v>Hilton Worldwide</c:v>
                </c:pt>
                <c:pt idx="1">
                  <c:v>Marriott International</c:v>
                </c:pt>
                <c:pt idx="2">
                  <c:v>Wyndham Hotels &amp; Resorts</c:v>
                </c:pt>
                <c:pt idx="3">
                  <c:v>Choice Hotels International</c:v>
                </c:pt>
                <c:pt idx="4">
                  <c:v>Peer median</c:v>
                </c:pt>
              </c:strCache>
            </c:strRef>
          </c:cat>
          <c:val>
            <c:numRef>
              <c:f>'Liquidity Benchmark'!$M$5:$M$9</c:f>
              <c:numCache>
                <c:formatCode>General</c:formatCode>
                <c:ptCount val="5"/>
                <c:pt idx="0">
                  <c:v>0.6645962732919255</c:v>
                </c:pt>
                <c:pt idx="1">
                  <c:v>0.42676827816146701</c:v>
                </c:pt>
                <c:pt idx="2">
                  <c:v>0.85798816568047342</c:v>
                </c:pt>
                <c:pt idx="3">
                  <c:v>0.86883333939665008</c:v>
                </c:pt>
                <c:pt idx="4">
                  <c:v>0.85798816568047342</c:v>
                </c:pt>
              </c:numCache>
            </c:numRef>
          </c:val>
          <c:extLst>
            <c:ext xmlns:c16="http://schemas.microsoft.com/office/drawing/2014/chart" uri="{C3380CC4-5D6E-409C-BE32-E72D297353CC}">
              <c16:uniqueId val="{00000000-6A61-4F42-9CB6-B74DA1E10070}"/>
            </c:ext>
          </c:extLst>
        </c:ser>
        <c:ser>
          <c:idx val="1"/>
          <c:order val="1"/>
          <c:tx>
            <c:v>Quick ratio</c:v>
          </c:tx>
          <c:invertIfNegative val="1"/>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'Liquidity Benchmark'!$L$5:$L$9</c:f>
              <c:strCache>
                <c:ptCount val="5"/>
                <c:pt idx="0">
                  <c:v>Hilton Worldwide</c:v>
                </c:pt>
                <c:pt idx="1">
                  <c:v>Marriott International</c:v>
                </c:pt>
                <c:pt idx="2">
                  <c:v>Wyndham Hotels &amp; Resorts</c:v>
                </c:pt>
                <c:pt idx="3">
                  <c:v>Choice Hotels International</c:v>
                </c:pt>
                <c:pt idx="4">
                  <c:v>Peer median</c:v>
                </c:pt>
              </c:strCache>
            </c:strRef>
          </c:cat>
          <c:val>
            <c:numRef>
              <c:f>'Liquidity Benchmark'!$N$5:$N$9</c:f>
              <c:numCache>
                <c:formatCode>General</c:formatCode>
                <c:ptCount val="5"/>
                <c:pt idx="0">
                  <c:v>0.59006211180124224</c:v>
                </c:pt>
                <c:pt idx="1">
                  <c:v>0.3890211955227435</c:v>
                </c:pt>
                <c:pt idx="2">
                  <c:v>0.70019723865877714</c:v>
                </c:pt>
                <c:pt idx="3">
                  <c:v>0.77174608541572598</c:v>
                </c:pt>
                <c:pt idx="4">
                  <c:v>0.70019723865877714</c:v>
                </c:pt>
              </c:numCache>
            </c:numRef>
          </c:val>
          <c:extLst>
            <c:ext xmlns:c16="http://schemas.microsoft.com/office/drawing/2014/chart" uri="{C3380CC4-5D6E-409C-BE32-E72D297353CC}">
              <c16:uniqueId val="{00000001-6A61-4F42-9CB6-B74DA1E10070}"/>
            </c:ext>
          </c:extLst>
        </c:ser>
        <c:ser>
          <c:idx val="2"/>
          <c:order val="2"/>
          <c:tx>
            <c:v>Cash ratio</c:v>
          </c:tx>
          <c:invertIfNegative val="1"/>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'Liquidity Benchmark'!$L$5:$L$9</c:f>
              <c:strCache>
                <c:ptCount val="5"/>
                <c:pt idx="0">
                  <c:v>Hilton Worldwide</c:v>
                </c:pt>
                <c:pt idx="1">
                  <c:v>Marriott International</c:v>
                </c:pt>
                <c:pt idx="2">
                  <c:v>Wyndham Hotels &amp; Resorts</c:v>
                </c:pt>
                <c:pt idx="3">
                  <c:v>Choice Hotels International</c:v>
                </c:pt>
                <c:pt idx="4">
                  <c:v>Peer median</c:v>
                </c:pt>
              </c:strCache>
            </c:strRef>
          </c:cat>
          <c:val>
            <c:numRef>
              <c:f>'Liquidity Benchmark'!$O$5:$O$9</c:f>
              <c:numCache>
                <c:formatCode>General</c:formatCode>
                <c:ptCount val="5"/>
                <c:pt idx="0">
                  <c:v>0.21517302573203195</c:v>
                </c:pt>
                <c:pt idx="1">
                  <c:v>4.2629197427959037E-2</c:v>
                </c:pt>
                <c:pt idx="2">
                  <c:v>0.12623274161735701</c:v>
                </c:pt>
                <c:pt idx="3">
                  <c:v>9.629331615631373E-2</c:v>
                </c:pt>
                <c:pt idx="4">
                  <c:v>9.629331615631373E-2</c:v>
                </c:pt>
              </c:numCache>
            </c:numRef>
          </c:val>
          <c:extLst>
            <c:ext xmlns:c16="http://schemas.microsoft.com/office/drawing/2014/chart" uri="{C3380CC4-5D6E-409C-BE32-E72D297353CC}">
              <c16:uniqueId val="{00000002-6A61-4F42-9CB6-B74DA1E10070}"/>
            </c:ext>
          </c:extLst>
        </c:ser>
        <c:dLbls>
          <c:dLblPos val="outEnd"/>
          <c:showLegendKey val="0"/>
          <c:showVal val="1"/>
          <c:showCatName val="0"/>
          <c:showSerName val="0"/>
          <c:showPercent val="0"/>
          <c:showBubbleSize val="0"/>
        </c:dLbls>
        <c:gapWidth val="150"/>
        <c:axId val="48650112"/>
        <c:axId val="48672768"/>
      </c:bar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b="1"/>
              <a:t>Revenue and Earnings ($m) 2021-2025</a:t>
            </a:r>
          </a:p>
        </c:rich>
      </c:tx>
      <c:overlay val="0"/>
      <c:spPr>
        <a:noFill/>
        <a:ln>
          <a:noFill/>
        </a:ln>
        <a:effectLst/>
      </c:spPr>
    </c:title>
    <c:autoTitleDeleted val="0"/>
    <c:plotArea>
      <c:layout/>
      <c:lineChart>
        <c:grouping val="standard"/>
        <c:varyColors val="1"/>
        <c:ser>
          <c:idx val="0"/>
          <c:order val="0"/>
          <c:tx>
            <c:v>Total revenue</c:v>
          </c:tx>
          <c:spPr>
            <a:ln w="38100" cap="rnd" cmpd="sng" algn="ctr">
              <a:solidFill>
                <a:schemeClr val="accent2"/>
              </a:solidFill>
              <a:prstDash val="solid"/>
              <a:round/>
            </a:ln>
            <a:effectLst/>
          </c:spPr>
          <c:marker>
            <c:spPr>
              <a:solidFill>
                <a:schemeClr val="accent2"/>
              </a:solidFill>
              <a:ln w="12700" cap="flat" cmpd="sng" algn="ctr">
                <a:solidFill>
                  <a:schemeClr val="accent2"/>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Dashboard!$L$3:$L$7</c:f>
              <c:numCache>
                <c:formatCode>General</c:formatCode>
                <c:ptCount val="5"/>
                <c:pt idx="0">
                  <c:v>2021</c:v>
                </c:pt>
                <c:pt idx="1">
                  <c:v>2022</c:v>
                </c:pt>
                <c:pt idx="2">
                  <c:v>2023</c:v>
                </c:pt>
                <c:pt idx="3">
                  <c:v>2024</c:v>
                </c:pt>
                <c:pt idx="4">
                  <c:v>2025</c:v>
                </c:pt>
              </c:numCache>
            </c:numRef>
          </c:cat>
          <c:val>
            <c:numRef>
              <c:f>Dashboard!$M$3:$M$7</c:f>
              <c:numCache>
                <c:formatCode>General</c:formatCode>
                <c:ptCount val="5"/>
                <c:pt idx="0">
                  <c:v>5788</c:v>
                </c:pt>
                <c:pt idx="1">
                  <c:v>8773</c:v>
                </c:pt>
                <c:pt idx="2">
                  <c:v>10235</c:v>
                </c:pt>
                <c:pt idx="3">
                  <c:v>11174</c:v>
                </c:pt>
                <c:pt idx="4">
                  <c:v>12039</c:v>
                </c:pt>
              </c:numCache>
            </c:numRef>
          </c:val>
          <c:smooth val="0"/>
          <c:extLst>
            <c:ext xmlns:c16="http://schemas.microsoft.com/office/drawing/2014/chart" uri="{C3380CC4-5D6E-409C-BE32-E72D297353CC}">
              <c16:uniqueId val="{00000000-3912-43CC-B3B2-A1FF9152629E}"/>
            </c:ext>
          </c:extLst>
        </c:ser>
        <c:ser>
          <c:idx val="1"/>
          <c:order val="1"/>
          <c:tx>
            <c:v>Operating income</c:v>
          </c:tx>
          <c:spPr>
            <a:ln w="38100" cap="rnd" cmpd="sng" algn="ctr">
              <a:solidFill>
                <a:schemeClr val="accent4"/>
              </a:solidFill>
              <a:prstDash val="solid"/>
              <a:round/>
            </a:ln>
            <a:effectLst/>
          </c:spPr>
          <c:marker>
            <c:spPr>
              <a:solidFill>
                <a:schemeClr val="accent4"/>
              </a:solidFill>
              <a:ln w="12700" cap="flat" cmpd="sng" algn="ctr">
                <a:solidFill>
                  <a:schemeClr val="accent4"/>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Dashboard!$L$3:$L$7</c:f>
              <c:numCache>
                <c:formatCode>General</c:formatCode>
                <c:ptCount val="5"/>
                <c:pt idx="0">
                  <c:v>2021</c:v>
                </c:pt>
                <c:pt idx="1">
                  <c:v>2022</c:v>
                </c:pt>
                <c:pt idx="2">
                  <c:v>2023</c:v>
                </c:pt>
                <c:pt idx="3">
                  <c:v>2024</c:v>
                </c:pt>
                <c:pt idx="4">
                  <c:v>2025</c:v>
                </c:pt>
              </c:numCache>
            </c:numRef>
          </c:cat>
          <c:val>
            <c:numRef>
              <c:f>Dashboard!$N$3:$N$7</c:f>
              <c:numCache>
                <c:formatCode>General</c:formatCode>
                <c:ptCount val="5"/>
                <c:pt idx="0">
                  <c:v>1010</c:v>
                </c:pt>
                <c:pt idx="1">
                  <c:v>2094</c:v>
                </c:pt>
                <c:pt idx="2">
                  <c:v>2225</c:v>
                </c:pt>
                <c:pt idx="3">
                  <c:v>2370</c:v>
                </c:pt>
                <c:pt idx="4">
                  <c:v>2693</c:v>
                </c:pt>
              </c:numCache>
            </c:numRef>
          </c:val>
          <c:smooth val="0"/>
          <c:extLst>
            <c:ext xmlns:c16="http://schemas.microsoft.com/office/drawing/2014/chart" uri="{C3380CC4-5D6E-409C-BE32-E72D297353CC}">
              <c16:uniqueId val="{00000001-3912-43CC-B3B2-A1FF9152629E}"/>
            </c:ext>
          </c:extLst>
        </c:ser>
        <c:ser>
          <c:idx val="2"/>
          <c:order val="2"/>
          <c:tx>
            <c:v>Net income</c:v>
          </c:tx>
          <c:spPr>
            <a:ln w="38100" cap="rnd" cmpd="sng" algn="ctr">
              <a:solidFill>
                <a:schemeClr val="accent6"/>
              </a:solidFill>
              <a:prstDash val="solid"/>
              <a:round/>
            </a:ln>
            <a:effectLst/>
          </c:spPr>
          <c:marker>
            <c:spPr>
              <a:solidFill>
                <a:schemeClr val="accent6"/>
              </a:solidFill>
              <a:ln w="12700" cap="flat" cmpd="sng" algn="ctr">
                <a:solidFill>
                  <a:schemeClr val="accent6"/>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Dashboard!$L$3:$L$7</c:f>
              <c:numCache>
                <c:formatCode>General</c:formatCode>
                <c:ptCount val="5"/>
                <c:pt idx="0">
                  <c:v>2021</c:v>
                </c:pt>
                <c:pt idx="1">
                  <c:v>2022</c:v>
                </c:pt>
                <c:pt idx="2">
                  <c:v>2023</c:v>
                </c:pt>
                <c:pt idx="3">
                  <c:v>2024</c:v>
                </c:pt>
                <c:pt idx="4">
                  <c:v>2025</c:v>
                </c:pt>
              </c:numCache>
            </c:numRef>
          </c:cat>
          <c:val>
            <c:numRef>
              <c:f>Dashboard!$O$3:$O$7</c:f>
              <c:numCache>
                <c:formatCode>General</c:formatCode>
                <c:ptCount val="5"/>
                <c:pt idx="0">
                  <c:v>407</c:v>
                </c:pt>
                <c:pt idx="1">
                  <c:v>1257</c:v>
                </c:pt>
                <c:pt idx="2">
                  <c:v>1151</c:v>
                </c:pt>
                <c:pt idx="3">
                  <c:v>1539</c:v>
                </c:pt>
                <c:pt idx="4">
                  <c:v>1461</c:v>
                </c:pt>
              </c:numCache>
            </c:numRef>
          </c:val>
          <c:smooth val="0"/>
          <c:extLst>
            <c:ext xmlns:c16="http://schemas.microsoft.com/office/drawing/2014/chart" uri="{C3380CC4-5D6E-409C-BE32-E72D297353CC}">
              <c16:uniqueId val="{00000002-3912-43CC-B3B2-A1FF9152629E}"/>
            </c:ext>
          </c:extLst>
        </c:ser>
        <c:ser>
          <c:idx val="3"/>
          <c:order val="3"/>
          <c:tx>
            <c:v>Core revenue</c:v>
          </c:tx>
          <c:spPr>
            <a:ln w="38100" cap="rnd" cmpd="sng" algn="ctr">
              <a:solidFill>
                <a:schemeClr val="accent2">
                  <a:lumMod val="60000"/>
                </a:schemeClr>
              </a:solidFill>
              <a:prstDash val="solid"/>
              <a:round/>
            </a:ln>
            <a:effectLst/>
          </c:spPr>
          <c:marker>
            <c:spPr>
              <a:noFill/>
              <a:ln w="12700" cap="flat" cmpd="sng" algn="ctr">
                <a:solidFill>
                  <a:schemeClr val="accent2">
                    <a:lumMod val="60000"/>
                  </a:schemeClr>
                </a:solidFill>
                <a:prstDash val="solid"/>
                <a:round/>
              </a:ln>
              <a:effectLst/>
            </c:spPr>
          </c:marker>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12700" cap="flat" cmpd="sng" algn="ctr">
                      <a:solidFill>
                        <a:schemeClr val="tx1"/>
                      </a:solidFill>
                      <a:prstDash val="solid"/>
                      <a:round/>
                    </a:ln>
                    <a:effectLst/>
                  </c:spPr>
                </c15:leaderLines>
              </c:ext>
            </c:extLst>
          </c:dLbls>
          <c:cat>
            <c:numRef>
              <c:f>Dashboard!$L$3:$L$7</c:f>
              <c:numCache>
                <c:formatCode>General</c:formatCode>
                <c:ptCount val="5"/>
                <c:pt idx="0">
                  <c:v>2021</c:v>
                </c:pt>
                <c:pt idx="1">
                  <c:v>2022</c:v>
                </c:pt>
                <c:pt idx="2">
                  <c:v>2023</c:v>
                </c:pt>
                <c:pt idx="3">
                  <c:v>2024</c:v>
                </c:pt>
                <c:pt idx="4">
                  <c:v>2025</c:v>
                </c:pt>
              </c:numCache>
            </c:numRef>
          </c:cat>
          <c:val>
            <c:numRef>
              <c:f>Dashboard!$P$3:$P$7</c:f>
              <c:numCache>
                <c:formatCode>General</c:formatCode>
                <c:ptCount val="5"/>
                <c:pt idx="0">
                  <c:v>2444</c:v>
                </c:pt>
                <c:pt idx="1">
                  <c:v>3736</c:v>
                </c:pt>
                <c:pt idx="2">
                  <c:v>4408</c:v>
                </c:pt>
                <c:pt idx="3">
                  <c:v>4746</c:v>
                </c:pt>
                <c:pt idx="4">
                  <c:v>4954</c:v>
                </c:pt>
              </c:numCache>
            </c:numRef>
          </c:val>
          <c:smooth val="0"/>
          <c:extLst>
            <c:ext xmlns:c16="http://schemas.microsoft.com/office/drawing/2014/chart" uri="{C3380CC4-5D6E-409C-BE32-E72D297353CC}">
              <c16:uniqueId val="{00000003-3912-43CC-B3B2-A1FF9152629E}"/>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cap="flat" cmpd="sng" algn="ctr">
              <a:solidFill>
                <a:srgbClr val="CCCCCC"/>
              </a:solidFill>
              <a:prstDash val="dash"/>
              <a:round/>
            </a:ln>
            <a:effectLst/>
          </c:spPr>
        </c:majorGridlines>
        <c:numFmt formatCode="General" sourceLinked="1"/>
        <c:majorTickMark val="none"/>
        <c:minorTickMark val="none"/>
        <c:tickLblPos val="nextTo"/>
        <c:spPr>
          <a:noFill/>
          <a:ln w="12700" cap="flat" cmpd="sng" algn="ctr">
            <a:solidFill>
              <a:schemeClr val="tx1"/>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rgbClr val="CCCCCC"/>
              </a:solidFill>
              <a:prstDash val="dash"/>
              <a:round/>
            </a:ln>
            <a:effectLst/>
          </c:spPr>
        </c:majorGridlines>
        <c:numFmt formatCode="General" sourceLinked="1"/>
        <c:majorTickMark val="none"/>
        <c:minorTickMark val="none"/>
        <c:tickLblPos val="nextTo"/>
        <c:spPr>
          <a:noFill/>
          <a:ln w="12700" cap="flat" cmpd="sng" algn="ctr">
            <a:solidFill>
              <a:schemeClr val="tx1"/>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48650112"/>
        <c:crosses val="autoZero"/>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zero"/>
    <c:showDLblsOverMax val="1"/>
  </c:chart>
  <c:spPr>
    <a:solidFill>
      <a:schemeClr val="bg1"/>
    </a:solidFill>
    <a:ln w="9525" cap="flat" cmpd="sng" algn="ctr">
      <a:solidFill>
        <a:srgbClr val="D9D9D9"/>
      </a:solidFill>
      <a:prstDash val="solid"/>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b="1"/>
              <a:t>Profitability and Return (%) 2021-2025</a:t>
            </a:r>
          </a:p>
        </c:rich>
      </c:tx>
      <c:overlay val="0"/>
    </c:title>
    <c:autoTitleDeleted val="0"/>
    <c:plotArea>
      <c:layout/>
      <c:lineChart>
        <c:grouping val="standard"/>
        <c:varyColors val="1"/>
        <c:ser>
          <c:idx val="0"/>
          <c:order val="0"/>
          <c:tx>
            <c:v>Operating margin</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Dashboard!$L$10:$L$14</c:f>
              <c:numCache>
                <c:formatCode>General</c:formatCode>
                <c:ptCount val="5"/>
                <c:pt idx="0">
                  <c:v>2021</c:v>
                </c:pt>
                <c:pt idx="1">
                  <c:v>2022</c:v>
                </c:pt>
                <c:pt idx="2">
                  <c:v>2023</c:v>
                </c:pt>
                <c:pt idx="3">
                  <c:v>2024</c:v>
                </c:pt>
                <c:pt idx="4">
                  <c:v>2025</c:v>
                </c:pt>
              </c:numCache>
            </c:numRef>
          </c:cat>
          <c:val>
            <c:numRef>
              <c:f>Dashboard!$M$10:$M$14</c:f>
              <c:numCache>
                <c:formatCode>General</c:formatCode>
                <c:ptCount val="5"/>
                <c:pt idx="0">
                  <c:v>0.17449896337249482</c:v>
                </c:pt>
                <c:pt idx="1">
                  <c:v>0.23868688020061551</c:v>
                </c:pt>
                <c:pt idx="2">
                  <c:v>0.21739130434782608</c:v>
                </c:pt>
                <c:pt idx="3">
                  <c:v>0.21209951673527833</c:v>
                </c:pt>
                <c:pt idx="4">
                  <c:v>0.22368967522219455</c:v>
                </c:pt>
              </c:numCache>
            </c:numRef>
          </c:val>
          <c:smooth val="0"/>
          <c:extLst>
            <c:ext xmlns:c16="http://schemas.microsoft.com/office/drawing/2014/chart" uri="{C3380CC4-5D6E-409C-BE32-E72D297353CC}">
              <c16:uniqueId val="{00000000-FAB6-48DC-9A57-00185B3B30AE}"/>
            </c:ext>
          </c:extLst>
        </c:ser>
        <c:ser>
          <c:idx val="1"/>
          <c:order val="1"/>
          <c:tx>
            <c:v>Core operating margin</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Dashboard!$L$10:$L$14</c:f>
              <c:numCache>
                <c:formatCode>General</c:formatCode>
                <c:ptCount val="5"/>
                <c:pt idx="0">
                  <c:v>2021</c:v>
                </c:pt>
                <c:pt idx="1">
                  <c:v>2022</c:v>
                </c:pt>
                <c:pt idx="2">
                  <c:v>2023</c:v>
                </c:pt>
                <c:pt idx="3">
                  <c:v>2024</c:v>
                </c:pt>
                <c:pt idx="4">
                  <c:v>2025</c:v>
                </c:pt>
              </c:numCache>
            </c:numRef>
          </c:cat>
          <c:val>
            <c:numRef>
              <c:f>Dashboard!$N$10:$N$14</c:f>
              <c:numCache>
                <c:formatCode>General</c:formatCode>
                <c:ptCount val="5"/>
                <c:pt idx="0">
                  <c:v>0.41325695581014732</c:v>
                </c:pt>
                <c:pt idx="1">
                  <c:v>0.56049250535331907</c:v>
                </c:pt>
                <c:pt idx="2">
                  <c:v>0.50476406533575313</c:v>
                </c:pt>
                <c:pt idx="3">
                  <c:v>0.4993678887484197</c:v>
                </c:pt>
                <c:pt idx="4">
                  <c:v>0.54360113039967706</c:v>
                </c:pt>
              </c:numCache>
            </c:numRef>
          </c:val>
          <c:smooth val="0"/>
          <c:extLst>
            <c:ext xmlns:c16="http://schemas.microsoft.com/office/drawing/2014/chart" uri="{C3380CC4-5D6E-409C-BE32-E72D297353CC}">
              <c16:uniqueId val="{00000001-FAB6-48DC-9A57-00185B3B30AE}"/>
            </c:ext>
          </c:extLst>
        </c:ser>
        <c:ser>
          <c:idx val="2"/>
          <c:order val="2"/>
          <c:tx>
            <c:v>Net margin</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Dashboard!$L$10:$L$14</c:f>
              <c:numCache>
                <c:formatCode>General</c:formatCode>
                <c:ptCount val="5"/>
                <c:pt idx="0">
                  <c:v>2021</c:v>
                </c:pt>
                <c:pt idx="1">
                  <c:v>2022</c:v>
                </c:pt>
                <c:pt idx="2">
                  <c:v>2023</c:v>
                </c:pt>
                <c:pt idx="3">
                  <c:v>2024</c:v>
                </c:pt>
                <c:pt idx="4">
                  <c:v>2025</c:v>
                </c:pt>
              </c:numCache>
            </c:numRef>
          </c:cat>
          <c:val>
            <c:numRef>
              <c:f>Dashboard!$O$10:$O$14</c:f>
              <c:numCache>
                <c:formatCode>General</c:formatCode>
                <c:ptCount val="5"/>
                <c:pt idx="0">
                  <c:v>7.031789910158949E-2</c:v>
                </c:pt>
                <c:pt idx="1">
                  <c:v>0.14328051977658726</c:v>
                </c:pt>
                <c:pt idx="2">
                  <c:v>0.11245725451880802</c:v>
                </c:pt>
                <c:pt idx="3">
                  <c:v>0.13773044567746554</c:v>
                </c:pt>
                <c:pt idx="4">
                  <c:v>0.12135559431846499</c:v>
                </c:pt>
              </c:numCache>
            </c:numRef>
          </c:val>
          <c:smooth val="0"/>
          <c:extLst>
            <c:ext xmlns:c16="http://schemas.microsoft.com/office/drawing/2014/chart" uri="{C3380CC4-5D6E-409C-BE32-E72D297353CC}">
              <c16:uniqueId val="{00000002-FAB6-48DC-9A57-00185B3B30AE}"/>
            </c:ext>
          </c:extLst>
        </c:ser>
        <c:ser>
          <c:idx val="3"/>
          <c:order val="3"/>
          <c:tx>
            <c:v>ROCE</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Dashboard!$L$10:$L$14</c:f>
              <c:numCache>
                <c:formatCode>General</c:formatCode>
                <c:ptCount val="5"/>
                <c:pt idx="0">
                  <c:v>2021</c:v>
                </c:pt>
                <c:pt idx="1">
                  <c:v>2022</c:v>
                </c:pt>
                <c:pt idx="2">
                  <c:v>2023</c:v>
                </c:pt>
                <c:pt idx="3">
                  <c:v>2024</c:v>
                </c:pt>
                <c:pt idx="4">
                  <c:v>2025</c:v>
                </c:pt>
              </c:numCache>
            </c:numRef>
          </c:cat>
          <c:val>
            <c:numRef>
              <c:f>Dashboard!$P$10:$P$14</c:f>
              <c:numCache>
                <c:formatCode>General</c:formatCode>
                <c:ptCount val="5"/>
                <c:pt idx="0">
                  <c:v>7.5525312196216263E-2</c:v>
                </c:pt>
                <c:pt idx="1">
                  <c:v>0.17050728768015633</c:v>
                </c:pt>
                <c:pt idx="2">
                  <c:v>0.18682564339392921</c:v>
                </c:pt>
                <c:pt idx="3">
                  <c:v>0.20169354495553379</c:v>
                </c:pt>
                <c:pt idx="4">
                  <c:v>0.22359681169046827</c:v>
                </c:pt>
              </c:numCache>
            </c:numRef>
          </c:val>
          <c:smooth val="0"/>
          <c:extLst>
            <c:ext xmlns:c16="http://schemas.microsoft.com/office/drawing/2014/chart" uri="{C3380CC4-5D6E-409C-BE32-E72D297353CC}">
              <c16:uniqueId val="{00000003-FAB6-48DC-9A57-00185B3B30AE}"/>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b="1"/>
              <a:t>Liquidity Ratios 2021-2025</a:t>
            </a:r>
          </a:p>
        </c:rich>
      </c:tx>
      <c:overlay val="0"/>
    </c:title>
    <c:autoTitleDeleted val="0"/>
    <c:plotArea>
      <c:layout/>
      <c:lineChart>
        <c:grouping val="standard"/>
        <c:varyColors val="1"/>
        <c:ser>
          <c:idx val="0"/>
          <c:order val="0"/>
          <c:tx>
            <c:v>Current ratio</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Dashboard!$L$17:$L$21</c:f>
              <c:numCache>
                <c:formatCode>General</c:formatCode>
                <c:ptCount val="5"/>
                <c:pt idx="0">
                  <c:v>2021</c:v>
                </c:pt>
                <c:pt idx="1">
                  <c:v>2022</c:v>
                </c:pt>
                <c:pt idx="2">
                  <c:v>2023</c:v>
                </c:pt>
                <c:pt idx="3">
                  <c:v>2024</c:v>
                </c:pt>
                <c:pt idx="4">
                  <c:v>2025</c:v>
                </c:pt>
              </c:numCache>
            </c:numRef>
          </c:cat>
          <c:val>
            <c:numRef>
              <c:f>Dashboard!$M$17:$M$21</c:f>
              <c:numCache>
                <c:formatCode>General</c:formatCode>
                <c:ptCount val="5"/>
                <c:pt idx="0">
                  <c:v>0.95097714474991724</c:v>
                </c:pt>
                <c:pt idx="1">
                  <c:v>0.85112692763938314</c:v>
                </c:pt>
                <c:pt idx="2">
                  <c:v>0.70231058570660931</c:v>
                </c:pt>
                <c:pt idx="3">
                  <c:v>0.69617021276595747</c:v>
                </c:pt>
                <c:pt idx="4">
                  <c:v>0.6645962732919255</c:v>
                </c:pt>
              </c:numCache>
            </c:numRef>
          </c:val>
          <c:smooth val="0"/>
          <c:extLst>
            <c:ext xmlns:c16="http://schemas.microsoft.com/office/drawing/2014/chart" uri="{C3380CC4-5D6E-409C-BE32-E72D297353CC}">
              <c16:uniqueId val="{00000000-8604-41E1-942A-F2D0962D5AA3}"/>
            </c:ext>
          </c:extLst>
        </c:ser>
        <c:ser>
          <c:idx val="1"/>
          <c:order val="1"/>
          <c:tx>
            <c:v>Quick ratio</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Dashboard!$L$17:$L$21</c:f>
              <c:numCache>
                <c:formatCode>General</c:formatCode>
                <c:ptCount val="5"/>
                <c:pt idx="0">
                  <c:v>2021</c:v>
                </c:pt>
                <c:pt idx="1">
                  <c:v>2022</c:v>
                </c:pt>
                <c:pt idx="2">
                  <c:v>2023</c:v>
                </c:pt>
                <c:pt idx="3">
                  <c:v>2024</c:v>
                </c:pt>
                <c:pt idx="4">
                  <c:v>2025</c:v>
                </c:pt>
              </c:numCache>
            </c:numRef>
          </c:cat>
          <c:val>
            <c:numRef>
              <c:f>Dashboard!$N$17:$N$21</c:f>
              <c:numCache>
                <c:formatCode>General</c:formatCode>
                <c:ptCount val="5"/>
                <c:pt idx="0">
                  <c:v>0.85458761179198406</c:v>
                </c:pt>
                <c:pt idx="1">
                  <c:v>0.77491103202846978</c:v>
                </c:pt>
                <c:pt idx="2">
                  <c:v>0.63460505104782372</c:v>
                </c:pt>
                <c:pt idx="3">
                  <c:v>0.62957446808510642</c:v>
                </c:pt>
                <c:pt idx="4">
                  <c:v>0.59006211180124224</c:v>
                </c:pt>
              </c:numCache>
            </c:numRef>
          </c:val>
          <c:smooth val="0"/>
          <c:extLst>
            <c:ext xmlns:c16="http://schemas.microsoft.com/office/drawing/2014/chart" uri="{C3380CC4-5D6E-409C-BE32-E72D297353CC}">
              <c16:uniqueId val="{00000001-8604-41E1-942A-F2D0962D5AA3}"/>
            </c:ext>
          </c:extLst>
        </c:ser>
        <c:ser>
          <c:idx val="2"/>
          <c:order val="2"/>
          <c:tx>
            <c:v>OCF ratio</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Dashboard!$L$17:$L$21</c:f>
              <c:numCache>
                <c:formatCode>General</c:formatCode>
                <c:ptCount val="5"/>
                <c:pt idx="0">
                  <c:v>2021</c:v>
                </c:pt>
                <c:pt idx="1">
                  <c:v>2022</c:v>
                </c:pt>
                <c:pt idx="2">
                  <c:v>2023</c:v>
                </c:pt>
                <c:pt idx="3">
                  <c:v>2024</c:v>
                </c:pt>
                <c:pt idx="4">
                  <c:v>2025</c:v>
                </c:pt>
              </c:numCache>
            </c:numRef>
          </c:cat>
          <c:val>
            <c:numRef>
              <c:f>Dashboard!$O$17:$O$21</c:f>
              <c:numCache>
                <c:formatCode>General</c:formatCode>
                <c:ptCount val="5"/>
                <c:pt idx="0">
                  <c:v>3.6104670420669095E-2</c:v>
                </c:pt>
                <c:pt idx="1">
                  <c:v>0.49851720047449583</c:v>
                </c:pt>
                <c:pt idx="2">
                  <c:v>0.52283718430951098</c:v>
                </c:pt>
                <c:pt idx="3">
                  <c:v>0.42829787234042555</c:v>
                </c:pt>
                <c:pt idx="4">
                  <c:v>0.47227151730257322</c:v>
                </c:pt>
              </c:numCache>
            </c:numRef>
          </c:val>
          <c:smooth val="0"/>
          <c:extLst>
            <c:ext xmlns:c16="http://schemas.microsoft.com/office/drawing/2014/chart" uri="{C3380CC4-5D6E-409C-BE32-E72D297353CC}">
              <c16:uniqueId val="{00000002-8604-41E1-942A-F2D0962D5AA3}"/>
            </c:ext>
          </c:extLst>
        </c:ser>
        <c:ser>
          <c:idx val="3"/>
          <c:order val="3"/>
          <c:tx>
            <c:v>2025 peer current-ratio median</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Dashboard!$L$17:$L$21</c:f>
              <c:numCache>
                <c:formatCode>General</c:formatCode>
                <c:ptCount val="5"/>
                <c:pt idx="0">
                  <c:v>2021</c:v>
                </c:pt>
                <c:pt idx="1">
                  <c:v>2022</c:v>
                </c:pt>
                <c:pt idx="2">
                  <c:v>2023</c:v>
                </c:pt>
                <c:pt idx="3">
                  <c:v>2024</c:v>
                </c:pt>
                <c:pt idx="4">
                  <c:v>2025</c:v>
                </c:pt>
              </c:numCache>
            </c:numRef>
          </c:cat>
          <c:val>
            <c:numRef>
              <c:f>Dashboard!$P$17:$P$21</c:f>
              <c:numCache>
                <c:formatCode>General</c:formatCode>
                <c:ptCount val="5"/>
                <c:pt idx="0">
                  <c:v>0.85798799999999997</c:v>
                </c:pt>
                <c:pt idx="1">
                  <c:v>0.85798799999999997</c:v>
                </c:pt>
                <c:pt idx="2">
                  <c:v>0.85798799999999997</c:v>
                </c:pt>
                <c:pt idx="3">
                  <c:v>0.85798799999999997</c:v>
                </c:pt>
                <c:pt idx="4">
                  <c:v>0.85798799999999997</c:v>
                </c:pt>
              </c:numCache>
            </c:numRef>
          </c:val>
          <c:smooth val="0"/>
          <c:extLst>
            <c:ext xmlns:c16="http://schemas.microsoft.com/office/drawing/2014/chart" uri="{C3380CC4-5D6E-409C-BE32-E72D297353CC}">
              <c16:uniqueId val="{00000003-8604-41E1-942A-F2D0962D5AA3}"/>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b="1"/>
              <a:t>Balance-Sheet Leverage (%) 2021-2025 </a:t>
            </a:r>
          </a:p>
        </c:rich>
      </c:tx>
      <c:overlay val="0"/>
    </c:title>
    <c:autoTitleDeleted val="0"/>
    <c:plotArea>
      <c:layout/>
      <c:lineChart>
        <c:grouping val="standard"/>
        <c:varyColors val="1"/>
        <c:ser>
          <c:idx val="0"/>
          <c:order val="0"/>
          <c:tx>
            <c:v>Debt / assets</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Dashboard!$L$24:$L$28</c:f>
              <c:numCache>
                <c:formatCode>General</c:formatCode>
                <c:ptCount val="5"/>
                <c:pt idx="0">
                  <c:v>2021</c:v>
                </c:pt>
                <c:pt idx="1">
                  <c:v>2022</c:v>
                </c:pt>
                <c:pt idx="2">
                  <c:v>2023</c:v>
                </c:pt>
                <c:pt idx="3">
                  <c:v>2024</c:v>
                </c:pt>
                <c:pt idx="4">
                  <c:v>2025</c:v>
                </c:pt>
              </c:numCache>
            </c:numRef>
          </c:cat>
          <c:val>
            <c:numRef>
              <c:f>Dashboard!$M$24:$M$28</c:f>
              <c:numCache>
                <c:formatCode>General</c:formatCode>
                <c:ptCount val="5"/>
                <c:pt idx="0">
                  <c:v>0.56770934524965999</c:v>
                </c:pt>
                <c:pt idx="1">
                  <c:v>0.56388602372356889</c:v>
                </c:pt>
                <c:pt idx="2">
                  <c:v>0.59710408415037985</c:v>
                </c:pt>
                <c:pt idx="3">
                  <c:v>0.67491829076383003</c:v>
                </c:pt>
                <c:pt idx="4">
                  <c:v>0.73703350423274117</c:v>
                </c:pt>
              </c:numCache>
            </c:numRef>
          </c:val>
          <c:smooth val="0"/>
          <c:extLst>
            <c:ext xmlns:c16="http://schemas.microsoft.com/office/drawing/2014/chart" uri="{C3380CC4-5D6E-409C-BE32-E72D297353CC}">
              <c16:uniqueId val="{00000000-CB90-408A-B643-265D8D7AA642}"/>
            </c:ext>
          </c:extLst>
        </c:ser>
        <c:ser>
          <c:idx val="1"/>
          <c:order val="1"/>
          <c:tx>
            <c:v>Liabilities / assets</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Dashboard!$L$24:$L$28</c:f>
              <c:numCache>
                <c:formatCode>General</c:formatCode>
                <c:ptCount val="5"/>
                <c:pt idx="0">
                  <c:v>2021</c:v>
                </c:pt>
                <c:pt idx="1">
                  <c:v>2022</c:v>
                </c:pt>
                <c:pt idx="2">
                  <c:v>2023</c:v>
                </c:pt>
                <c:pt idx="3">
                  <c:v>2024</c:v>
                </c:pt>
                <c:pt idx="4">
                  <c:v>2025</c:v>
                </c:pt>
              </c:numCache>
            </c:numRef>
          </c:cat>
          <c:val>
            <c:numRef>
              <c:f>Dashboard!$N$24:$N$28</c:f>
              <c:numCache>
                <c:formatCode>General</c:formatCode>
                <c:ptCount val="5"/>
                <c:pt idx="0">
                  <c:v>1.0530406061783564</c:v>
                </c:pt>
                <c:pt idx="1">
                  <c:v>1.0707839092315627</c:v>
                </c:pt>
                <c:pt idx="2">
                  <c:v>1.1523927017726121</c:v>
                </c:pt>
                <c:pt idx="3">
                  <c:v>1.2232780535044183</c:v>
                </c:pt>
                <c:pt idx="4">
                  <c:v>1.3187075235483485</c:v>
                </c:pt>
              </c:numCache>
            </c:numRef>
          </c:val>
          <c:smooth val="0"/>
          <c:extLst>
            <c:ext xmlns:c16="http://schemas.microsoft.com/office/drawing/2014/chart" uri="{C3380CC4-5D6E-409C-BE32-E72D297353CC}">
              <c16:uniqueId val="{00000001-CB90-408A-B643-265D8D7AA642}"/>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b="1"/>
              <a:t>Cash Generation and Buybacks ($m) 2021-2025</a:t>
            </a:r>
          </a:p>
        </c:rich>
      </c:tx>
      <c:overlay val="0"/>
    </c:title>
    <c:autoTitleDeleted val="0"/>
    <c:plotArea>
      <c:layout/>
      <c:lineChart>
        <c:grouping val="standard"/>
        <c:varyColors val="1"/>
        <c:ser>
          <c:idx val="0"/>
          <c:order val="0"/>
          <c:tx>
            <c:v>Operating cash flow</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Dashboard!$L$31:$L$35</c:f>
              <c:numCache>
                <c:formatCode>General</c:formatCode>
                <c:ptCount val="5"/>
                <c:pt idx="0">
                  <c:v>2021</c:v>
                </c:pt>
                <c:pt idx="1">
                  <c:v>2022</c:v>
                </c:pt>
                <c:pt idx="2">
                  <c:v>2023</c:v>
                </c:pt>
                <c:pt idx="3">
                  <c:v>2024</c:v>
                </c:pt>
                <c:pt idx="4">
                  <c:v>2025</c:v>
                </c:pt>
              </c:numCache>
            </c:numRef>
          </c:cat>
          <c:val>
            <c:numRef>
              <c:f>Dashboard!$M$31:$M$35</c:f>
              <c:numCache>
                <c:formatCode>General</c:formatCode>
                <c:ptCount val="5"/>
                <c:pt idx="0">
                  <c:v>109</c:v>
                </c:pt>
                <c:pt idx="1">
                  <c:v>1681</c:v>
                </c:pt>
                <c:pt idx="2">
                  <c:v>1946</c:v>
                </c:pt>
                <c:pt idx="3">
                  <c:v>2013</c:v>
                </c:pt>
                <c:pt idx="4">
                  <c:v>2129</c:v>
                </c:pt>
              </c:numCache>
            </c:numRef>
          </c:val>
          <c:smooth val="0"/>
          <c:extLst>
            <c:ext xmlns:c16="http://schemas.microsoft.com/office/drawing/2014/chart" uri="{C3380CC4-5D6E-409C-BE32-E72D297353CC}">
              <c16:uniqueId val="{00000000-1D05-449E-9CEE-713989ED75C7}"/>
            </c:ext>
          </c:extLst>
        </c:ser>
        <c:ser>
          <c:idx val="1"/>
          <c:order val="1"/>
          <c:tx>
            <c:v>Free cash flow</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Dashboard!$L$31:$L$35</c:f>
              <c:numCache>
                <c:formatCode>General</c:formatCode>
                <c:ptCount val="5"/>
                <c:pt idx="0">
                  <c:v>2021</c:v>
                </c:pt>
                <c:pt idx="1">
                  <c:v>2022</c:v>
                </c:pt>
                <c:pt idx="2">
                  <c:v>2023</c:v>
                </c:pt>
                <c:pt idx="3">
                  <c:v>2024</c:v>
                </c:pt>
                <c:pt idx="4">
                  <c:v>2025</c:v>
                </c:pt>
              </c:numCache>
            </c:numRef>
          </c:cat>
          <c:val>
            <c:numRef>
              <c:f>Dashboard!$N$31:$N$35</c:f>
              <c:numCache>
                <c:formatCode>General</c:formatCode>
                <c:ptCount val="5"/>
                <c:pt idx="0">
                  <c:v>30</c:v>
                </c:pt>
                <c:pt idx="1">
                  <c:v>1579</c:v>
                </c:pt>
                <c:pt idx="2">
                  <c:v>1699</c:v>
                </c:pt>
                <c:pt idx="3">
                  <c:v>1815</c:v>
                </c:pt>
                <c:pt idx="4">
                  <c:v>1944</c:v>
                </c:pt>
              </c:numCache>
            </c:numRef>
          </c:val>
          <c:smooth val="0"/>
          <c:extLst>
            <c:ext xmlns:c16="http://schemas.microsoft.com/office/drawing/2014/chart" uri="{C3380CC4-5D6E-409C-BE32-E72D297353CC}">
              <c16:uniqueId val="{00000001-1D05-449E-9CEE-713989ED75C7}"/>
            </c:ext>
          </c:extLst>
        </c:ser>
        <c:ser>
          <c:idx val="2"/>
          <c:order val="2"/>
          <c:tx>
            <c:v>Share repurchases</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Dashboard!$L$31:$L$35</c:f>
              <c:numCache>
                <c:formatCode>General</c:formatCode>
                <c:ptCount val="5"/>
                <c:pt idx="0">
                  <c:v>2021</c:v>
                </c:pt>
                <c:pt idx="1">
                  <c:v>2022</c:v>
                </c:pt>
                <c:pt idx="2">
                  <c:v>2023</c:v>
                </c:pt>
                <c:pt idx="3">
                  <c:v>2024</c:v>
                </c:pt>
                <c:pt idx="4">
                  <c:v>2025</c:v>
                </c:pt>
              </c:numCache>
            </c:numRef>
          </c:cat>
          <c:val>
            <c:numRef>
              <c:f>Dashboard!$O$31:$O$35</c:f>
              <c:numCache>
                <c:formatCode>General</c:formatCode>
                <c:ptCount val="5"/>
                <c:pt idx="0">
                  <c:v>0</c:v>
                </c:pt>
                <c:pt idx="1">
                  <c:v>1590</c:v>
                </c:pt>
                <c:pt idx="2">
                  <c:v>2338</c:v>
                </c:pt>
                <c:pt idx="3">
                  <c:v>2893</c:v>
                </c:pt>
                <c:pt idx="4">
                  <c:v>3182</c:v>
                </c:pt>
              </c:numCache>
            </c:numRef>
          </c:val>
          <c:smooth val="0"/>
          <c:extLst>
            <c:ext xmlns:c16="http://schemas.microsoft.com/office/drawing/2014/chart" uri="{C3380CC4-5D6E-409C-BE32-E72D297353CC}">
              <c16:uniqueId val="{00000002-1D05-449E-9CEE-713989ED75C7}"/>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r>
              <a:rPr lang="en-US" b="1"/>
              <a:t>EPS and Dividend per Share ($) 2021-2025</a:t>
            </a:r>
          </a:p>
        </c:rich>
      </c:tx>
      <c:overlay val="0"/>
    </c:title>
    <c:autoTitleDeleted val="0"/>
    <c:plotArea>
      <c:layout/>
      <c:lineChart>
        <c:grouping val="standard"/>
        <c:varyColors val="1"/>
        <c:ser>
          <c:idx val="0"/>
          <c:order val="0"/>
          <c:tx>
            <c:v>Diluted EPS</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Dashboard!$L$38:$L$42</c:f>
              <c:numCache>
                <c:formatCode>General</c:formatCode>
                <c:ptCount val="5"/>
                <c:pt idx="0">
                  <c:v>2021</c:v>
                </c:pt>
                <c:pt idx="1">
                  <c:v>2022</c:v>
                </c:pt>
                <c:pt idx="2">
                  <c:v>2023</c:v>
                </c:pt>
                <c:pt idx="3">
                  <c:v>2024</c:v>
                </c:pt>
                <c:pt idx="4">
                  <c:v>2025</c:v>
                </c:pt>
              </c:numCache>
            </c:numRef>
          </c:cat>
          <c:val>
            <c:numRef>
              <c:f>Dashboard!$M$38:$M$42</c:f>
              <c:numCache>
                <c:formatCode>General</c:formatCode>
                <c:ptCount val="5"/>
                <c:pt idx="0">
                  <c:v>1.46</c:v>
                </c:pt>
                <c:pt idx="1">
                  <c:v>4.53</c:v>
                </c:pt>
                <c:pt idx="2">
                  <c:v>4.33</c:v>
                </c:pt>
                <c:pt idx="3">
                  <c:v>6.14</c:v>
                </c:pt>
                <c:pt idx="4">
                  <c:v>6.12</c:v>
                </c:pt>
              </c:numCache>
            </c:numRef>
          </c:val>
          <c:smooth val="0"/>
          <c:extLst>
            <c:ext xmlns:c16="http://schemas.microsoft.com/office/drawing/2014/chart" uri="{C3380CC4-5D6E-409C-BE32-E72D297353CC}">
              <c16:uniqueId val="{00000000-A1B7-46B5-AFCC-ECA0CEC17E68}"/>
            </c:ext>
          </c:extLst>
        </c:ser>
        <c:ser>
          <c:idx val="1"/>
          <c:order val="1"/>
          <c:tx>
            <c:v>Dividend per share</c:v>
          </c:tx>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Dashboard!$L$38:$L$42</c:f>
              <c:numCache>
                <c:formatCode>General</c:formatCode>
                <c:ptCount val="5"/>
                <c:pt idx="0">
                  <c:v>2021</c:v>
                </c:pt>
                <c:pt idx="1">
                  <c:v>2022</c:v>
                </c:pt>
                <c:pt idx="2">
                  <c:v>2023</c:v>
                </c:pt>
                <c:pt idx="3">
                  <c:v>2024</c:v>
                </c:pt>
                <c:pt idx="4">
                  <c:v>2025</c:v>
                </c:pt>
              </c:numCache>
            </c:numRef>
          </c:cat>
          <c:val>
            <c:numRef>
              <c:f>Dashboard!$N$38:$N$42</c:f>
              <c:numCache>
                <c:formatCode>General</c:formatCode>
                <c:ptCount val="5"/>
                <c:pt idx="0">
                  <c:v>0</c:v>
                </c:pt>
                <c:pt idx="1">
                  <c:v>0.45</c:v>
                </c:pt>
                <c:pt idx="2">
                  <c:v>0.6</c:v>
                </c:pt>
                <c:pt idx="3">
                  <c:v>0.6</c:v>
                </c:pt>
                <c:pt idx="4">
                  <c:v>0.6</c:v>
                </c:pt>
              </c:numCache>
            </c:numRef>
          </c:val>
          <c:smooth val="0"/>
          <c:extLst>
            <c:ext xmlns:c16="http://schemas.microsoft.com/office/drawing/2014/chart" uri="{C3380CC4-5D6E-409C-BE32-E72D297353CC}">
              <c16:uniqueId val="{00000001-A1B7-46B5-AFCC-ECA0CEC17E68}"/>
            </c:ext>
          </c:extLst>
        </c:ser>
        <c:dLbls>
          <c:dLblPos val="t"/>
          <c:showLegendKey val="0"/>
          <c:showVal val="1"/>
          <c:showCatName val="0"/>
          <c:showSerName val="0"/>
          <c:showPercent val="0"/>
          <c:showBubbleSize val="0"/>
        </c:dLbls>
        <c:marker val="1"/>
        <c:smooth val="0"/>
        <c:axId val="48650112"/>
        <c:axId val="48672768"/>
      </c:lineChart>
      <c:catAx>
        <c:axId val="48650112"/>
        <c:scaling>
          <c:orientation val="minMax"/>
        </c:scaling>
        <c:delete val="0"/>
        <c:axPos val="b"/>
        <c:majorGridlines>
          <c:spPr>
            <a:ln w="9525">
              <a:solidFill>
                <a:srgbClr val="CCCCCC"/>
              </a:solidFill>
              <a:prstDash val="dash"/>
            </a:ln>
          </c:spPr>
        </c:majorGridlines>
        <c:numFmt formatCode="General" sourceLinked="1"/>
        <c:majorTickMark val="none"/>
        <c:minorTickMark val="none"/>
        <c:tickLblPos val="nextTo"/>
        <c:crossAx val="48672768"/>
        <c:crosses val="autoZero"/>
        <c:auto val="1"/>
        <c:lblAlgn val="ctr"/>
        <c:lblOffset val="100"/>
        <c:noMultiLvlLbl val="0"/>
      </c:catAx>
      <c:valAx>
        <c:axId val="48672768"/>
        <c:scaling>
          <c:orientation val="minMax"/>
        </c:scaling>
        <c:delete val="0"/>
        <c:axPos val="l"/>
        <c:majorGridlines>
          <c:spPr>
            <a:ln w="9525">
              <a:solidFill>
                <a:srgbClr val="CCCCCC"/>
              </a:solidFill>
              <a:prstDash val="dash"/>
            </a:ln>
          </c:spPr>
        </c:majorGridlines>
        <c:numFmt formatCode="General" sourceLinked="1"/>
        <c:majorTickMark val="none"/>
        <c:minorTickMark val="none"/>
        <c:tickLblPos val="nextTo"/>
        <c:crossAx val="48650112"/>
        <c:crosses val="autoZero"/>
        <c:crossBetween val="between"/>
      </c:valAx>
    </c:plotArea>
    <c:legend>
      <c:legendPos val="b"/>
      <c:overlay val="0"/>
    </c:legend>
    <c:plotVisOnly val="1"/>
    <c:dispBlanksAs val="zero"/>
    <c:showDLblsOverMax val="1"/>
  </c:chart>
  <c:spPr>
    <a:ln w="9525">
      <a:solidFill>
        <a:srgbClr val="D9D9D9"/>
      </a:solidFill>
      <a:prstDash val="solid"/>
    </a:ln>
  </c:spPr>
  <c:externalData r:id="rId1">
    <c:autoUpdate val="0"/>
  </c:externalData>
</c:chartSpace>
</file>

<file path=word/theme/theme1.xml><?xml version="1.0" encoding="utf-8"?>
<a:theme xmlns:a="http://schemas.openxmlformats.org/drawingml/2006/main" name="Office Theme">
  <a:themeElements>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05BE8-2A6F-4C02-A2DB-A8A648617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35</Pages>
  <Words>7727</Words>
  <Characters>44044</Characters>
  <DocSecurity>0</DocSecurity>
  <Lines>367</Lines>
  <Paragraphs>103</Paragraphs>
  <ScaleCrop>false</ScaleCrop>
  <Company/>
  <LinksUpToDate>false</LinksUpToDate>
  <CharactersWithSpaces>51668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2026-07-23T04:14:00Z</dcterms:created>
  <dcterms:modified xsi:type="dcterms:W3CDTF">2026-07-23T05:42:00Z</dcterms:modified>
</cp:coreProperties>
</file>