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4094" w:rsidRPr="0008565A" w:rsidRDefault="005B4094" w:rsidP="0008565A">
      <w:pPr>
        <w:pStyle w:val="normal0"/>
        <w:spacing w:line="360" w:lineRule="auto"/>
        <w:jc w:val="center"/>
        <w:rPr>
          <w:rFonts w:ascii="Times New Roman" w:eastAsia="Times New Roman" w:hAnsi="Times New Roman" w:cs="Times New Roman"/>
          <w:b/>
          <w:sz w:val="32"/>
          <w:szCs w:val="32"/>
          <w:highlight w:val="white"/>
        </w:rPr>
      </w:pPr>
    </w:p>
    <w:p w:rsidR="005B4094" w:rsidRPr="0008565A" w:rsidRDefault="005B4094" w:rsidP="0008565A">
      <w:pPr>
        <w:pStyle w:val="normal0"/>
        <w:spacing w:line="360" w:lineRule="auto"/>
        <w:jc w:val="center"/>
        <w:rPr>
          <w:rFonts w:ascii="Times New Roman" w:eastAsia="Times New Roman" w:hAnsi="Times New Roman" w:cs="Times New Roman"/>
          <w:b/>
          <w:sz w:val="32"/>
          <w:szCs w:val="32"/>
          <w:highlight w:val="white"/>
        </w:rPr>
      </w:pPr>
    </w:p>
    <w:p w:rsidR="005B4094" w:rsidRPr="0008565A" w:rsidRDefault="005B4094" w:rsidP="0008565A">
      <w:pPr>
        <w:pStyle w:val="normal0"/>
        <w:spacing w:line="360" w:lineRule="auto"/>
        <w:jc w:val="center"/>
        <w:rPr>
          <w:rFonts w:ascii="Times New Roman" w:eastAsia="Times New Roman" w:hAnsi="Times New Roman" w:cs="Times New Roman"/>
          <w:b/>
          <w:sz w:val="32"/>
          <w:szCs w:val="32"/>
          <w:highlight w:val="white"/>
        </w:rPr>
      </w:pPr>
    </w:p>
    <w:p w:rsidR="005B4094" w:rsidRPr="0008565A" w:rsidRDefault="005B4094" w:rsidP="0008565A">
      <w:pPr>
        <w:pStyle w:val="normal0"/>
        <w:spacing w:line="360" w:lineRule="auto"/>
        <w:jc w:val="center"/>
        <w:rPr>
          <w:rFonts w:ascii="Times New Roman" w:eastAsia="Times New Roman" w:hAnsi="Times New Roman" w:cs="Times New Roman"/>
          <w:b/>
          <w:sz w:val="32"/>
          <w:szCs w:val="32"/>
          <w:highlight w:val="white"/>
        </w:rPr>
      </w:pPr>
    </w:p>
    <w:p w:rsidR="005B4094" w:rsidRPr="0008565A" w:rsidRDefault="005B4094" w:rsidP="0008565A">
      <w:pPr>
        <w:pStyle w:val="normal0"/>
        <w:spacing w:line="360" w:lineRule="auto"/>
        <w:jc w:val="center"/>
        <w:rPr>
          <w:rFonts w:ascii="Times New Roman" w:eastAsia="Times New Roman" w:hAnsi="Times New Roman" w:cs="Times New Roman"/>
          <w:b/>
          <w:sz w:val="32"/>
          <w:szCs w:val="32"/>
          <w:highlight w:val="white"/>
        </w:rPr>
      </w:pPr>
    </w:p>
    <w:p w:rsidR="005B4094" w:rsidRPr="0008565A" w:rsidRDefault="005B4094" w:rsidP="0008565A">
      <w:pPr>
        <w:pStyle w:val="normal0"/>
        <w:spacing w:line="360" w:lineRule="auto"/>
        <w:jc w:val="center"/>
        <w:rPr>
          <w:rFonts w:ascii="Times New Roman" w:eastAsia="Times New Roman" w:hAnsi="Times New Roman" w:cs="Times New Roman"/>
          <w:b/>
          <w:sz w:val="32"/>
          <w:szCs w:val="32"/>
          <w:highlight w:val="white"/>
        </w:rPr>
      </w:pPr>
    </w:p>
    <w:p w:rsidR="00D41C5B" w:rsidRPr="0008565A" w:rsidRDefault="00C90C19" w:rsidP="0008565A">
      <w:pPr>
        <w:pStyle w:val="normal0"/>
        <w:spacing w:line="360" w:lineRule="auto"/>
        <w:jc w:val="center"/>
        <w:rPr>
          <w:rFonts w:ascii="Times New Roman" w:eastAsia="Times New Roman" w:hAnsi="Times New Roman" w:cs="Times New Roman"/>
          <w:b/>
          <w:sz w:val="32"/>
          <w:szCs w:val="32"/>
        </w:rPr>
      </w:pPr>
      <w:r w:rsidRPr="0008565A">
        <w:rPr>
          <w:rFonts w:ascii="Times New Roman" w:eastAsia="Times New Roman" w:hAnsi="Times New Roman" w:cs="Times New Roman"/>
          <w:b/>
          <w:sz w:val="32"/>
          <w:szCs w:val="32"/>
          <w:highlight w:val="white"/>
        </w:rPr>
        <w:t>ACCOUNTING FUNDAMENTALS</w:t>
      </w:r>
    </w:p>
    <w:p w:rsidR="00D41C5B" w:rsidRPr="0008565A" w:rsidRDefault="00FC4053" w:rsidP="0008565A">
      <w:pPr>
        <w:pStyle w:val="normal0"/>
        <w:spacing w:line="360" w:lineRule="auto"/>
        <w:rPr>
          <w:rFonts w:ascii="Times New Roman" w:hAnsi="Times New Roman" w:cs="Times New Roman"/>
        </w:rPr>
      </w:pPr>
      <w:r w:rsidRPr="0008565A">
        <w:rPr>
          <w:rFonts w:ascii="Times New Roman" w:hAnsi="Times New Roman" w:cs="Times New Roman"/>
        </w:rPr>
        <w:br w:type="page"/>
      </w:r>
    </w:p>
    <w:p w:rsidR="00D41C5B" w:rsidRPr="0008565A" w:rsidRDefault="00FC4053"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lastRenderedPageBreak/>
        <w:t>Executive Summary</w:t>
      </w:r>
    </w:p>
    <w:p w:rsidR="00D41C5B" w:rsidRPr="0008565A" w:rsidRDefault="00FC4053" w:rsidP="0008565A">
      <w:pPr>
        <w:pStyle w:val="normal0"/>
        <w:spacing w:line="360" w:lineRule="auto"/>
        <w:jc w:val="both"/>
        <w:rPr>
          <w:rFonts w:ascii="Times New Roman" w:hAnsi="Times New Roman" w:cs="Times New Roman"/>
        </w:rPr>
      </w:pPr>
      <w:r w:rsidRPr="0008565A">
        <w:rPr>
          <w:rFonts w:ascii="Times New Roman" w:eastAsia="Times New Roman" w:hAnsi="Times New Roman" w:cs="Times New Roman"/>
          <w:sz w:val="24"/>
          <w:szCs w:val="24"/>
        </w:rPr>
        <w:t xml:space="preserve">The estimation of a financial statement has been used for the evaluation of profit value that has been computed to have a higher return value for the year. The report has indicated a statement of financial position and also an income statement that denotes a better position of Kedison plc. The study has found a higher profit value of £115000 for the year. The calculated value has found a total financial margin of £1146355. Valuation has found a higher financial value as per the analysis of the ratio. Value has indicated higher profitability as per computation of NP and ROE value. The liquidity margin has also developed from 0.77 to 0.92. Chocco plc has improved the efficiency for reducing the debt value and also measured higher earnings per share margin.   </w:t>
      </w:r>
      <w:r w:rsidRPr="0008565A">
        <w:rPr>
          <w:rFonts w:ascii="Times New Roman" w:eastAsia="Times New Roman" w:hAnsi="Times New Roman" w:cs="Times New Roman"/>
          <w:sz w:val="24"/>
          <w:szCs w:val="24"/>
        </w:rPr>
        <w:tab/>
      </w:r>
      <w:r w:rsidRPr="0008565A">
        <w:rPr>
          <w:rFonts w:ascii="Times New Roman" w:hAnsi="Times New Roman" w:cs="Times New Roman"/>
        </w:rPr>
        <w:t xml:space="preserve">     </w:t>
      </w:r>
    </w:p>
    <w:p w:rsidR="0070778C" w:rsidRPr="0008565A" w:rsidRDefault="0070778C" w:rsidP="0008565A">
      <w:pPr>
        <w:spacing w:line="360" w:lineRule="auto"/>
        <w:rPr>
          <w:rFonts w:ascii="Times New Roman" w:hAnsi="Times New Roman" w:cs="Times New Roman"/>
        </w:rPr>
      </w:pPr>
      <w:r w:rsidRPr="0008565A">
        <w:rPr>
          <w:rFonts w:ascii="Times New Roman" w:hAnsi="Times New Roman" w:cs="Times New Roman"/>
        </w:rPr>
        <w:br w:type="page"/>
      </w:r>
    </w:p>
    <w:sdt>
      <w:sdtPr>
        <w:rPr>
          <w:rFonts w:ascii="Times New Roman" w:eastAsia="Arial" w:hAnsi="Times New Roman" w:cs="Times New Roman"/>
          <w:b w:val="0"/>
          <w:bCs w:val="0"/>
          <w:color w:val="auto"/>
          <w:sz w:val="22"/>
          <w:szCs w:val="22"/>
        </w:rPr>
        <w:id w:val="15787318"/>
        <w:docPartObj>
          <w:docPartGallery w:val="Table of Contents"/>
          <w:docPartUnique/>
        </w:docPartObj>
      </w:sdtPr>
      <w:sdtContent>
        <w:p w:rsidR="006F1CF1" w:rsidRPr="0008565A" w:rsidRDefault="006F1CF1" w:rsidP="0008565A">
          <w:pPr>
            <w:pStyle w:val="TOCHeading"/>
            <w:spacing w:line="360" w:lineRule="auto"/>
            <w:jc w:val="center"/>
            <w:rPr>
              <w:rFonts w:ascii="Times New Roman" w:hAnsi="Times New Roman" w:cs="Times New Roman"/>
            </w:rPr>
          </w:pPr>
          <w:r w:rsidRPr="0008565A">
            <w:rPr>
              <w:rFonts w:ascii="Times New Roman" w:hAnsi="Times New Roman" w:cs="Times New Roman"/>
              <w:color w:val="000000" w:themeColor="text1"/>
              <w:sz w:val="24"/>
              <w:szCs w:val="24"/>
            </w:rPr>
            <w:t>Table of Contents</w:t>
          </w:r>
        </w:p>
        <w:p w:rsidR="005B4094" w:rsidRPr="0008565A" w:rsidRDefault="0095170D" w:rsidP="0008565A">
          <w:pPr>
            <w:pStyle w:val="TOC1"/>
            <w:tabs>
              <w:tab w:val="right" w:leader="dot" w:pos="9350"/>
            </w:tabs>
            <w:spacing w:line="360" w:lineRule="auto"/>
            <w:jc w:val="both"/>
            <w:rPr>
              <w:rFonts w:ascii="Times New Roman" w:eastAsiaTheme="minorEastAsia" w:hAnsi="Times New Roman" w:cs="Times New Roman"/>
              <w:noProof/>
              <w:sz w:val="24"/>
              <w:szCs w:val="24"/>
            </w:rPr>
          </w:pPr>
          <w:r w:rsidRPr="0008565A">
            <w:rPr>
              <w:rFonts w:ascii="Times New Roman" w:hAnsi="Times New Roman" w:cs="Times New Roman"/>
            </w:rPr>
            <w:fldChar w:fldCharType="begin"/>
          </w:r>
          <w:r w:rsidR="006F1CF1" w:rsidRPr="0008565A">
            <w:rPr>
              <w:rFonts w:ascii="Times New Roman" w:hAnsi="Times New Roman" w:cs="Times New Roman"/>
            </w:rPr>
            <w:instrText xml:space="preserve"> TOC \o "1-3" \h \z \u </w:instrText>
          </w:r>
          <w:r w:rsidRPr="0008565A">
            <w:rPr>
              <w:rFonts w:ascii="Times New Roman" w:hAnsi="Times New Roman" w:cs="Times New Roman"/>
            </w:rPr>
            <w:fldChar w:fldCharType="separate"/>
          </w:r>
          <w:hyperlink w:anchor="_Toc80350134" w:history="1">
            <w:r w:rsidR="005B4094" w:rsidRPr="0008565A">
              <w:rPr>
                <w:rStyle w:val="Hyperlink"/>
                <w:rFonts w:ascii="Times New Roman" w:hAnsi="Times New Roman" w:cs="Times New Roman"/>
                <w:noProof/>
                <w:sz w:val="24"/>
                <w:szCs w:val="24"/>
              </w:rPr>
              <w:t>Introduction</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_Toc80350134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4</w:t>
            </w:r>
            <w:r w:rsidRPr="0008565A">
              <w:rPr>
                <w:rFonts w:ascii="Times New Roman" w:hAnsi="Times New Roman" w:cs="Times New Roman"/>
                <w:noProof/>
                <w:webHidden/>
                <w:sz w:val="24"/>
                <w:szCs w:val="24"/>
              </w:rPr>
              <w:fldChar w:fldCharType="end"/>
            </w:r>
          </w:hyperlink>
        </w:p>
        <w:p w:rsidR="005B4094" w:rsidRPr="0008565A" w:rsidRDefault="0095170D" w:rsidP="000856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350135" w:history="1">
            <w:r w:rsidR="005B4094" w:rsidRPr="0008565A">
              <w:rPr>
                <w:rStyle w:val="Hyperlink"/>
                <w:rFonts w:ascii="Times New Roman" w:hAnsi="Times New Roman" w:cs="Times New Roman"/>
                <w:noProof/>
                <w:sz w:val="24"/>
                <w:szCs w:val="24"/>
              </w:rPr>
              <w:t>Question 1</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_Toc80350135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4</w:t>
            </w:r>
            <w:r w:rsidRPr="0008565A">
              <w:rPr>
                <w:rFonts w:ascii="Times New Roman" w:hAnsi="Times New Roman" w:cs="Times New Roman"/>
                <w:noProof/>
                <w:webHidden/>
                <w:sz w:val="24"/>
                <w:szCs w:val="24"/>
              </w:rPr>
              <w:fldChar w:fldCharType="end"/>
            </w:r>
          </w:hyperlink>
        </w:p>
        <w:p w:rsidR="005B4094" w:rsidRPr="0008565A" w:rsidRDefault="0095170D" w:rsidP="000856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0350136" w:history="1">
            <w:r w:rsidR="005B4094" w:rsidRPr="0008565A">
              <w:rPr>
                <w:rStyle w:val="Hyperlink"/>
                <w:rFonts w:ascii="Times New Roman" w:hAnsi="Times New Roman" w:cs="Times New Roman"/>
                <w:noProof/>
                <w:sz w:val="24"/>
                <w:szCs w:val="24"/>
              </w:rPr>
              <w:t>A) Calculation of financial statement</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_Toc80350136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4</w:t>
            </w:r>
            <w:r w:rsidRPr="0008565A">
              <w:rPr>
                <w:rFonts w:ascii="Times New Roman" w:hAnsi="Times New Roman" w:cs="Times New Roman"/>
                <w:noProof/>
                <w:webHidden/>
                <w:sz w:val="24"/>
                <w:szCs w:val="24"/>
              </w:rPr>
              <w:fldChar w:fldCharType="end"/>
            </w:r>
          </w:hyperlink>
        </w:p>
        <w:p w:rsidR="005B4094" w:rsidRPr="0008565A" w:rsidRDefault="0095170D" w:rsidP="000856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0350137" w:history="1">
            <w:r w:rsidR="005B4094" w:rsidRPr="0008565A">
              <w:rPr>
                <w:rStyle w:val="Hyperlink"/>
                <w:rFonts w:ascii="Times New Roman" w:hAnsi="Times New Roman" w:cs="Times New Roman"/>
                <w:noProof/>
                <w:sz w:val="24"/>
                <w:szCs w:val="24"/>
              </w:rPr>
              <w:t>B) reason for balancing financial position</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_Toc80350137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6</w:t>
            </w:r>
            <w:r w:rsidRPr="0008565A">
              <w:rPr>
                <w:rFonts w:ascii="Times New Roman" w:hAnsi="Times New Roman" w:cs="Times New Roman"/>
                <w:noProof/>
                <w:webHidden/>
                <w:sz w:val="24"/>
                <w:szCs w:val="24"/>
              </w:rPr>
              <w:fldChar w:fldCharType="end"/>
            </w:r>
          </w:hyperlink>
        </w:p>
        <w:p w:rsidR="005B4094" w:rsidRPr="0008565A" w:rsidRDefault="0095170D" w:rsidP="000856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350138" w:history="1">
            <w:r w:rsidR="005B4094" w:rsidRPr="0008565A">
              <w:rPr>
                <w:rStyle w:val="Hyperlink"/>
                <w:rFonts w:ascii="Times New Roman" w:hAnsi="Times New Roman" w:cs="Times New Roman"/>
                <w:noProof/>
                <w:sz w:val="24"/>
                <w:szCs w:val="24"/>
              </w:rPr>
              <w:t>Question 2</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_Toc80350138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6</w:t>
            </w:r>
            <w:r w:rsidRPr="0008565A">
              <w:rPr>
                <w:rFonts w:ascii="Times New Roman" w:hAnsi="Times New Roman" w:cs="Times New Roman"/>
                <w:noProof/>
                <w:webHidden/>
                <w:sz w:val="24"/>
                <w:szCs w:val="24"/>
              </w:rPr>
              <w:fldChar w:fldCharType="end"/>
            </w:r>
          </w:hyperlink>
        </w:p>
        <w:p w:rsidR="005B4094" w:rsidRPr="0008565A" w:rsidRDefault="0095170D" w:rsidP="000856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350139" w:history="1">
            <w:r w:rsidR="005B4094" w:rsidRPr="0008565A">
              <w:rPr>
                <w:rStyle w:val="Hyperlink"/>
                <w:rFonts w:ascii="Times New Roman" w:hAnsi="Times New Roman" w:cs="Times New Roman"/>
                <w:noProof/>
                <w:sz w:val="24"/>
                <w:szCs w:val="24"/>
              </w:rPr>
              <w:t>Conclusion</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_Toc80350139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10</w:t>
            </w:r>
            <w:r w:rsidRPr="0008565A">
              <w:rPr>
                <w:rFonts w:ascii="Times New Roman" w:hAnsi="Times New Roman" w:cs="Times New Roman"/>
                <w:noProof/>
                <w:webHidden/>
                <w:sz w:val="24"/>
                <w:szCs w:val="24"/>
              </w:rPr>
              <w:fldChar w:fldCharType="end"/>
            </w:r>
          </w:hyperlink>
        </w:p>
        <w:p w:rsidR="005B4094" w:rsidRPr="0008565A" w:rsidRDefault="0095170D" w:rsidP="000856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350140" w:history="1">
            <w:r w:rsidR="005B4094" w:rsidRPr="0008565A">
              <w:rPr>
                <w:rStyle w:val="Hyperlink"/>
                <w:rFonts w:ascii="Times New Roman" w:hAnsi="Times New Roman" w:cs="Times New Roman"/>
                <w:noProof/>
                <w:sz w:val="24"/>
                <w:szCs w:val="24"/>
                <w:shd w:val="clear" w:color="auto" w:fill="FFFFFF"/>
              </w:rPr>
              <w:t>References</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_Toc80350140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11</w:t>
            </w:r>
            <w:r w:rsidRPr="0008565A">
              <w:rPr>
                <w:rFonts w:ascii="Times New Roman" w:hAnsi="Times New Roman" w:cs="Times New Roman"/>
                <w:noProof/>
                <w:webHidden/>
                <w:sz w:val="24"/>
                <w:szCs w:val="24"/>
              </w:rPr>
              <w:fldChar w:fldCharType="end"/>
            </w:r>
          </w:hyperlink>
        </w:p>
        <w:p w:rsidR="005B4094" w:rsidRPr="0008565A" w:rsidRDefault="0095170D" w:rsidP="0008565A">
          <w:pPr>
            <w:pStyle w:val="TOC1"/>
            <w:tabs>
              <w:tab w:val="right" w:leader="dot" w:pos="9350"/>
            </w:tabs>
            <w:spacing w:line="360" w:lineRule="auto"/>
            <w:jc w:val="both"/>
            <w:rPr>
              <w:rFonts w:ascii="Times New Roman" w:eastAsiaTheme="minorEastAsia" w:hAnsi="Times New Roman" w:cs="Times New Roman"/>
              <w:noProof/>
            </w:rPr>
          </w:pPr>
          <w:hyperlink w:anchor="_Toc80350141" w:history="1">
            <w:r w:rsidR="005B4094" w:rsidRPr="0008565A">
              <w:rPr>
                <w:rStyle w:val="Hyperlink"/>
                <w:rFonts w:ascii="Times New Roman" w:hAnsi="Times New Roman" w:cs="Times New Roman"/>
                <w:noProof/>
                <w:sz w:val="24"/>
                <w:szCs w:val="24"/>
                <w:shd w:val="clear" w:color="auto" w:fill="FFFFFF"/>
              </w:rPr>
              <w:t>Bibliography</w:t>
            </w:r>
            <w:r w:rsidR="005B4094" w:rsidRPr="0008565A">
              <w:rPr>
                <w:rFonts w:ascii="Times New Roman" w:hAnsi="Times New Roman" w:cs="Times New Roman"/>
                <w:noProof/>
                <w:webHidden/>
                <w:sz w:val="24"/>
                <w:szCs w:val="24"/>
              </w:rPr>
              <w:tab/>
            </w:r>
            <w:r w:rsidRPr="0008565A">
              <w:rPr>
                <w:rFonts w:ascii="Times New Roman" w:hAnsi="Times New Roman" w:cs="Times New Roman"/>
                <w:noProof/>
                <w:webHidden/>
                <w:sz w:val="24"/>
                <w:szCs w:val="24"/>
              </w:rPr>
              <w:fldChar w:fldCharType="begin"/>
            </w:r>
            <w:r w:rsidR="005B4094" w:rsidRPr="0008565A">
              <w:rPr>
                <w:rFonts w:ascii="Times New Roman" w:hAnsi="Times New Roman" w:cs="Times New Roman"/>
                <w:noProof/>
                <w:webHidden/>
                <w:sz w:val="24"/>
                <w:szCs w:val="24"/>
              </w:rPr>
              <w:instrText xml:space="preserve"> PAGEREF _Toc80350141 \h </w:instrText>
            </w:r>
            <w:r w:rsidRPr="0008565A">
              <w:rPr>
                <w:rFonts w:ascii="Times New Roman" w:hAnsi="Times New Roman" w:cs="Times New Roman"/>
                <w:noProof/>
                <w:webHidden/>
                <w:sz w:val="24"/>
                <w:szCs w:val="24"/>
              </w:rPr>
            </w:r>
            <w:r w:rsidRPr="0008565A">
              <w:rPr>
                <w:rFonts w:ascii="Times New Roman" w:hAnsi="Times New Roman" w:cs="Times New Roman"/>
                <w:noProof/>
                <w:webHidden/>
                <w:sz w:val="24"/>
                <w:szCs w:val="24"/>
              </w:rPr>
              <w:fldChar w:fldCharType="separate"/>
            </w:r>
            <w:r w:rsidR="005B4094" w:rsidRPr="0008565A">
              <w:rPr>
                <w:rFonts w:ascii="Times New Roman" w:hAnsi="Times New Roman" w:cs="Times New Roman"/>
                <w:noProof/>
                <w:webHidden/>
                <w:sz w:val="24"/>
                <w:szCs w:val="24"/>
              </w:rPr>
              <w:t>12</w:t>
            </w:r>
            <w:r w:rsidRPr="0008565A">
              <w:rPr>
                <w:rFonts w:ascii="Times New Roman" w:hAnsi="Times New Roman" w:cs="Times New Roman"/>
                <w:noProof/>
                <w:webHidden/>
                <w:sz w:val="24"/>
                <w:szCs w:val="24"/>
              </w:rPr>
              <w:fldChar w:fldCharType="end"/>
            </w:r>
          </w:hyperlink>
        </w:p>
        <w:p w:rsidR="006F1CF1" w:rsidRPr="0008565A" w:rsidRDefault="0095170D" w:rsidP="0008565A">
          <w:pPr>
            <w:spacing w:line="360" w:lineRule="auto"/>
            <w:rPr>
              <w:rFonts w:ascii="Times New Roman" w:hAnsi="Times New Roman" w:cs="Times New Roman"/>
            </w:rPr>
          </w:pPr>
          <w:r w:rsidRPr="0008565A">
            <w:rPr>
              <w:rFonts w:ascii="Times New Roman" w:hAnsi="Times New Roman" w:cs="Times New Roman"/>
            </w:rPr>
            <w:fldChar w:fldCharType="end"/>
          </w:r>
        </w:p>
      </w:sdtContent>
    </w:sdt>
    <w:p w:rsidR="006F1CF1" w:rsidRPr="0008565A" w:rsidRDefault="006F1CF1" w:rsidP="0008565A">
      <w:pPr>
        <w:pStyle w:val="Heading1"/>
        <w:rPr>
          <w:rFonts w:cs="Times New Roman"/>
        </w:rPr>
      </w:pPr>
    </w:p>
    <w:p w:rsidR="006F1CF1" w:rsidRPr="0008565A" w:rsidRDefault="006F1CF1" w:rsidP="0008565A">
      <w:pPr>
        <w:spacing w:line="360" w:lineRule="auto"/>
        <w:rPr>
          <w:rFonts w:ascii="Times New Roman" w:hAnsi="Times New Roman" w:cs="Times New Roman"/>
          <w:b/>
          <w:color w:val="000000" w:themeColor="text1"/>
          <w:sz w:val="24"/>
          <w:szCs w:val="40"/>
        </w:rPr>
      </w:pPr>
      <w:r w:rsidRPr="0008565A">
        <w:rPr>
          <w:rFonts w:ascii="Times New Roman" w:hAnsi="Times New Roman" w:cs="Times New Roman"/>
        </w:rPr>
        <w:br w:type="page"/>
      </w:r>
    </w:p>
    <w:p w:rsidR="00D41C5B" w:rsidRPr="0008565A" w:rsidRDefault="00FC4053" w:rsidP="0008565A">
      <w:pPr>
        <w:pStyle w:val="Heading1"/>
        <w:rPr>
          <w:rFonts w:cs="Times New Roman"/>
        </w:rPr>
      </w:pPr>
      <w:bookmarkStart w:id="0" w:name="_Toc80350134"/>
      <w:r w:rsidRPr="0008565A">
        <w:rPr>
          <w:rFonts w:cs="Times New Roman"/>
        </w:rPr>
        <w:lastRenderedPageBreak/>
        <w:t>Introduction</w:t>
      </w:r>
      <w:bookmarkEnd w:id="0"/>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accounting system is defined as a process that can be used for recording, analysis, and interpretation of the financial data of a business. The data has been defined as the financial value that can be used for the estimation of the financial position of respective companies. The importance of this report is to present the financial status of Kedison plc and also Chocco plc for this year. It has mainly presented a report for estimation of financial value. The value has mainly been defined as producing financial position including income valuation. The report has presented a computation of ratio value that has been used for the analysis of liquidity value, profitability, and for financial position. </w:t>
      </w:r>
    </w:p>
    <w:p w:rsidR="00D41C5B" w:rsidRPr="0008565A" w:rsidRDefault="00FC4053" w:rsidP="0008565A">
      <w:pPr>
        <w:pStyle w:val="Heading1"/>
        <w:rPr>
          <w:rFonts w:cs="Times New Roman"/>
        </w:rPr>
      </w:pPr>
      <w:bookmarkStart w:id="1" w:name="_Toc80350135"/>
      <w:r w:rsidRPr="0008565A">
        <w:rPr>
          <w:rFonts w:cs="Times New Roman"/>
        </w:rPr>
        <w:t>Question 1</w:t>
      </w:r>
      <w:bookmarkEnd w:id="1"/>
    </w:p>
    <w:p w:rsidR="00D41C5B" w:rsidRPr="0008565A" w:rsidRDefault="00FC4053" w:rsidP="0008565A">
      <w:pPr>
        <w:pStyle w:val="Heading2"/>
        <w:rPr>
          <w:rFonts w:cs="Times New Roman"/>
        </w:rPr>
      </w:pPr>
      <w:bookmarkStart w:id="2" w:name="_Toc80350136"/>
      <w:r w:rsidRPr="0008565A">
        <w:rPr>
          <w:rFonts w:cs="Times New Roman"/>
        </w:rPr>
        <w:t>A) Calculation of financial statement</w:t>
      </w:r>
      <w:bookmarkEnd w:id="2"/>
      <w:r w:rsidRPr="0008565A">
        <w:rPr>
          <w:rFonts w:cs="Times New Roman"/>
        </w:rPr>
        <w:t xml:space="preserve"> </w:t>
      </w:r>
    </w:p>
    <w:p w:rsidR="00D41C5B" w:rsidRPr="0008565A" w:rsidRDefault="00FC4053"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3990975" cy="264795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7"/>
                    <a:stretch>
                      <a:fillRect/>
                    </a:stretch>
                  </pic:blipFill>
                  <pic:spPr>
                    <a:xfrm>
                      <a:off x="0" y="0"/>
                      <a:ext cx="3990975" cy="264795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1: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computation of income statement value has been defined as revenue margin that has indicated as profit margin. P/L account has mainly been used to evaluate total income value for the year 2020. The estimation of value has been indicated earnings of Kedison plc for the year 2020. In the computation of production cost value, Kedison plc has earned a profit value of £248000. Operation expenses of the organization have been deducted from GP value. The value </w:t>
      </w:r>
      <w:r w:rsidRPr="0008565A">
        <w:rPr>
          <w:rFonts w:ascii="Times New Roman" w:eastAsia="Times New Roman" w:hAnsi="Times New Roman" w:cs="Times New Roman"/>
          <w:sz w:val="24"/>
          <w:szCs w:val="24"/>
        </w:rPr>
        <w:lastRenderedPageBreak/>
        <w:t>has also been defined as total operating profit value at  £187000. The evaluation of operating profit is used for estimating earnings that have been earned from business operations (</w:t>
      </w:r>
      <w:r w:rsidRPr="0008565A">
        <w:rPr>
          <w:rFonts w:ascii="Times New Roman" w:eastAsia="Times New Roman" w:hAnsi="Times New Roman" w:cs="Times New Roman"/>
          <w:sz w:val="24"/>
          <w:szCs w:val="24"/>
          <w:highlight w:val="white"/>
        </w:rPr>
        <w:t>Robinson, 2020, p.42</w:t>
      </w:r>
      <w:r w:rsidRPr="0008565A">
        <w:rPr>
          <w:rFonts w:ascii="Times New Roman" w:eastAsia="Times New Roman" w:hAnsi="Times New Roman" w:cs="Times New Roman"/>
          <w:sz w:val="24"/>
          <w:szCs w:val="24"/>
        </w:rPr>
        <w:t>). The valuation has also highlighted the ultimate profit value that can be used for estimating net earnings. The total taxation value has been defined as £68000. In this estimation, it can be developed as an earnings value of £115000. Calculated value has been projected as ultimate profit margin after dedicating the interest margin and also taxation.</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       </w:t>
      </w:r>
    </w:p>
    <w:p w:rsidR="00D41C5B" w:rsidRPr="0008565A" w:rsidRDefault="00D41C5B" w:rsidP="0008565A">
      <w:pPr>
        <w:pStyle w:val="normal0"/>
        <w:spacing w:line="360" w:lineRule="auto"/>
        <w:jc w:val="center"/>
        <w:rPr>
          <w:rFonts w:ascii="Times New Roman" w:eastAsia="Times New Roman" w:hAnsi="Times New Roman" w:cs="Times New Roman"/>
          <w:sz w:val="24"/>
          <w:szCs w:val="24"/>
        </w:rPr>
      </w:pPr>
    </w:p>
    <w:p w:rsidR="00D41C5B" w:rsidRPr="0008565A" w:rsidRDefault="00FC4053"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4019550" cy="37814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8"/>
                    <a:stretch>
                      <a:fillRect/>
                    </a:stretch>
                  </pic:blipFill>
                  <pic:spPr>
                    <a:xfrm>
                      <a:off x="0" y="0"/>
                      <a:ext cx="4019550" cy="3781425"/>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2: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computation of strength has been determined from the financial position value of an organization. The calculation of assets and the liability margin has been defined as the strength of the organization. It records the total asset margin for the year that can be estimated as per organizational value (Firdaus and Endri, 2020, p.459). Financial value can be used as an indication of margin for the year. From the above table, it has evaluated the total fixed asset margin at £632730. In the estimation of current asset value, it has been developed as £513625. </w:t>
      </w:r>
      <w:r w:rsidRPr="0008565A">
        <w:rPr>
          <w:rFonts w:ascii="Times New Roman" w:eastAsia="Times New Roman" w:hAnsi="Times New Roman" w:cs="Times New Roman"/>
          <w:sz w:val="24"/>
          <w:szCs w:val="24"/>
        </w:rPr>
        <w:lastRenderedPageBreak/>
        <w:t xml:space="preserve">Valuation of liability can be used for estimation of margin in Kedison plc. The computation liability has been defined as per financial obligation for the year. The total share capital value has been estimated at £710000. Valuation of share capital margin has been found at the total obligation for the business operation. </w:t>
      </w:r>
    </w:p>
    <w:p w:rsidR="00D41C5B" w:rsidRPr="0008565A" w:rsidRDefault="00FC4053" w:rsidP="0008565A">
      <w:pPr>
        <w:pStyle w:val="Heading2"/>
        <w:rPr>
          <w:rFonts w:cs="Times New Roman"/>
        </w:rPr>
      </w:pPr>
      <w:bookmarkStart w:id="3" w:name="_Toc80350137"/>
      <w:r w:rsidRPr="0008565A">
        <w:rPr>
          <w:rFonts w:cs="Times New Roman"/>
        </w:rPr>
        <w:t>B) reason for balancing financial position</w:t>
      </w:r>
      <w:bookmarkEnd w:id="3"/>
      <w:r w:rsidRPr="0008565A">
        <w:rPr>
          <w:rFonts w:cs="Times New Roman"/>
        </w:rPr>
        <w:t xml:space="preserve">  </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The financial position mainly provides information about the net worth of an organization. The computation of asset margin is required to be equal margin as per opposite side that has indicated a balance proposition for the organization. As per the explanation of FRS 21, the asset margin that a company gets in the business operation needs to be equal to creditor and owner data (</w:t>
      </w:r>
      <w:r w:rsidRPr="0008565A">
        <w:rPr>
          <w:rFonts w:ascii="Times New Roman" w:eastAsia="Times New Roman" w:hAnsi="Times New Roman" w:cs="Times New Roman"/>
          <w:sz w:val="24"/>
          <w:szCs w:val="24"/>
          <w:highlight w:val="white"/>
        </w:rPr>
        <w:t>Pernamasari, 2020, p.36</w:t>
      </w:r>
      <w:r w:rsidRPr="0008565A">
        <w:rPr>
          <w:rFonts w:ascii="Times New Roman" w:eastAsia="Times New Roman" w:hAnsi="Times New Roman" w:cs="Times New Roman"/>
          <w:sz w:val="24"/>
          <w:szCs w:val="24"/>
        </w:rPr>
        <w:t xml:space="preserve">). The data has been defined as a double-entry system of accounting that can be used for the estimation of value. As per the double-entry system, it has classified the business activity that can be defined as per performance margin. Financial activity has defined as the total asset margin that is used for the estimation of financial margin (Irwandi </w:t>
      </w:r>
      <w:r w:rsidRPr="0008565A">
        <w:rPr>
          <w:rFonts w:ascii="Times New Roman" w:eastAsia="Times New Roman" w:hAnsi="Times New Roman" w:cs="Times New Roman"/>
          <w:i/>
          <w:sz w:val="24"/>
          <w:szCs w:val="24"/>
        </w:rPr>
        <w:t>et al.</w:t>
      </w:r>
      <w:r w:rsidRPr="0008565A">
        <w:rPr>
          <w:rFonts w:ascii="Times New Roman" w:eastAsia="Times New Roman" w:hAnsi="Times New Roman" w:cs="Times New Roman"/>
          <w:sz w:val="24"/>
          <w:szCs w:val="24"/>
        </w:rPr>
        <w:t xml:space="preserve"> 2019, p.49). Moreover, the projection calculated for funding the asset margin is required to the margin of liability value.  </w:t>
      </w:r>
    </w:p>
    <w:p w:rsidR="00D41C5B" w:rsidRPr="0008565A" w:rsidRDefault="00FC4053" w:rsidP="0008565A">
      <w:pPr>
        <w:pStyle w:val="Heading1"/>
        <w:rPr>
          <w:rFonts w:cs="Times New Roman"/>
        </w:rPr>
      </w:pPr>
      <w:bookmarkStart w:id="4" w:name="_Toc80350138"/>
      <w:r w:rsidRPr="0008565A">
        <w:rPr>
          <w:rFonts w:cs="Times New Roman"/>
        </w:rPr>
        <w:t>Question 2</w:t>
      </w:r>
      <w:bookmarkEnd w:id="4"/>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5943600" cy="10033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9"/>
                    <a:stretch>
                      <a:fillRect/>
                    </a:stretch>
                  </pic:blipFill>
                  <pic:spPr>
                    <a:xfrm>
                      <a:off x="0" y="0"/>
                      <a:ext cx="5943600" cy="10033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3: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calculation of ROCE has defined the profitability of a company that can be used for developing the financial value. In this estimation, it has involved the PBIT value that has divided with the capital employed margin (Easton </w:t>
      </w:r>
      <w:r w:rsidRPr="0008565A">
        <w:rPr>
          <w:rFonts w:ascii="Times New Roman" w:eastAsia="Times New Roman" w:hAnsi="Times New Roman" w:cs="Times New Roman"/>
          <w:i/>
          <w:sz w:val="24"/>
          <w:szCs w:val="24"/>
        </w:rPr>
        <w:t>et al.</w:t>
      </w:r>
      <w:r w:rsidRPr="0008565A">
        <w:rPr>
          <w:rFonts w:ascii="Times New Roman" w:eastAsia="Times New Roman" w:hAnsi="Times New Roman" w:cs="Times New Roman"/>
          <w:sz w:val="24"/>
          <w:szCs w:val="24"/>
        </w:rPr>
        <w:t xml:space="preserve"> 2018, p.32). Calculation of capital employed has been defined as per difference between the total value of an asset and from the liability margin. Value has been computed as 10% in 2019 that has been increased by 2%. Value has indicated a better position of Chocco plc and denotes higher profitability for the year 2020. Financial value has been compared to a higher margin than its ideal value of 10%. This has mainly caused </w:t>
      </w:r>
      <w:r w:rsidRPr="0008565A">
        <w:rPr>
          <w:rFonts w:ascii="Times New Roman" w:eastAsia="Times New Roman" w:hAnsi="Times New Roman" w:cs="Times New Roman"/>
          <w:sz w:val="24"/>
          <w:szCs w:val="24"/>
        </w:rPr>
        <w:lastRenderedPageBreak/>
        <w:t xml:space="preserve">changes in profit value. Improvement is required in asset margin that has decreased throughout the year.       </w:t>
      </w:r>
    </w:p>
    <w:p w:rsidR="00D41C5B" w:rsidRPr="0008565A" w:rsidRDefault="00D41C5B" w:rsidP="0008565A">
      <w:pPr>
        <w:pStyle w:val="normal0"/>
        <w:spacing w:line="360" w:lineRule="auto"/>
        <w:jc w:val="both"/>
        <w:rPr>
          <w:rFonts w:ascii="Times New Roman" w:eastAsia="Times New Roman" w:hAnsi="Times New Roman" w:cs="Times New Roman"/>
          <w:sz w:val="24"/>
          <w:szCs w:val="24"/>
        </w:rPr>
      </w:pP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5943600" cy="6731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0"/>
                    <a:stretch>
                      <a:fillRect/>
                    </a:stretch>
                  </pic:blipFill>
                  <pic:spPr>
                    <a:xfrm>
                      <a:off x="0" y="0"/>
                      <a:ext cx="5943600" cy="6731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4: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The return margin in equity margin has been denoted as per equity value for an organization. Computation of value has been used to compare the profit value with equity value (</w:t>
      </w:r>
      <w:r w:rsidRPr="0008565A">
        <w:rPr>
          <w:rFonts w:ascii="Times New Roman" w:eastAsia="Times New Roman" w:hAnsi="Times New Roman" w:cs="Times New Roman"/>
          <w:sz w:val="24"/>
          <w:szCs w:val="24"/>
          <w:highlight w:val="white"/>
        </w:rPr>
        <w:t>Allad, 2017, p.106</w:t>
      </w:r>
      <w:r w:rsidRPr="0008565A">
        <w:rPr>
          <w:rFonts w:ascii="Times New Roman" w:eastAsia="Times New Roman" w:hAnsi="Times New Roman" w:cs="Times New Roman"/>
          <w:sz w:val="24"/>
          <w:szCs w:val="24"/>
        </w:rPr>
        <w:t xml:space="preserve">). The return margin has mainly been used for estimation of 1.22 in 2019 that has improved to 1.44 in 2020. Value has been developed as per profit margin for the year. Valuation has mainly been highlighted as per margin 2019. Indication of margin has been denoted as per valuation. The estimation of margin has been used for the evaluation of return from the equity value. Higher value has denoted a better position for the year.      </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5943600" cy="825500"/>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1" name="image11.png"/>
                    <pic:cNvPicPr/>
                  </pic:nvPicPr>
                  <pic:blipFill>
                    <a:blip r:embed="rId11"/>
                    <a:stretch>
                      <a:fillRect/>
                    </a:stretch>
                  </pic:blipFill>
                  <pic:spPr>
                    <a:xfrm>
                      <a:off x="0" y="0"/>
                      <a:ext cx="5943600" cy="8255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5: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The computation of earnings has reflected profit value from the income margin. Computation of value has been defined as net income value that has been divided by the number of shares (</w:t>
      </w:r>
      <w:r w:rsidRPr="0008565A">
        <w:rPr>
          <w:rFonts w:ascii="Times New Roman" w:eastAsia="Times New Roman" w:hAnsi="Times New Roman" w:cs="Times New Roman"/>
          <w:sz w:val="24"/>
          <w:szCs w:val="24"/>
          <w:highlight w:val="white"/>
        </w:rPr>
        <w:t>Arif and Awwaliyah, 2019, p.192</w:t>
      </w:r>
      <w:r w:rsidRPr="0008565A">
        <w:rPr>
          <w:rFonts w:ascii="Times New Roman" w:eastAsia="Times New Roman" w:hAnsi="Times New Roman" w:cs="Times New Roman"/>
          <w:sz w:val="24"/>
          <w:szCs w:val="24"/>
        </w:rPr>
        <w:t xml:space="preserve">). Valuation of margin has been defined as £0.34 per share. It has been increased to £0.40 per share value in 2020. Valuation of data has been defined as per income valuation for the study. Comparing the previous year's value, it has indicated a higher value for the year. Improvement in income margin can be developed per share value for the year. Valuation has mainly been denoted as per total year value.    </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5943600" cy="685800"/>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5" name="image12.png"/>
                    <pic:cNvPicPr/>
                  </pic:nvPicPr>
                  <pic:blipFill>
                    <a:blip r:embed="rId12"/>
                    <a:stretch>
                      <a:fillRect/>
                    </a:stretch>
                  </pic:blipFill>
                  <pic:spPr>
                    <a:xfrm>
                      <a:off x="0" y="0"/>
                      <a:ext cx="5943600" cy="6858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6: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lastRenderedPageBreak/>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profitability value has been computed as the total earnings of an organization for a year. The computation of value has been developed as per net earnings for the year. It has calculated 5.68% profit for the year 2019 that has been increased to 6.40%. Higher NP value has been denoted as better earnings for the year. This has been caused by an improvement in the profit value. It has also indicated a higher position of the organization. Development is required in sales value along with the net profit valuation.      </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5943600" cy="850900"/>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13"/>
                    <a:stretch>
                      <a:fillRect/>
                    </a:stretch>
                  </pic:blipFill>
                  <pic:spPr>
                    <a:xfrm>
                      <a:off x="0" y="0"/>
                      <a:ext cx="5943600" cy="8509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7: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computation of asset margin has mainly highlighted earnings that have been generated from asset value in an enterprise. The asset value has been divided by the sales margin to compute the actual value. Computation has occurred 0.63 in 2019 that has been improved to 0.69. The calculated value has found a higher return from its profit value. The asset margin has been computed as a higher value that has been caused by increased sales margin and decreased asset value. Value has also denoted a better position as per margin for the business. Improvement is required in sales value to improve the utilization of assets.        </w:t>
      </w:r>
    </w:p>
    <w:p w:rsidR="00D41C5B" w:rsidRPr="0008565A" w:rsidRDefault="00FC4053"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3228975" cy="68580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4"/>
                    <a:stretch>
                      <a:fillRect/>
                    </a:stretch>
                  </pic:blipFill>
                  <pic:spPr>
                    <a:xfrm>
                      <a:off x="0" y="0"/>
                      <a:ext cx="3228975" cy="6858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8: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The estimation of efficiency value has been developed through stockholding for an organization. Valuation has been taken from the inventory margin that has been divided with COGS value (</w:t>
      </w:r>
      <w:r w:rsidRPr="0008565A">
        <w:rPr>
          <w:rFonts w:ascii="Times New Roman" w:eastAsia="Times New Roman" w:hAnsi="Times New Roman" w:cs="Times New Roman"/>
          <w:sz w:val="24"/>
          <w:szCs w:val="24"/>
          <w:highlight w:val="white"/>
        </w:rPr>
        <w:t xml:space="preserve">Karim </w:t>
      </w:r>
      <w:r w:rsidRPr="0008565A">
        <w:rPr>
          <w:rFonts w:ascii="Times New Roman" w:eastAsia="Times New Roman" w:hAnsi="Times New Roman" w:cs="Times New Roman"/>
          <w:i/>
          <w:sz w:val="24"/>
          <w:szCs w:val="24"/>
          <w:highlight w:val="white"/>
        </w:rPr>
        <w:t>et al.</w:t>
      </w:r>
      <w:r w:rsidRPr="0008565A">
        <w:rPr>
          <w:rFonts w:ascii="Times New Roman" w:eastAsia="Times New Roman" w:hAnsi="Times New Roman" w:cs="Times New Roman"/>
          <w:sz w:val="24"/>
          <w:szCs w:val="24"/>
          <w:highlight w:val="white"/>
        </w:rPr>
        <w:t xml:space="preserve"> 2017, p.126</w:t>
      </w:r>
      <w:r w:rsidRPr="0008565A">
        <w:rPr>
          <w:rFonts w:ascii="Times New Roman" w:eastAsia="Times New Roman" w:hAnsi="Times New Roman" w:cs="Times New Roman"/>
          <w:sz w:val="24"/>
          <w:szCs w:val="24"/>
        </w:rPr>
        <w:t xml:space="preserve">). Value has been converted to days that have been calculated as 78 days in 2019. Efficiency has been decreased to 80 days. Increasing the value has been denoted higher purchase for the inventory. Development is required for stock value for the period. </w:t>
      </w:r>
    </w:p>
    <w:p w:rsidR="00D41C5B" w:rsidRPr="0008565A" w:rsidRDefault="00D41C5B" w:rsidP="0008565A">
      <w:pPr>
        <w:pStyle w:val="normal0"/>
        <w:spacing w:line="360" w:lineRule="auto"/>
        <w:jc w:val="both"/>
        <w:rPr>
          <w:rFonts w:ascii="Times New Roman" w:eastAsia="Times New Roman" w:hAnsi="Times New Roman" w:cs="Times New Roman"/>
          <w:sz w:val="24"/>
          <w:szCs w:val="24"/>
        </w:rPr>
      </w:pP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lastRenderedPageBreak/>
        <w:drawing>
          <wp:inline distT="114300" distB="114300" distL="114300" distR="114300">
            <wp:extent cx="5943600" cy="6985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5"/>
                    <a:stretch>
                      <a:fillRect/>
                    </a:stretch>
                  </pic:blipFill>
                  <pic:spPr>
                    <a:xfrm>
                      <a:off x="0" y="0"/>
                      <a:ext cx="5943600" cy="6985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9: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indication of efficiency has also highlighted the estimated days that debtors take to resolve their debt. Computation has taken place receivable value that has divided with sales. The value has been estimated at 73 days and has dropped to 68 days. Decreased in value has mainly indicated a better efficiency in Chocco plc. The company is getting a lower time period to resolve its debt.   </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5943600" cy="8255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16"/>
                    <a:stretch>
                      <a:fillRect/>
                    </a:stretch>
                  </pic:blipFill>
                  <pic:spPr>
                    <a:xfrm>
                      <a:off x="0" y="0"/>
                      <a:ext cx="5943600" cy="8255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10: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liquidity value has been developed with a current ratio margin that indicates the capacity for resolving the current asset value for the year. The value has found a 0.77 asset value in 2019 that has improved 0.91. Improved value has mainly denoted higher liquidity factors throughout the year. The value is lower than the ideal margin 2. For improvement in the value, it is required in asset margin rather than liability value.    </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drawing>
          <wp:inline distT="114300" distB="114300" distL="114300" distR="114300">
            <wp:extent cx="5943600" cy="863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7"/>
                    <a:stretch>
                      <a:fillRect/>
                    </a:stretch>
                  </pic:blipFill>
                  <pic:spPr>
                    <a:xfrm>
                      <a:off x="0" y="0"/>
                      <a:ext cx="5943600" cy="863600"/>
                    </a:xfrm>
                    <a:prstGeom prst="rect">
                      <a:avLst/>
                    </a:prstGeom>
                  </pic:spPr>
                </pic:pic>
              </a:graphicData>
            </a:graphic>
          </wp:inline>
        </w:drawing>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11: calculation </w:t>
      </w:r>
    </w:p>
    <w:p w:rsidR="005335C8"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The computation of value has mainly developed risk factors as per business. As per analysis, it has used the debt value that has been divided with equity margin (</w:t>
      </w:r>
      <w:r w:rsidRPr="0008565A">
        <w:rPr>
          <w:rFonts w:ascii="Times New Roman" w:eastAsia="Times New Roman" w:hAnsi="Times New Roman" w:cs="Times New Roman"/>
          <w:sz w:val="24"/>
          <w:szCs w:val="24"/>
          <w:highlight w:val="white"/>
        </w:rPr>
        <w:t>Rekik and Kalai, 2018, p.6</w:t>
      </w:r>
      <w:r w:rsidRPr="0008565A">
        <w:rPr>
          <w:rFonts w:ascii="Times New Roman" w:eastAsia="Times New Roman" w:hAnsi="Times New Roman" w:cs="Times New Roman"/>
          <w:sz w:val="24"/>
          <w:szCs w:val="24"/>
        </w:rPr>
        <w:t xml:space="preserve">). The computing value has found 0.81 in 2019 that has developed 0.85. It indicates a higher risk factor for the business. As per indication, it is required an improvement in equity value that can decrease the debt value.  </w:t>
      </w:r>
    </w:p>
    <w:p w:rsidR="005335C8"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noProof/>
          <w:sz w:val="24"/>
          <w:szCs w:val="24"/>
        </w:rPr>
        <w:lastRenderedPageBreak/>
        <w:drawing>
          <wp:inline distT="114300" distB="114300" distL="114300" distR="114300">
            <wp:extent cx="5943600" cy="850900"/>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8" name="image10.png"/>
                    <pic:cNvPicPr/>
                  </pic:nvPicPr>
                  <pic:blipFill>
                    <a:blip r:embed="rId18"/>
                    <a:stretch>
                      <a:fillRect/>
                    </a:stretch>
                  </pic:blipFill>
                  <pic:spPr>
                    <a:xfrm>
                      <a:off x="0" y="0"/>
                      <a:ext cx="5943600" cy="850900"/>
                    </a:xfrm>
                    <a:prstGeom prst="rect">
                      <a:avLst/>
                    </a:prstGeom>
                  </pic:spPr>
                </pic:pic>
              </a:graphicData>
            </a:graphic>
          </wp:inline>
        </w:drawing>
      </w:r>
      <w:r w:rsidRPr="0008565A">
        <w:rPr>
          <w:rFonts w:ascii="Times New Roman" w:eastAsia="Times New Roman" w:hAnsi="Times New Roman" w:cs="Times New Roman"/>
          <w:sz w:val="24"/>
          <w:szCs w:val="24"/>
        </w:rPr>
        <w:t xml:space="preserve">  </w:t>
      </w:r>
    </w:p>
    <w:p w:rsidR="005335C8" w:rsidRPr="0008565A" w:rsidRDefault="005335C8" w:rsidP="0008565A">
      <w:pPr>
        <w:pStyle w:val="normal0"/>
        <w:spacing w:line="360" w:lineRule="auto"/>
        <w:jc w:val="center"/>
        <w:rPr>
          <w:rFonts w:ascii="Times New Roman" w:eastAsia="Times New Roman" w:hAnsi="Times New Roman" w:cs="Times New Roman"/>
          <w:b/>
          <w:sz w:val="24"/>
          <w:szCs w:val="24"/>
        </w:rPr>
      </w:pPr>
      <w:r w:rsidRPr="0008565A">
        <w:rPr>
          <w:rFonts w:ascii="Times New Roman" w:eastAsia="Times New Roman" w:hAnsi="Times New Roman" w:cs="Times New Roman"/>
          <w:b/>
          <w:sz w:val="24"/>
          <w:szCs w:val="24"/>
        </w:rPr>
        <w:t xml:space="preserve">Figure 12: calculation </w:t>
      </w:r>
    </w:p>
    <w:p w:rsidR="00D41C5B" w:rsidRPr="0008565A" w:rsidRDefault="005335C8" w:rsidP="0008565A">
      <w:pPr>
        <w:pStyle w:val="normal0"/>
        <w:spacing w:line="360" w:lineRule="auto"/>
        <w:jc w:val="center"/>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(Source: self-developed)</w:t>
      </w:r>
      <w:r w:rsidR="00FC4053" w:rsidRPr="0008565A">
        <w:rPr>
          <w:rFonts w:ascii="Times New Roman" w:eastAsia="Times New Roman" w:hAnsi="Times New Roman" w:cs="Times New Roman"/>
          <w:sz w:val="24"/>
          <w:szCs w:val="24"/>
        </w:rPr>
        <w:t xml:space="preserve">      </w:t>
      </w:r>
    </w:p>
    <w:p w:rsidR="00D41C5B"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 The estimation of interest coverage value has found a profit value as per interest margin. The valuation has found a 2.98 interest in the year 2019 that has been decreased to 2.74. Decreasing the value has a lower return for the year. Improvement is required for development as per earnings value from the interest margin.     </w:t>
      </w:r>
    </w:p>
    <w:p w:rsidR="00D41C5B" w:rsidRPr="0008565A" w:rsidRDefault="00FC4053" w:rsidP="0008565A">
      <w:pPr>
        <w:pStyle w:val="Heading1"/>
        <w:rPr>
          <w:rFonts w:cs="Times New Roman"/>
        </w:rPr>
      </w:pPr>
      <w:bookmarkStart w:id="5" w:name="_Toc80350139"/>
      <w:r w:rsidRPr="0008565A">
        <w:rPr>
          <w:rFonts w:cs="Times New Roman"/>
        </w:rPr>
        <w:t>Conclusion</w:t>
      </w:r>
      <w:bookmarkEnd w:id="5"/>
      <w:r w:rsidRPr="0008565A">
        <w:rPr>
          <w:rFonts w:cs="Times New Roman"/>
        </w:rPr>
        <w:t xml:space="preserve"> </w:t>
      </w:r>
    </w:p>
    <w:p w:rsidR="00EA0587" w:rsidRPr="0008565A" w:rsidRDefault="00FC4053" w:rsidP="0008565A">
      <w:pPr>
        <w:pStyle w:val="normal0"/>
        <w:spacing w:line="360" w:lineRule="auto"/>
        <w:jc w:val="both"/>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t xml:space="preserve">The value has been calculated in the financial statement including the ratio value for the year. The liability has denoted the risk obligation for the margin that can be used for evaluation of ability for the Kedison plc. The statement has mainly defined as the financial value that can be evaluated as per the equity value of an asset and also the liability margin. The study has found that both sides need to be balanced for the double-entry system. The valuation has used the data from the given balances that have been used for estimating the company value. The report has used the data value for computing ratio that has been used for calculation of earnings and also profit and liquidity value. </w:t>
      </w:r>
    </w:p>
    <w:p w:rsidR="00EA0587" w:rsidRPr="0008565A" w:rsidRDefault="00EA0587" w:rsidP="0008565A">
      <w:pPr>
        <w:spacing w:line="360" w:lineRule="auto"/>
        <w:rPr>
          <w:rFonts w:ascii="Times New Roman" w:eastAsia="Times New Roman" w:hAnsi="Times New Roman" w:cs="Times New Roman"/>
          <w:sz w:val="24"/>
          <w:szCs w:val="24"/>
        </w:rPr>
      </w:pPr>
      <w:r w:rsidRPr="0008565A">
        <w:rPr>
          <w:rFonts w:ascii="Times New Roman" w:eastAsia="Times New Roman" w:hAnsi="Times New Roman" w:cs="Times New Roman"/>
          <w:sz w:val="24"/>
          <w:szCs w:val="24"/>
        </w:rPr>
        <w:br w:type="page"/>
      </w:r>
    </w:p>
    <w:p w:rsidR="00B955D7" w:rsidRPr="0008565A" w:rsidRDefault="00B955D7" w:rsidP="0008565A">
      <w:pPr>
        <w:pStyle w:val="Heading1"/>
        <w:rPr>
          <w:rFonts w:cs="Times New Roman"/>
          <w:shd w:val="clear" w:color="auto" w:fill="FFFFFF"/>
        </w:rPr>
      </w:pPr>
      <w:bookmarkStart w:id="6" w:name="_Toc80350140"/>
      <w:r w:rsidRPr="0008565A">
        <w:rPr>
          <w:rFonts w:cs="Times New Roman"/>
          <w:shd w:val="clear" w:color="auto" w:fill="FFFFFF"/>
        </w:rPr>
        <w:lastRenderedPageBreak/>
        <w:t>References</w:t>
      </w:r>
      <w:bookmarkEnd w:id="6"/>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Akinwumi, I.A., Essien, J.M. and Adegboyega, R., 2017. Liquidity management and banks performance in Nigeria. </w:t>
      </w:r>
      <w:r w:rsidRPr="0008565A">
        <w:rPr>
          <w:rFonts w:ascii="Times New Roman" w:hAnsi="Times New Roman" w:cs="Times New Roman"/>
          <w:i/>
          <w:iCs/>
          <w:color w:val="000000" w:themeColor="text1"/>
          <w:sz w:val="24"/>
          <w:szCs w:val="24"/>
          <w:shd w:val="clear" w:color="auto" w:fill="FFFFFF"/>
        </w:rPr>
        <w:t>Business Management and Economics</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5</w:t>
      </w:r>
      <w:r w:rsidRPr="0008565A">
        <w:rPr>
          <w:rFonts w:ascii="Times New Roman" w:hAnsi="Times New Roman" w:cs="Times New Roman"/>
          <w:color w:val="000000" w:themeColor="text1"/>
          <w:sz w:val="24"/>
          <w:szCs w:val="24"/>
          <w:shd w:val="clear" w:color="auto" w:fill="FFFFFF"/>
        </w:rPr>
        <w:t>(6), pp.88-98.</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Allad, I., 2017. A Conceptual Research on Financial Statement Analysis. </w:t>
      </w:r>
      <w:r w:rsidRPr="0008565A">
        <w:rPr>
          <w:rFonts w:ascii="Times New Roman" w:hAnsi="Times New Roman" w:cs="Times New Roman"/>
          <w:i/>
          <w:iCs/>
          <w:color w:val="000000" w:themeColor="text1"/>
          <w:sz w:val="24"/>
          <w:szCs w:val="24"/>
          <w:shd w:val="clear" w:color="auto" w:fill="FFFFFF"/>
        </w:rPr>
        <w:t>International Journal of Research in All Subjects in Multi Languages</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5</w:t>
      </w:r>
      <w:r w:rsidRPr="0008565A">
        <w:rPr>
          <w:rFonts w:ascii="Times New Roman" w:hAnsi="Times New Roman" w:cs="Times New Roman"/>
          <w:color w:val="000000" w:themeColor="text1"/>
          <w:sz w:val="24"/>
          <w:szCs w:val="24"/>
          <w:shd w:val="clear" w:color="auto" w:fill="FFFFFF"/>
        </w:rPr>
        <w:t>, pp.104-110.</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Arif, M.N.R.A. and Awwaliyah, T.B., 2019. Market share, concentration ratio and profitability: evidence from Indonesian Islamic banking industry. </w:t>
      </w:r>
      <w:r w:rsidRPr="0008565A">
        <w:rPr>
          <w:rFonts w:ascii="Times New Roman" w:hAnsi="Times New Roman" w:cs="Times New Roman"/>
          <w:i/>
          <w:iCs/>
          <w:color w:val="000000" w:themeColor="text1"/>
          <w:sz w:val="24"/>
          <w:szCs w:val="24"/>
          <w:shd w:val="clear" w:color="auto" w:fill="FFFFFF"/>
        </w:rPr>
        <w:t>Journal of Central Banking Theory and Practice</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8</w:t>
      </w:r>
      <w:r w:rsidRPr="0008565A">
        <w:rPr>
          <w:rFonts w:ascii="Times New Roman" w:hAnsi="Times New Roman" w:cs="Times New Roman"/>
          <w:color w:val="000000" w:themeColor="text1"/>
          <w:sz w:val="24"/>
          <w:szCs w:val="24"/>
          <w:shd w:val="clear" w:color="auto" w:fill="FFFFFF"/>
        </w:rPr>
        <w:t>(2), pp.189-201.</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Easton, P.D., McAnally, M.L., Sommers, G.A. and Zhang, X.J., 2018. </w:t>
      </w:r>
      <w:r w:rsidRPr="0008565A">
        <w:rPr>
          <w:rFonts w:ascii="Times New Roman" w:hAnsi="Times New Roman" w:cs="Times New Roman"/>
          <w:i/>
          <w:iCs/>
          <w:color w:val="000000" w:themeColor="text1"/>
          <w:sz w:val="24"/>
          <w:szCs w:val="24"/>
          <w:shd w:val="clear" w:color="auto" w:fill="FFFFFF"/>
        </w:rPr>
        <w:t>Financial statement analysis &amp; valuation</w:t>
      </w:r>
      <w:r w:rsidRPr="0008565A">
        <w:rPr>
          <w:rFonts w:ascii="Times New Roman" w:hAnsi="Times New Roman" w:cs="Times New Roman"/>
          <w:color w:val="000000" w:themeColor="text1"/>
          <w:sz w:val="24"/>
          <w:szCs w:val="24"/>
          <w:shd w:val="clear" w:color="auto" w:fill="FFFFFF"/>
        </w:rPr>
        <w:t>. Boston, MA: Cambridge Business Publishers.</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Firdaus, F. and Endri, E., 2020. Financial Statement Analysis: Evidence from Indonesian Bank BUKU IV. </w:t>
      </w:r>
      <w:r w:rsidRPr="0008565A">
        <w:rPr>
          <w:rFonts w:ascii="Times New Roman" w:hAnsi="Times New Roman" w:cs="Times New Roman"/>
          <w:i/>
          <w:iCs/>
          <w:color w:val="000000" w:themeColor="text1"/>
          <w:sz w:val="24"/>
          <w:szCs w:val="24"/>
          <w:shd w:val="clear" w:color="auto" w:fill="FFFFFF"/>
        </w:rPr>
        <w:t>International Journal of Innovative Science and Research Technology</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5</w:t>
      </w:r>
      <w:r w:rsidRPr="0008565A">
        <w:rPr>
          <w:rFonts w:ascii="Times New Roman" w:hAnsi="Times New Roman" w:cs="Times New Roman"/>
          <w:color w:val="000000" w:themeColor="text1"/>
          <w:sz w:val="24"/>
          <w:szCs w:val="24"/>
          <w:shd w:val="clear" w:color="auto" w:fill="FFFFFF"/>
        </w:rPr>
        <w:t>(4), pp.455-461.</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Irwandi, S.A., Ghozali, I. and Pamungkas, I.D., 2019. Detection fraudulent financial statement: Beneish M-score model. </w:t>
      </w:r>
      <w:r w:rsidRPr="0008565A">
        <w:rPr>
          <w:rFonts w:ascii="Times New Roman" w:hAnsi="Times New Roman" w:cs="Times New Roman"/>
          <w:i/>
          <w:iCs/>
          <w:color w:val="000000" w:themeColor="text1"/>
          <w:sz w:val="24"/>
          <w:szCs w:val="24"/>
          <w:shd w:val="clear" w:color="auto" w:fill="FFFFFF"/>
        </w:rPr>
        <w:t>WSEAS Transactions on Business and Economics</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16</w:t>
      </w:r>
      <w:r w:rsidRPr="0008565A">
        <w:rPr>
          <w:rFonts w:ascii="Times New Roman" w:hAnsi="Times New Roman" w:cs="Times New Roman"/>
          <w:color w:val="000000" w:themeColor="text1"/>
          <w:sz w:val="24"/>
          <w:szCs w:val="24"/>
          <w:shd w:val="clear" w:color="auto" w:fill="FFFFFF"/>
        </w:rPr>
        <w:t>.</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Karim, R., Al-Mamun, M.A. and Miah, M.T., 2017. Relationship between working capital management efficiency and profitability: A comparative study on square Pharmaceuticals Limited and Beximco Pharmaceuticals Limited. </w:t>
      </w:r>
      <w:r w:rsidRPr="0008565A">
        <w:rPr>
          <w:rFonts w:ascii="Times New Roman" w:hAnsi="Times New Roman" w:cs="Times New Roman"/>
          <w:i/>
          <w:iCs/>
          <w:color w:val="000000" w:themeColor="text1"/>
          <w:sz w:val="24"/>
          <w:szCs w:val="24"/>
          <w:shd w:val="clear" w:color="auto" w:fill="FFFFFF"/>
        </w:rPr>
        <w:t>Bangladesh. International Journal of Economics, Finance and Management Sciences</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5</w:t>
      </w:r>
      <w:r w:rsidRPr="0008565A">
        <w:rPr>
          <w:rFonts w:ascii="Times New Roman" w:hAnsi="Times New Roman" w:cs="Times New Roman"/>
          <w:color w:val="000000" w:themeColor="text1"/>
          <w:sz w:val="24"/>
          <w:szCs w:val="24"/>
          <w:shd w:val="clear" w:color="auto" w:fill="FFFFFF"/>
        </w:rPr>
        <w:t>(2), pp.121-128.</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Pernamasari, R., 2020. Analysis of Performance Company: Based on Value Added and Financial Statement. </w:t>
      </w:r>
      <w:r w:rsidRPr="0008565A">
        <w:rPr>
          <w:rFonts w:ascii="Times New Roman" w:hAnsi="Times New Roman" w:cs="Times New Roman"/>
          <w:i/>
          <w:iCs/>
          <w:color w:val="000000" w:themeColor="text1"/>
          <w:sz w:val="24"/>
          <w:szCs w:val="24"/>
          <w:shd w:val="clear" w:color="auto" w:fill="FFFFFF"/>
        </w:rPr>
        <w:t>Jurnal ASET (Akuntansi Riset) Vol</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12</w:t>
      </w:r>
      <w:r w:rsidRPr="0008565A">
        <w:rPr>
          <w:rFonts w:ascii="Times New Roman" w:hAnsi="Times New Roman" w:cs="Times New Roman"/>
          <w:color w:val="000000" w:themeColor="text1"/>
          <w:sz w:val="24"/>
          <w:szCs w:val="24"/>
          <w:shd w:val="clear" w:color="auto" w:fill="FFFFFF"/>
        </w:rPr>
        <w:t>(2).</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Rashid, C.A., 2018. Efficiency of financial ratios analysis for evaluating companies’ liquidity. </w:t>
      </w:r>
      <w:r w:rsidRPr="0008565A">
        <w:rPr>
          <w:rFonts w:ascii="Times New Roman" w:hAnsi="Times New Roman" w:cs="Times New Roman"/>
          <w:i/>
          <w:iCs/>
          <w:color w:val="000000" w:themeColor="text1"/>
          <w:sz w:val="24"/>
          <w:szCs w:val="24"/>
          <w:shd w:val="clear" w:color="auto" w:fill="FFFFFF"/>
        </w:rPr>
        <w:t>International Journal of Social Sciences &amp; Educational Studies</w:t>
      </w:r>
      <w:r w:rsidRPr="0008565A">
        <w:rPr>
          <w:rFonts w:ascii="Times New Roman" w:hAnsi="Times New Roman" w:cs="Times New Roman"/>
          <w:color w:val="000000" w:themeColor="text1"/>
          <w:sz w:val="24"/>
          <w:szCs w:val="24"/>
          <w:shd w:val="clear" w:color="auto" w:fill="FFFFFF"/>
        </w:rPr>
        <w:t>, </w:t>
      </w:r>
      <w:r w:rsidRPr="0008565A">
        <w:rPr>
          <w:rFonts w:ascii="Times New Roman" w:hAnsi="Times New Roman" w:cs="Times New Roman"/>
          <w:i/>
          <w:iCs/>
          <w:color w:val="000000" w:themeColor="text1"/>
          <w:sz w:val="24"/>
          <w:szCs w:val="24"/>
          <w:shd w:val="clear" w:color="auto" w:fill="FFFFFF"/>
        </w:rPr>
        <w:t>4</w:t>
      </w:r>
      <w:r w:rsidRPr="0008565A">
        <w:rPr>
          <w:rFonts w:ascii="Times New Roman" w:hAnsi="Times New Roman" w:cs="Times New Roman"/>
          <w:color w:val="000000" w:themeColor="text1"/>
          <w:sz w:val="24"/>
          <w:szCs w:val="24"/>
          <w:shd w:val="clear" w:color="auto" w:fill="FFFFFF"/>
        </w:rPr>
        <w:t>(4), p.110.</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Rekik, M. and Kalai, M., 2018. Determinants of banks’ profitability and efficiency: Empirical evidence from a sample of Banking Systems. </w:t>
      </w:r>
      <w:r w:rsidRPr="0008565A">
        <w:rPr>
          <w:rFonts w:ascii="Times New Roman" w:hAnsi="Times New Roman" w:cs="Times New Roman"/>
          <w:i/>
          <w:iCs/>
          <w:color w:val="000000" w:themeColor="text1"/>
          <w:sz w:val="24"/>
          <w:szCs w:val="24"/>
          <w:shd w:val="clear" w:color="auto" w:fill="FFFFFF"/>
        </w:rPr>
        <w:t>Journal of Banking and Financial Economics</w:t>
      </w:r>
      <w:r w:rsidRPr="0008565A">
        <w:rPr>
          <w:rFonts w:ascii="Times New Roman" w:hAnsi="Times New Roman" w:cs="Times New Roman"/>
          <w:color w:val="000000" w:themeColor="text1"/>
          <w:sz w:val="24"/>
          <w:szCs w:val="24"/>
          <w:shd w:val="clear" w:color="auto" w:fill="FFFFFF"/>
        </w:rPr>
        <w:t>, (1 (9)), pp.5-23.</w:t>
      </w:r>
    </w:p>
    <w:p w:rsidR="00B955D7" w:rsidRPr="0008565A" w:rsidRDefault="00B955D7"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Robinson, T.R., 2020. </w:t>
      </w:r>
      <w:r w:rsidRPr="0008565A">
        <w:rPr>
          <w:rFonts w:ascii="Times New Roman" w:hAnsi="Times New Roman" w:cs="Times New Roman"/>
          <w:i/>
          <w:iCs/>
          <w:color w:val="000000" w:themeColor="text1"/>
          <w:sz w:val="24"/>
          <w:szCs w:val="24"/>
          <w:shd w:val="clear" w:color="auto" w:fill="FFFFFF"/>
        </w:rPr>
        <w:t>International financial statement analysis</w:t>
      </w:r>
      <w:r w:rsidRPr="0008565A">
        <w:rPr>
          <w:rFonts w:ascii="Times New Roman" w:hAnsi="Times New Roman" w:cs="Times New Roman"/>
          <w:color w:val="000000" w:themeColor="text1"/>
          <w:sz w:val="24"/>
          <w:szCs w:val="24"/>
          <w:shd w:val="clear" w:color="auto" w:fill="FFFFFF"/>
        </w:rPr>
        <w:t>. John Wiley &amp; Sons.</w:t>
      </w:r>
    </w:p>
    <w:p w:rsidR="00EA0587" w:rsidRPr="0008565A" w:rsidRDefault="00EA0587" w:rsidP="0008565A">
      <w:pPr>
        <w:spacing w:line="360" w:lineRule="auto"/>
        <w:rPr>
          <w:rFonts w:ascii="Times New Roman" w:hAnsi="Times New Roman" w:cs="Times New Roman"/>
          <w:color w:val="000000" w:themeColor="text1"/>
          <w:sz w:val="24"/>
          <w:szCs w:val="24"/>
          <w:shd w:val="clear" w:color="auto" w:fill="FFFFFF"/>
        </w:rPr>
      </w:pPr>
    </w:p>
    <w:p w:rsidR="00017329" w:rsidRPr="0008565A" w:rsidRDefault="00017329" w:rsidP="0008565A">
      <w:pPr>
        <w:spacing w:line="360" w:lineRule="auto"/>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br w:type="page"/>
      </w:r>
    </w:p>
    <w:p w:rsidR="00EA0587" w:rsidRPr="0008565A" w:rsidRDefault="00EA0587" w:rsidP="0008565A">
      <w:pPr>
        <w:pStyle w:val="Heading1"/>
        <w:rPr>
          <w:rFonts w:cs="Times New Roman"/>
          <w:shd w:val="clear" w:color="auto" w:fill="FFFFFF"/>
        </w:rPr>
      </w:pPr>
      <w:bookmarkStart w:id="7" w:name="_Toc80350141"/>
      <w:r w:rsidRPr="0008565A">
        <w:rPr>
          <w:rFonts w:cs="Times New Roman"/>
          <w:shd w:val="clear" w:color="auto" w:fill="FFFFFF"/>
        </w:rPr>
        <w:lastRenderedPageBreak/>
        <w:t>Bibliography</w:t>
      </w:r>
      <w:bookmarkEnd w:id="7"/>
      <w:r w:rsidRPr="0008565A">
        <w:rPr>
          <w:rFonts w:cs="Times New Roman"/>
          <w:shd w:val="clear" w:color="auto" w:fill="FFFFFF"/>
        </w:rPr>
        <w:t xml:space="preserve"> </w:t>
      </w:r>
    </w:p>
    <w:p w:rsidR="00801C9A" w:rsidRPr="0008565A" w:rsidRDefault="00801C9A"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Heng-Jie, X., 2018. Educating Users on the Key Factors that Contribute to the Usefulness of Financial Statement Analysis. In </w:t>
      </w:r>
      <w:r w:rsidRPr="0008565A">
        <w:rPr>
          <w:rFonts w:ascii="Times New Roman" w:hAnsi="Times New Roman" w:cs="Times New Roman"/>
          <w:i/>
          <w:iCs/>
          <w:color w:val="000000" w:themeColor="text1"/>
          <w:sz w:val="24"/>
          <w:szCs w:val="24"/>
          <w:shd w:val="clear" w:color="auto" w:fill="FFFFFF"/>
        </w:rPr>
        <w:t>Proceedings of the 3rd Annual International Conference on Education and Development (ICED 2018)</w:t>
      </w:r>
      <w:r w:rsidRPr="0008565A">
        <w:rPr>
          <w:rFonts w:ascii="Times New Roman" w:hAnsi="Times New Roman" w:cs="Times New Roman"/>
          <w:color w:val="000000" w:themeColor="text1"/>
          <w:sz w:val="24"/>
          <w:szCs w:val="24"/>
          <w:shd w:val="clear" w:color="auto" w:fill="FFFFFF"/>
        </w:rPr>
        <w:t> (pp. 87-92).</w:t>
      </w:r>
    </w:p>
    <w:p w:rsidR="00801C9A" w:rsidRPr="0008565A" w:rsidRDefault="00801C9A" w:rsidP="0008565A">
      <w:pPr>
        <w:spacing w:line="360" w:lineRule="auto"/>
        <w:jc w:val="both"/>
        <w:rPr>
          <w:rFonts w:ascii="Times New Roman" w:hAnsi="Times New Roman" w:cs="Times New Roman"/>
          <w:color w:val="000000" w:themeColor="text1"/>
          <w:sz w:val="24"/>
          <w:szCs w:val="24"/>
          <w:shd w:val="clear" w:color="auto" w:fill="FFFFFF"/>
        </w:rPr>
      </w:pPr>
      <w:r w:rsidRPr="0008565A">
        <w:rPr>
          <w:rFonts w:ascii="Times New Roman" w:hAnsi="Times New Roman" w:cs="Times New Roman"/>
          <w:color w:val="000000" w:themeColor="text1"/>
          <w:sz w:val="24"/>
          <w:szCs w:val="24"/>
          <w:shd w:val="clear" w:color="auto" w:fill="FFFFFF"/>
        </w:rPr>
        <w:t>Phi, N.T.M., Taghizadeh-Hesary, F., Tu, C.A., Yoshino, N. and Kim, C.J., 2019. Performance differential between private and state-owned enterprises: An analysis of profitability and leverage.</w:t>
      </w:r>
    </w:p>
    <w:p w:rsidR="00EA0587" w:rsidRPr="0008565A" w:rsidRDefault="00EA0587" w:rsidP="0008565A">
      <w:pPr>
        <w:spacing w:line="360" w:lineRule="auto"/>
        <w:jc w:val="both"/>
        <w:rPr>
          <w:rFonts w:ascii="Times New Roman" w:hAnsi="Times New Roman" w:cs="Times New Roman"/>
          <w:color w:val="000000" w:themeColor="text1"/>
          <w:sz w:val="24"/>
          <w:szCs w:val="24"/>
        </w:rPr>
      </w:pPr>
    </w:p>
    <w:p w:rsidR="00D41C5B" w:rsidRPr="0008565A" w:rsidRDefault="00D41C5B" w:rsidP="0008565A">
      <w:pPr>
        <w:pStyle w:val="normal0"/>
        <w:spacing w:line="360" w:lineRule="auto"/>
        <w:jc w:val="both"/>
        <w:rPr>
          <w:rFonts w:ascii="Times New Roman" w:hAnsi="Times New Roman" w:cs="Times New Roman"/>
        </w:rPr>
      </w:pPr>
    </w:p>
    <w:p w:rsidR="00D41C5B" w:rsidRPr="0008565A" w:rsidRDefault="00D41C5B" w:rsidP="0008565A">
      <w:pPr>
        <w:pStyle w:val="normal0"/>
        <w:spacing w:line="360" w:lineRule="auto"/>
        <w:rPr>
          <w:rFonts w:ascii="Times New Roman" w:hAnsi="Times New Roman" w:cs="Times New Roman"/>
        </w:rPr>
      </w:pPr>
    </w:p>
    <w:sectPr w:rsidR="00D41C5B" w:rsidRPr="0008565A" w:rsidSect="0070778C">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E03DA" w:rsidRDefault="003E03DA" w:rsidP="0070778C">
      <w:pPr>
        <w:spacing w:line="240" w:lineRule="auto"/>
      </w:pPr>
      <w:r>
        <w:separator/>
      </w:r>
    </w:p>
  </w:endnote>
  <w:endnote w:type="continuationSeparator" w:id="1">
    <w:p w:rsidR="003E03DA" w:rsidRDefault="003E03DA" w:rsidP="0070778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787317"/>
      <w:docPartObj>
        <w:docPartGallery w:val="Page Numbers (Bottom of Page)"/>
        <w:docPartUnique/>
      </w:docPartObj>
    </w:sdtPr>
    <w:sdtContent>
      <w:p w:rsidR="0070778C" w:rsidRDefault="0095170D">
        <w:pPr>
          <w:pStyle w:val="Footer"/>
          <w:jc w:val="right"/>
        </w:pPr>
        <w:fldSimple w:instr=" PAGE   \* MERGEFORMAT ">
          <w:r w:rsidR="00801C9A">
            <w:rPr>
              <w:noProof/>
            </w:rPr>
            <w:t>12</w:t>
          </w:r>
        </w:fldSimple>
      </w:p>
    </w:sdtContent>
  </w:sdt>
  <w:p w:rsidR="0070778C" w:rsidRDefault="0070778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E03DA" w:rsidRDefault="003E03DA" w:rsidP="0070778C">
      <w:pPr>
        <w:spacing w:line="240" w:lineRule="auto"/>
      </w:pPr>
      <w:r>
        <w:separator/>
      </w:r>
    </w:p>
  </w:footnote>
  <w:footnote w:type="continuationSeparator" w:id="1">
    <w:p w:rsidR="003E03DA" w:rsidRDefault="003E03DA" w:rsidP="0070778C">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6146"/>
  </w:hdrShapeDefaults>
  <w:footnotePr>
    <w:footnote w:id="0"/>
    <w:footnote w:id="1"/>
  </w:footnotePr>
  <w:endnotePr>
    <w:endnote w:id="0"/>
    <w:endnote w:id="1"/>
  </w:endnotePr>
  <w:compat/>
  <w:rsids>
    <w:rsidRoot w:val="00D41C5B"/>
    <w:rsid w:val="00017329"/>
    <w:rsid w:val="0008565A"/>
    <w:rsid w:val="003E03DA"/>
    <w:rsid w:val="004018A2"/>
    <w:rsid w:val="005335C8"/>
    <w:rsid w:val="00580D99"/>
    <w:rsid w:val="005B4094"/>
    <w:rsid w:val="006F1CF1"/>
    <w:rsid w:val="0070778C"/>
    <w:rsid w:val="007603C0"/>
    <w:rsid w:val="00801C9A"/>
    <w:rsid w:val="0095170D"/>
    <w:rsid w:val="00B955D7"/>
    <w:rsid w:val="00C90C19"/>
    <w:rsid w:val="00D41C5B"/>
    <w:rsid w:val="00EA0587"/>
    <w:rsid w:val="00F6703B"/>
    <w:rsid w:val="00F96041"/>
    <w:rsid w:val="00FB4954"/>
    <w:rsid w:val="00FC405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0D99"/>
  </w:style>
  <w:style w:type="paragraph" w:styleId="Heading1">
    <w:name w:val="heading 1"/>
    <w:basedOn w:val="normal0"/>
    <w:next w:val="normal0"/>
    <w:rsid w:val="0070778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0"/>
    <w:next w:val="normal0"/>
    <w:rsid w:val="00EA0587"/>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0"/>
    <w:next w:val="normal0"/>
    <w:rsid w:val="00D41C5B"/>
    <w:pPr>
      <w:keepNext/>
      <w:keepLines/>
      <w:spacing w:before="320" w:after="80"/>
      <w:outlineLvl w:val="2"/>
    </w:pPr>
    <w:rPr>
      <w:color w:val="434343"/>
      <w:sz w:val="28"/>
      <w:szCs w:val="28"/>
    </w:rPr>
  </w:style>
  <w:style w:type="paragraph" w:styleId="Heading4">
    <w:name w:val="heading 4"/>
    <w:basedOn w:val="normal0"/>
    <w:next w:val="normal0"/>
    <w:rsid w:val="00D41C5B"/>
    <w:pPr>
      <w:keepNext/>
      <w:keepLines/>
      <w:spacing w:before="280" w:after="80"/>
      <w:outlineLvl w:val="3"/>
    </w:pPr>
    <w:rPr>
      <w:color w:val="666666"/>
      <w:sz w:val="24"/>
      <w:szCs w:val="24"/>
    </w:rPr>
  </w:style>
  <w:style w:type="paragraph" w:styleId="Heading5">
    <w:name w:val="heading 5"/>
    <w:basedOn w:val="normal0"/>
    <w:next w:val="normal0"/>
    <w:rsid w:val="00D41C5B"/>
    <w:pPr>
      <w:keepNext/>
      <w:keepLines/>
      <w:spacing w:before="240" w:after="80"/>
      <w:outlineLvl w:val="4"/>
    </w:pPr>
    <w:rPr>
      <w:color w:val="666666"/>
    </w:rPr>
  </w:style>
  <w:style w:type="paragraph" w:styleId="Heading6">
    <w:name w:val="heading 6"/>
    <w:basedOn w:val="normal0"/>
    <w:next w:val="normal0"/>
    <w:rsid w:val="00D41C5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41C5B"/>
  </w:style>
  <w:style w:type="paragraph" w:styleId="Title">
    <w:name w:val="Title"/>
    <w:basedOn w:val="normal0"/>
    <w:next w:val="normal0"/>
    <w:rsid w:val="00D41C5B"/>
    <w:pPr>
      <w:keepNext/>
      <w:keepLines/>
      <w:spacing w:after="60"/>
    </w:pPr>
    <w:rPr>
      <w:sz w:val="52"/>
      <w:szCs w:val="52"/>
    </w:rPr>
  </w:style>
  <w:style w:type="paragraph" w:styleId="Subtitle">
    <w:name w:val="Subtitle"/>
    <w:basedOn w:val="normal0"/>
    <w:next w:val="normal0"/>
    <w:rsid w:val="00D41C5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960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041"/>
    <w:rPr>
      <w:rFonts w:ascii="Tahoma" w:hAnsi="Tahoma" w:cs="Tahoma"/>
      <w:sz w:val="16"/>
      <w:szCs w:val="16"/>
    </w:rPr>
  </w:style>
  <w:style w:type="paragraph" w:styleId="Header">
    <w:name w:val="header"/>
    <w:basedOn w:val="Normal"/>
    <w:link w:val="HeaderChar"/>
    <w:uiPriority w:val="99"/>
    <w:semiHidden/>
    <w:unhideWhenUsed/>
    <w:rsid w:val="0070778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0778C"/>
  </w:style>
  <w:style w:type="paragraph" w:styleId="Footer">
    <w:name w:val="footer"/>
    <w:basedOn w:val="Normal"/>
    <w:link w:val="FooterChar"/>
    <w:uiPriority w:val="99"/>
    <w:unhideWhenUsed/>
    <w:rsid w:val="0070778C"/>
    <w:pPr>
      <w:tabs>
        <w:tab w:val="center" w:pos="4680"/>
        <w:tab w:val="right" w:pos="9360"/>
      </w:tabs>
      <w:spacing w:line="240" w:lineRule="auto"/>
    </w:pPr>
  </w:style>
  <w:style w:type="character" w:customStyle="1" w:styleId="FooterChar">
    <w:name w:val="Footer Char"/>
    <w:basedOn w:val="DefaultParagraphFont"/>
    <w:link w:val="Footer"/>
    <w:uiPriority w:val="99"/>
    <w:rsid w:val="0070778C"/>
  </w:style>
  <w:style w:type="paragraph" w:styleId="TOCHeading">
    <w:name w:val="TOC Heading"/>
    <w:basedOn w:val="Heading1"/>
    <w:next w:val="Normal"/>
    <w:uiPriority w:val="39"/>
    <w:semiHidden/>
    <w:unhideWhenUsed/>
    <w:qFormat/>
    <w:rsid w:val="006F1CF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F1CF1"/>
    <w:pPr>
      <w:spacing w:after="100"/>
    </w:pPr>
  </w:style>
  <w:style w:type="paragraph" w:styleId="TOC2">
    <w:name w:val="toc 2"/>
    <w:basedOn w:val="Normal"/>
    <w:next w:val="Normal"/>
    <w:autoRedefine/>
    <w:uiPriority w:val="39"/>
    <w:unhideWhenUsed/>
    <w:rsid w:val="006F1CF1"/>
    <w:pPr>
      <w:spacing w:after="100"/>
      <w:ind w:left="220"/>
    </w:pPr>
  </w:style>
  <w:style w:type="character" w:styleId="Hyperlink">
    <w:name w:val="Hyperlink"/>
    <w:basedOn w:val="DefaultParagraphFont"/>
    <w:uiPriority w:val="99"/>
    <w:unhideWhenUsed/>
    <w:rsid w:val="006F1CF1"/>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C23FEE-11EE-4951-B8A2-1492ED7C5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2106</Words>
  <Characters>12008</Characters>
  <Application>Microsoft Office Word</Application>
  <DocSecurity>0</DocSecurity>
  <Lines>100</Lines>
  <Paragraphs>28</Paragraphs>
  <ScaleCrop>false</ScaleCrop>
  <Company/>
  <LinksUpToDate>false</LinksUpToDate>
  <CharactersWithSpaces>14086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18</cp:revision>
  <dcterms:created xsi:type="dcterms:W3CDTF">2021-08-20T05:24:00Z</dcterms:created>
  <dcterms:modified xsi:type="dcterms:W3CDTF">2021-08-20T06:03:00Z</dcterms:modified>
</cp:coreProperties>
</file>