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24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Why does heritage matter?</w:t>
      </w:r>
      <w:r w:rsidDel="00000000" w:rsidR="00000000" w:rsidRPr="00000000">
        <w:rPr>
          <w:rtl w:val="0"/>
        </w:rPr>
      </w:r>
    </w:p>
    <w:p w:rsidR="00000000" w:rsidDel="00000000" w:rsidP="00000000" w:rsidRDefault="00000000" w:rsidRPr="00000000" w14:paraId="00000002">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thirteenth-century English word of heritage is derived from the Latin </w:t>
      </w:r>
      <w:r w:rsidDel="00000000" w:rsidR="00000000" w:rsidRPr="00000000">
        <w:rPr>
          <w:rFonts w:ascii="Times New Roman" w:cs="Times New Roman" w:eastAsia="Times New Roman" w:hAnsi="Times New Roman"/>
          <w:i w:val="1"/>
          <w:rtl w:val="0"/>
        </w:rPr>
        <w:t xml:space="preserve">haeres</w:t>
      </w:r>
      <w:r w:rsidDel="00000000" w:rsidR="00000000" w:rsidRPr="00000000">
        <w:rPr>
          <w:rFonts w:ascii="Times New Roman" w:cs="Times New Roman" w:eastAsia="Times New Roman" w:hAnsi="Times New Roman"/>
          <w:rtl w:val="0"/>
        </w:rPr>
        <w:t xml:space="preserve">, meaning heir or heiress. Heritage is complex, historians, world heritage sites and individuals have coined their own definitions of heritage, this can become problematic.</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Therefore, in a nutshell, heritage is the history that society has preserved and inherited from one generation to another. Without people, heritage would be non-existent. Society uses the past to be able to shape the present and plan for the future. People learn from the past mistakes to improve humanity. This initial argument would be the typical viewpoint a historian would begin with, the idea that without heritage, without preservation of the past, society cannot learn from past mistakes. This is true, if society did not preserve history, society would not be aware of where they had come from. Heritage matters because society matters, the past is important to all communities, the good, the bad and the ugly.  This includes the idea that heritage is a collective set of cultural, natural, and historical assets that reflect the values and traditions of a society; these are passed down from generation to generation. This essay will explore the importance of heritage and its relevance to contemporary society and its significance to individuals and society as a whole. </w:t>
      </w:r>
    </w:p>
    <w:p w:rsidR="00000000" w:rsidDel="00000000" w:rsidP="00000000" w:rsidRDefault="00000000" w:rsidRPr="00000000" w14:paraId="00000003">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way to evaluate heritage is by simply beginning to define it. UNESCO believes that “heritage is our legacy from the past, what we live with today, and what we pass on to future generations. Our cultural and natural heritage are both irreplaceable sources of life and inspiration.”</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One would argue the word “irreplaceable” is key in this definition, heritage is unchanging. Along with the standard dictionary definition in which heritage is defined “as everything that has been inherited from our predecessors. It can be historic treasures in museums, or family heirlooms passed down from generation to generation, and can also be intangible things such as history, traditions, legends and language.”</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Fonts w:ascii="Times New Roman" w:cs="Times New Roman" w:eastAsia="Times New Roman" w:hAnsi="Times New Roman"/>
          <w:rtl w:val="0"/>
        </w:rPr>
        <w:t xml:space="preserve"> Together these definitions give any historian a good grasp on what heritage is before assessing its importance to society. </w:t>
      </w:r>
    </w:p>
    <w:p w:rsidR="00000000" w:rsidDel="00000000" w:rsidP="00000000" w:rsidRDefault="00000000" w:rsidRPr="00000000" w14:paraId="00000004">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Therefore, is it entirely valid to argue that individual and collective memory are imperative to the development of society, and cannot exist without the individual. Without heritage, we cannot have memory, without memory we cannot have the individual. Heritage is our memories handed down through time. Heritage holds such a significant weight in the world that without it, society would simply collapse. Without the past, society cannot improve and create a brighter future. It is for this reason that although heritage matters immeasurably, it is important to remember that heritage is not inherently good. The past holds so much that society now is ashamed of, there are campaigns that sought the boycott and removal of various aspects of our history from heritage sites. It is important to remember that our history does include horrific atrocities, it is important to educate on these matters properly.</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Overall, one would argue that heritage is the foundation of the society that we have sought to build. Heritage matters immeasurably. However, what matters more is ensuring that heritage is done correctly. </w:t>
      </w:r>
    </w:p>
    <w:p w:rsidR="00000000" w:rsidDel="00000000" w:rsidP="00000000" w:rsidRDefault="00000000" w:rsidRPr="00000000" w14:paraId="00000005">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Whilst preserving our history is vital to our growth as a society, the preservation or representation of our past is not always done correctly. The challenge that heritage presents is that the individuals involved in preserving our past often have differing opinions leading to unconscious bias. Essentially, you cannot satisfy everyone's criteria. The campaigners who fight to remove certain aspects of history such as the slave trade, colonialsim and the British Empire, passionately believe that removing aspects of these controversial historical topics will fix the events of the past.</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British and Greek moral philosopher, Constantine Sandis has argued “heritage matters, but removing something from one’s culture does not eliminate it from one’s heritage. The acknowledgment of heritage forms part of the ethics of remembering, and it is important to remember both the good and the bad, atrocities as well as achievements.”</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With regards to heritage, whilst aspects of our past are linked with atrocities and tragedy, we as a society owe it to those who have suffered to remember them properly. Therefore, rather than glorify the oppressors, remember the oppressed. It is in these affected spheres of cultural heritage that groups and communities ascribe values, develop memories and shape their collective identity. </w:t>
      </w:r>
    </w:p>
    <w:p w:rsidR="00000000" w:rsidDel="00000000" w:rsidP="00000000" w:rsidRDefault="00000000" w:rsidRPr="00000000" w14:paraId="00000006">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article by Alexander Scott, </w:t>
      </w:r>
      <w:r w:rsidDel="00000000" w:rsidR="00000000" w:rsidRPr="00000000">
        <w:rPr>
          <w:rFonts w:ascii="Times New Roman" w:cs="Times New Roman" w:eastAsia="Times New Roman" w:hAnsi="Times New Roman"/>
          <w:i w:val="1"/>
          <w:rtl w:val="0"/>
        </w:rPr>
        <w:t xml:space="preserve">A Permanent Civilising Effect"? The Impact of Reforming Working-Class Museum Visitors in Liverpool during the 19th Century, </w:t>
      </w:r>
      <w:r w:rsidDel="00000000" w:rsidR="00000000" w:rsidRPr="00000000">
        <w:rPr>
          <w:rFonts w:ascii="Times New Roman" w:cs="Times New Roman" w:eastAsia="Times New Roman" w:hAnsi="Times New Roman"/>
          <w:rtl w:val="0"/>
        </w:rPr>
        <w:t xml:space="preserve">assesses the museum in Liverpool during the 19th century.</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Fonts w:ascii="Times New Roman" w:cs="Times New Roman" w:eastAsia="Times New Roman" w:hAnsi="Times New Roman"/>
          <w:rtl w:val="0"/>
        </w:rPr>
        <w:t xml:space="preserve"> Scott investigated the link between the working classes and the need for an education source in Liverpool. It was found that the working class societies were of lower education than that of the higher classes, this resulted in the need to reform. The approach to reform was to open a museum in the hope that this would provide a form of education to those who needed it. Interestingly, the council opened this museum on weekdays, during the hours in which the working class would typically be working. The target audience for this reform did not benefit to the extent they had hoped. Scotts study is an eye opening evaluation that underlines how even during the 19th century, the council had acknowledged the upskilling value heritage sites like museums held to society. In turn, this would create a sense of community and identity through heritage as the working class were eventually enabled to learn and create an identity around their collective history.</w:t>
      </w:r>
    </w:p>
    <w:p w:rsidR="00000000" w:rsidDel="00000000" w:rsidP="00000000" w:rsidRDefault="00000000" w:rsidRPr="00000000" w14:paraId="00000007">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power that a well-informed historical site can have on an individual is vast. One such instance would be the revelation surrounding the National Trust.</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Fonts w:ascii="Times New Roman" w:cs="Times New Roman" w:eastAsia="Times New Roman" w:hAnsi="Times New Roman"/>
          <w:rtl w:val="0"/>
        </w:rPr>
        <w:t xml:space="preserve"> In 2020, the National Trust released a report opening up about their historic links to colonialism and slavery. The report details that 93 of their properties had links, some chose to boycott the National Trust and cancel their membership as a result.</w:t>
      </w:r>
      <w:r w:rsidDel="00000000" w:rsidR="00000000" w:rsidRPr="00000000">
        <w:rPr>
          <w:rFonts w:ascii="Times New Roman" w:cs="Times New Roman" w:eastAsia="Times New Roman" w:hAnsi="Times New Roman"/>
          <w:vertAlign w:val="superscript"/>
        </w:rPr>
        <w:footnoteReference w:customMarkFollows="0" w:id="8"/>
      </w:r>
      <w:r w:rsidDel="00000000" w:rsidR="00000000" w:rsidRPr="00000000">
        <w:rPr>
          <w:rFonts w:ascii="Times New Roman" w:cs="Times New Roman" w:eastAsia="Times New Roman" w:hAnsi="Times New Roman"/>
          <w:rtl w:val="0"/>
        </w:rPr>
        <w:t xml:space="preserve"> Some chose to support the Trust. Those who chose to boycott the Trust were showing their solidarity with those who had suffered, that was a valid decision to make. However, one would argue that in releasing this report, the National Trust sought to educate more thoroughly on these matters and in being honest, it allowed the visitors to access a more in depth education on topics that otherwise would not have been known about. Arguably, the National Trust handled the report remarkably well. They chose to be honest in a bid to educate, and that is commendable. Heritage serves to educate, above all else. </w:t>
      </w:r>
    </w:p>
    <w:p w:rsidR="00000000" w:rsidDel="00000000" w:rsidP="00000000" w:rsidRDefault="00000000" w:rsidRPr="00000000" w14:paraId="00000009">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reason why heritage is important as it serves to remember those who have suffered and this can be demonstrated through memorials. The Memorial to the Murdered Jews of Europe in Berlin is a prime example of a well-informed memorial, featuring 19,000 square metres of concrete slabs all differing in heights that are used to remember the Jewish atrocities that occurred under the Nazi Government.  However, it should be known that memorials are not always in a tasteful manner. It is with this in mind that the Polish statue </w:t>
      </w:r>
      <w:r w:rsidDel="00000000" w:rsidR="00000000" w:rsidRPr="00000000">
        <w:rPr>
          <w:rFonts w:ascii="Times New Roman" w:cs="Times New Roman" w:eastAsia="Times New Roman" w:hAnsi="Times New Roman"/>
          <w:i w:val="1"/>
          <w:rtl w:val="0"/>
        </w:rPr>
        <w:t xml:space="preserve">Komm Frau</w:t>
      </w:r>
      <w:r w:rsidDel="00000000" w:rsidR="00000000" w:rsidRPr="00000000">
        <w:rPr>
          <w:rFonts w:ascii="Times New Roman" w:cs="Times New Roman" w:eastAsia="Times New Roman" w:hAnsi="Times New Roman"/>
          <w:rtl w:val="0"/>
        </w:rPr>
        <w:t xml:space="preserve"> comes to mind. The creator, Jerzy Bohdan Szumczyk, was motivated to create this piece by the war crimes committed by the Soviets. As Soviet soldiers advanced towards Berlin in the latter half of the Second World War, thousands of woman and young girls were brutally raped in a mass attack in their homes in Poland. Szumczyk immortalised this in one statue, a pregnant woman being raped by a soviet officer with a gun forced into her mouth.</w:t>
      </w:r>
      <w:r w:rsidDel="00000000" w:rsidR="00000000" w:rsidRPr="00000000">
        <w:rPr>
          <w:rFonts w:ascii="Times New Roman" w:cs="Times New Roman" w:eastAsia="Times New Roman" w:hAnsi="Times New Roman"/>
          <w:vertAlign w:val="superscript"/>
        </w:rPr>
        <w:footnoteReference w:customMarkFollows="0" w:id="9"/>
      </w:r>
      <w:r w:rsidDel="00000000" w:rsidR="00000000" w:rsidRPr="00000000">
        <w:rPr>
          <w:rFonts w:ascii="Times New Roman" w:cs="Times New Roman" w:eastAsia="Times New Roman" w:hAnsi="Times New Roman"/>
          <w:rtl w:val="0"/>
        </w:rPr>
        <w:t xml:space="preserve"> The statue had been taken down in a matter of hours and yet this graphic display of the atrocity was met by huge debate. Some argued that we have a duty to remember those who suffered. Whilst others appreciated the condemning of the traumatic events, the execution was not appreciated. The statue not only vilifies those 600,000 soldiers who fought and gave their lives for our freedom but also focused on the crime rather than the victim.</w:t>
      </w:r>
      <w:r w:rsidDel="00000000" w:rsidR="00000000" w:rsidRPr="00000000">
        <w:rPr>
          <w:rFonts w:ascii="Times New Roman" w:cs="Times New Roman" w:eastAsia="Times New Roman" w:hAnsi="Times New Roman"/>
          <w:vertAlign w:val="superscript"/>
        </w:rPr>
        <w:footnoteReference w:customMarkFollows="0" w:id="10"/>
      </w:r>
      <w:r w:rsidDel="00000000" w:rsidR="00000000" w:rsidRPr="00000000">
        <w:rPr>
          <w:rFonts w:ascii="Times New Roman" w:cs="Times New Roman" w:eastAsia="Times New Roman" w:hAnsi="Times New Roman"/>
          <w:rtl w:val="0"/>
        </w:rPr>
        <w:t xml:space="preserve"> In stark contrast to the Memorial to the Murdered Jews of Europe in Berlin, where the memorial is on a slight slope and therefore gives it wave-like form differentiating depending on where it stood. It has been said that “the uneven concrete floor gives many visitors a moment of giddiness or even uncertainty. Its openness and abstractness give you space to confront the topic in your own personal way. The sheer size of the installation and its lack of a central point of remembrance call into question the conventional concept of a memorial. This creates a place of remembrance, but not with the usual means.”</w:t>
      </w:r>
      <w:r w:rsidDel="00000000" w:rsidR="00000000" w:rsidRPr="00000000">
        <w:rPr>
          <w:rFonts w:ascii="Times New Roman" w:cs="Times New Roman" w:eastAsia="Times New Roman" w:hAnsi="Times New Roman"/>
          <w:vertAlign w:val="superscript"/>
        </w:rPr>
        <w:footnoteReference w:customMarkFollows="0" w:id="11"/>
      </w:r>
      <w:r w:rsidDel="00000000" w:rsidR="00000000" w:rsidRPr="00000000">
        <w:rPr>
          <w:rtl w:val="0"/>
        </w:rPr>
      </w:r>
    </w:p>
    <w:p w:rsidR="00000000" w:rsidDel="00000000" w:rsidP="00000000" w:rsidRDefault="00000000" w:rsidRPr="00000000" w14:paraId="0000000B">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Atrocities are delicate, sensitive issues that should be carefully thought about before producing such a monument. However, although this monument was not the appropriate way to remember the oppressed, it should be acknowledged that there is no set method in which our memory should be presented. David Lowenthal has noted that we should not assume that one’s cultural heritage is always, or even usually, ‘celebrated.’</w:t>
      </w:r>
      <w:r w:rsidDel="00000000" w:rsidR="00000000" w:rsidRPr="00000000">
        <w:rPr>
          <w:rFonts w:ascii="Times New Roman" w:cs="Times New Roman" w:eastAsia="Times New Roman" w:hAnsi="Times New Roman"/>
          <w:vertAlign w:val="superscript"/>
        </w:rPr>
        <w:footnoteReference w:customMarkFollows="0" w:id="12"/>
      </w:r>
      <w:r w:rsidDel="00000000" w:rsidR="00000000" w:rsidRPr="00000000">
        <w:rPr>
          <w:rFonts w:ascii="Times New Roman" w:cs="Times New Roman" w:eastAsia="Times New Roman" w:hAnsi="Times New Roman"/>
          <w:rtl w:val="0"/>
        </w:rPr>
        <w:t xml:space="preserve"> Even when it is, “it doesn’t follow that the celebration in question is of the past, as opposed to a continuity that remains present.”</w:t>
      </w:r>
      <w:r w:rsidDel="00000000" w:rsidR="00000000" w:rsidRPr="00000000">
        <w:rPr>
          <w:rFonts w:ascii="Times New Roman" w:cs="Times New Roman" w:eastAsia="Times New Roman" w:hAnsi="Times New Roman"/>
          <w:vertAlign w:val="superscript"/>
        </w:rPr>
        <w:footnoteReference w:customMarkFollows="0" w:id="13"/>
      </w:r>
      <w:r w:rsidDel="00000000" w:rsidR="00000000" w:rsidRPr="00000000">
        <w:rPr>
          <w:rFonts w:ascii="Times New Roman" w:cs="Times New Roman" w:eastAsia="Times New Roman" w:hAnsi="Times New Roman"/>
          <w:rtl w:val="0"/>
        </w:rPr>
        <w:t xml:space="preserve"> This infers that although heritage matters immeasurably, what matters more is ensuring that heritage is portrayed properly. Heritage sites are places of education, to be preserving heritage incorrectly would be to teach and inform the future generations incorrectly. This is why heritage matters, it is so vital to society and the influence heritage has on people is vast as it can educate, inform, and serve as a platform for future generations to avoid previous humanitarian atrocities. </w:t>
      </w:r>
    </w:p>
    <w:p w:rsidR="00000000" w:rsidDel="00000000" w:rsidP="00000000" w:rsidRDefault="00000000" w:rsidRPr="00000000" w14:paraId="0000000C">
      <w:pPr>
        <w:shd w:fill="ffffff" w:val="clear"/>
        <w:spacing w:after="24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this, heritage provides not only a wealth of historical identity but also provides wealth for the area by way of tourism. Heritage sites have the risk of becoming popularised, turned into money making tourist </w:t>
      </w:r>
      <w:r w:rsidDel="00000000" w:rsidR="00000000" w:rsidRPr="00000000">
        <w:rPr>
          <w:rFonts w:ascii="Times New Roman" w:cs="Times New Roman" w:eastAsia="Times New Roman" w:hAnsi="Times New Roman"/>
          <w:rtl w:val="0"/>
        </w:rPr>
        <w:t xml:space="preserve">destinations</w:t>
      </w:r>
      <w:r w:rsidDel="00000000" w:rsidR="00000000" w:rsidRPr="00000000">
        <w:rPr>
          <w:rFonts w:ascii="Times New Roman" w:cs="Times New Roman" w:eastAsia="Times New Roman" w:hAnsi="Times New Roman"/>
          <w:rtl w:val="0"/>
        </w:rPr>
        <w:t xml:space="preserve"> for the sole purpose of fueling a business, not educating our future generations. Heritage is vital to our society and the presence of political and financial motivation reduces the importance. Cornelius Holtorf, an Assistant Professor at the Institute for Archaeology at the University of Lund, has raised concerns regarding the potential for ‘overt political motivation.’ This being the political undertones of heritage, for example the method in which Britain has remembered the Suffragettes, namely Emmaline Pankhurst. Her statue is located in Victoria Tower Gardens. Whereas the leader of the Suffragists, Millicent Fawcett, is located 0.3 miles away in Parliament Square Garden next to Winston Churchill. The location of Pankhurst’s statue was purposely placed in a quiet area, hidden away from the other statues. The National Archives blog rightly stated that her memorial “has stood in the shadow of Parliament since 1930.”</w:t>
      </w:r>
      <w:r w:rsidDel="00000000" w:rsidR="00000000" w:rsidRPr="00000000">
        <w:rPr>
          <w:rFonts w:ascii="Times New Roman" w:cs="Times New Roman" w:eastAsia="Times New Roman" w:hAnsi="Times New Roman"/>
          <w:vertAlign w:val="superscript"/>
        </w:rPr>
        <w:footnoteReference w:customMarkFollows="0" w:id="14"/>
      </w:r>
      <w:r w:rsidDel="00000000" w:rsidR="00000000" w:rsidRPr="00000000">
        <w:rPr>
          <w:rFonts w:ascii="Times New Roman" w:cs="Times New Roman" w:eastAsia="Times New Roman" w:hAnsi="Times New Roman"/>
          <w:rtl w:val="0"/>
        </w:rPr>
        <w:t xml:space="preserve"> In life she lived in the shadow of parliament, arguably it is very symbolic that the creators hid her in the shadows, away from the statues that were ‘worth’ remembering. </w:t>
      </w:r>
      <w:r w:rsidDel="00000000" w:rsidR="00000000" w:rsidRPr="00000000">
        <w:rPr>
          <w:rtl w:val="0"/>
        </w:rPr>
      </w:r>
    </w:p>
    <w:p w:rsidR="00000000" w:rsidDel="00000000" w:rsidP="00000000" w:rsidRDefault="00000000" w:rsidRPr="00000000" w14:paraId="0000000D">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Therefore, the question of worth comes to mind. The issue of worth is key to the discussion of heritage, what makes a memory worth remembering? Emma Waterton, a Leverhulme International Professor in the Department of Archaeology, has stated that “heritage is a version of the past received through objects and display, representations and engagements, spectacular locations and events, memories and commemorations, and the preparation of places for cultural purposes and consumption.”</w:t>
      </w:r>
      <w:r w:rsidDel="00000000" w:rsidR="00000000" w:rsidRPr="00000000">
        <w:rPr>
          <w:rFonts w:ascii="Times New Roman" w:cs="Times New Roman" w:eastAsia="Times New Roman" w:hAnsi="Times New Roman"/>
          <w:vertAlign w:val="superscript"/>
        </w:rPr>
        <w:footnoteReference w:customMarkFollows="0" w:id="15"/>
      </w:r>
      <w:r w:rsidDel="00000000" w:rsidR="00000000" w:rsidRPr="00000000">
        <w:rPr>
          <w:rFonts w:ascii="Times New Roman" w:cs="Times New Roman" w:eastAsia="Times New Roman" w:hAnsi="Times New Roman"/>
          <w:rtl w:val="0"/>
        </w:rPr>
        <w:t xml:space="preserve"> Therefore, the concern is that without heritage, “the destruction of memory through the destruction of cultural heritage, as well as the complex interactions between heritage, memory and community formation,” is inevitable.</w:t>
      </w:r>
      <w:r w:rsidDel="00000000" w:rsidR="00000000" w:rsidRPr="00000000">
        <w:rPr>
          <w:rFonts w:ascii="Times New Roman" w:cs="Times New Roman" w:eastAsia="Times New Roman" w:hAnsi="Times New Roman"/>
          <w:vertAlign w:val="superscript"/>
        </w:rPr>
        <w:footnoteReference w:customMarkFollows="0" w:id="16"/>
      </w:r>
      <w:r w:rsidDel="00000000" w:rsidR="00000000" w:rsidRPr="00000000">
        <w:rPr>
          <w:rFonts w:ascii="Times New Roman" w:cs="Times New Roman" w:eastAsia="Times New Roman" w:hAnsi="Times New Roman"/>
          <w:rtl w:val="0"/>
        </w:rPr>
        <w:t xml:space="preserve"> Heritage not only educates the young minds of today, but it also informs vital decisions. Heritage allows individuals to assess what happened in the past, learn from our mistakes and improve our future. Therefore, with this in mind, the previous point still stands. If heritage is remembered incorrectly, we will be educating incorrectly. There cannot be bias because it sways our young minds who deserve to form their own opinions without being preached too. Heritage must be precise, to discard or attempt to erase elements would be detrimental to the development of our future societies. </w:t>
      </w:r>
    </w:p>
    <w:p w:rsidR="00000000" w:rsidDel="00000000" w:rsidP="00000000" w:rsidRDefault="00000000" w:rsidRPr="00000000" w14:paraId="0000000E">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heritage does matter, there should be no debate regarding the sheer importance of heritage. However, what matters more than heritage itself is doing heritage correctly. Heritage is delicate and more often than not will involve sensitive information, therefore it is imperative that we are cautious when preserving our history. The question of worth and unconscious bias are both an issue, and should be handled with care. The presence of unconscious bias leads an individual to have their perspective being skewed, this should be avoided. One would suggest that when preserving our rich history, one should present the facts objectively in order to allow individuals to assess the facts and come to their own conclusions. Individual agency is imperative to the preservation of heritage. To conclude, heritage matters to the extent that to do heritage incorrectly would be to teach our future generations wrong. We as a society have a duty to educate properly through heritage. </w:t>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ind w:left="0" w:firstLine="0"/>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2">
      <w:pPr>
        <w:ind w:left="0" w:firstLine="0"/>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3">
      <w:pPr>
        <w:ind w:left="0" w:firstLine="0"/>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4">
      <w:pPr>
        <w:ind w:left="0" w:firstLine="0"/>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5">
      <w:pPr>
        <w:ind w:left="0" w:firstLine="0"/>
        <w:jc w:val="center"/>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6">
      <w:pPr>
        <w:ind w:left="0" w:firstLine="0"/>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17">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Apaydin Veysel , “Introduction: why cultural memory and heritage?” Critical Perspectives on Cultural Memory and Heritage: Construction, Transformation and Destruction (UCL Press, 2020)</w:t>
      </w:r>
    </w:p>
    <w:p w:rsidR="00000000" w:rsidDel="00000000" w:rsidP="00000000" w:rsidRDefault="00000000" w:rsidRPr="00000000" w14:paraId="00000019">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Bendix Regina F, </w:t>
      </w:r>
      <w:r w:rsidDel="00000000" w:rsidR="00000000" w:rsidRPr="00000000">
        <w:rPr>
          <w:rFonts w:ascii="Times New Roman" w:cs="Times New Roman" w:eastAsia="Times New Roman" w:hAnsi="Times New Roman"/>
          <w:i w:val="1"/>
          <w:rtl w:val="0"/>
        </w:rPr>
        <w:t xml:space="preserve">Heritage Regimes and the State</w:t>
      </w:r>
      <w:r w:rsidDel="00000000" w:rsidR="00000000" w:rsidRPr="00000000">
        <w:rPr>
          <w:rFonts w:ascii="Times New Roman" w:cs="Times New Roman" w:eastAsia="Times New Roman" w:hAnsi="Times New Roman"/>
          <w:rtl w:val="0"/>
        </w:rPr>
        <w:t xml:space="preserve">, (Universitätsverlag Göttingen, 2013)</w:t>
      </w:r>
    </w:p>
    <w:p w:rsidR="00000000" w:rsidDel="00000000" w:rsidP="00000000" w:rsidRDefault="00000000" w:rsidRPr="00000000" w14:paraId="0000001B">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Champion Evette , Artist Arrested for Sculpting a Memorial Depicting the Rape of Women by Red Army Soldiers, (War History Online, 2013) https://www.warhistoryonline.com/war-articles/artist-arrested-sculpting-memorial-depicting-rape-women-red-army-soldiers.html?chrome=1&amp;A1c=1</w:t>
      </w:r>
    </w:p>
    <w:p w:rsidR="00000000" w:rsidDel="00000000" w:rsidP="00000000" w:rsidRDefault="00000000" w:rsidRPr="00000000" w14:paraId="0000001D">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Franklin Stephen , Emmeline Pankhurst memorial, (The National Archives Blog, 2018) </w:t>
      </w:r>
      <w:hyperlink r:id="rId7">
        <w:r w:rsidDel="00000000" w:rsidR="00000000" w:rsidRPr="00000000">
          <w:rPr>
            <w:rFonts w:ascii="Times New Roman" w:cs="Times New Roman" w:eastAsia="Times New Roman" w:hAnsi="Times New Roman"/>
            <w:color w:val="1155cc"/>
            <w:u w:val="single"/>
            <w:rtl w:val="0"/>
          </w:rPr>
          <w:t xml:space="preserve">https://blog.nationalarchives.gov.uk/emmeline-pankhurst-memorial/</w:t>
        </w:r>
      </w:hyperlink>
      <w:r w:rsidDel="00000000" w:rsidR="00000000" w:rsidRPr="00000000">
        <w:rPr>
          <w:rtl w:val="0"/>
        </w:rPr>
      </w:r>
    </w:p>
    <w:p w:rsidR="00000000" w:rsidDel="00000000" w:rsidP="00000000" w:rsidRDefault="00000000" w:rsidRPr="00000000" w14:paraId="0000001F">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Harrison Rodney , </w:t>
      </w:r>
      <w:r w:rsidDel="00000000" w:rsidR="00000000" w:rsidRPr="00000000">
        <w:rPr>
          <w:rFonts w:ascii="Times New Roman" w:cs="Times New Roman" w:eastAsia="Times New Roman" w:hAnsi="Times New Roman"/>
          <w:i w:val="1"/>
          <w:rtl w:val="0"/>
        </w:rPr>
        <w:t xml:space="preserve">Heritage: Critical Approaches</w:t>
      </w:r>
      <w:r w:rsidDel="00000000" w:rsidR="00000000" w:rsidRPr="00000000">
        <w:rPr>
          <w:rFonts w:ascii="Times New Roman" w:cs="Times New Roman" w:eastAsia="Times New Roman" w:hAnsi="Times New Roman"/>
          <w:rtl w:val="0"/>
        </w:rPr>
        <w:t xml:space="preserve">, (Routledge, 2013) pp.13-41</w:t>
      </w:r>
    </w:p>
    <w:p w:rsidR="00000000" w:rsidDel="00000000" w:rsidP="00000000" w:rsidRDefault="00000000" w:rsidRPr="00000000" w14:paraId="00000021">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Huxtable Dr Sally-Anne , Interim Report on the Connections between Colonialism and Properties now in the Care of the National Trust, Including Links with Historic Slavery, (National Trust, 2020)</w:t>
      </w:r>
    </w:p>
    <w:p w:rsidR="00000000" w:rsidDel="00000000" w:rsidP="00000000" w:rsidRDefault="00000000" w:rsidRPr="00000000" w14:paraId="00000023">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Lowenthal David , The Heritage Crusade and the Spoils of History (Cambridge: Cambridge University Press, 1998), p. x.</w:t>
      </w:r>
    </w:p>
    <w:p w:rsidR="00000000" w:rsidDel="00000000" w:rsidP="00000000" w:rsidRDefault="00000000" w:rsidRPr="00000000" w14:paraId="00000025">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Offen Richard , “What is Heritage?” Australian Garden History, Vol. 27, No. 3 (Australian Garden History Society Inc, 2016), pp. 13-15</w:t>
      </w:r>
    </w:p>
    <w:p w:rsidR="00000000" w:rsidDel="00000000" w:rsidP="00000000" w:rsidRDefault="00000000" w:rsidRPr="00000000" w14:paraId="00000027">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Sandis Constantine , Cultural Heritage Ethics: Between Theory and Practice, (Open Book Publishers, 2014) pp. 11-20</w:t>
      </w:r>
    </w:p>
    <w:p w:rsidR="00000000" w:rsidDel="00000000" w:rsidP="00000000" w:rsidRDefault="00000000" w:rsidRPr="00000000" w14:paraId="00000029">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Scott Alexander , '"A Permanent Civilising Effect"? The Impact of Reforming Working-Class Museum Visitors in Liverpool during the 19th Century,' in Museums and the Working Class, ed. by Adele Chynoweth (Abingdon: Routledge, 2022): 21–34.</w:t>
      </w:r>
    </w:p>
    <w:p w:rsidR="00000000" w:rsidDel="00000000" w:rsidP="00000000" w:rsidRDefault="00000000" w:rsidRPr="00000000" w14:paraId="0000002B">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Holocaust Memorial, Memorial to the Murdered Jews of Europe, (Visit Berlin) </w:t>
      </w:r>
      <w:hyperlink r:id="rId8">
        <w:r w:rsidDel="00000000" w:rsidR="00000000" w:rsidRPr="00000000">
          <w:rPr>
            <w:rFonts w:ascii="Times New Roman" w:cs="Times New Roman" w:eastAsia="Times New Roman" w:hAnsi="Times New Roman"/>
            <w:color w:val="1155cc"/>
            <w:u w:val="single"/>
            <w:rtl w:val="0"/>
          </w:rPr>
          <w:t xml:space="preserve">https://www.visitberlin.de/en/memorials-in-berlin</w:t>
        </w:r>
      </w:hyperlink>
      <w:r w:rsidDel="00000000" w:rsidR="00000000" w:rsidRPr="00000000">
        <w:rPr>
          <w:rtl w:val="0"/>
        </w:rPr>
      </w:r>
    </w:p>
    <w:p w:rsidR="00000000" w:rsidDel="00000000" w:rsidP="00000000" w:rsidRDefault="00000000" w:rsidRPr="00000000" w14:paraId="0000002D">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UNESCO, Cultural Heritage, https://en.unesco.org/fieldoffice/santiago/cultura/patrimonio</w:t>
      </w:r>
    </w:p>
    <w:p w:rsidR="00000000" w:rsidDel="00000000" w:rsidP="00000000" w:rsidRDefault="00000000" w:rsidRPr="00000000" w14:paraId="0000002F">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Waterton Emma, “Heritage as a Focus of Research: Past, Present and New Directions,” The Palgrave Handbook of Contemporary Heritage Research, (Palgrave Macmillan London, 2015) pp. 1–17 </w:t>
      </w:r>
    </w:p>
    <w:p w:rsidR="00000000" w:rsidDel="00000000" w:rsidP="00000000" w:rsidRDefault="00000000" w:rsidRPr="00000000" w14:paraId="00000031">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Wateron Emma , “Talking the talk: policy, popular and media responses to the bicentenary of the Abolition of the Slave Trade using the 'Abolition Discourse',” Discourse &amp; Society, Vol. 20, No. 3 (Sage, 2009), pp. 381-399 </w:t>
      </w:r>
    </w:p>
    <w:p w:rsidR="00000000" w:rsidDel="00000000" w:rsidP="00000000" w:rsidRDefault="00000000" w:rsidRPr="00000000" w14:paraId="00000033">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ind w:left="0" w:firstLine="0"/>
        <w:jc w:val="both"/>
        <w:rPr>
          <w:rFonts w:ascii="Times New Roman" w:cs="Times New Roman" w:eastAsia="Times New Roman" w:hAnsi="Times New Roman"/>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UNESCO, </w:t>
      </w:r>
      <w:r w:rsidDel="00000000" w:rsidR="00000000" w:rsidRPr="00000000">
        <w:rPr>
          <w:rFonts w:ascii="Times New Roman" w:cs="Times New Roman" w:eastAsia="Times New Roman" w:hAnsi="Times New Roman"/>
          <w:i w:val="1"/>
          <w:sz w:val="20"/>
          <w:szCs w:val="20"/>
          <w:rtl w:val="0"/>
        </w:rPr>
        <w:t xml:space="preserve">Cultural Heritage,</w:t>
      </w:r>
      <w:r w:rsidDel="00000000" w:rsidR="00000000" w:rsidRPr="00000000">
        <w:rPr>
          <w:rFonts w:ascii="Times New Roman" w:cs="Times New Roman" w:eastAsia="Times New Roman" w:hAnsi="Times New Roman"/>
          <w:sz w:val="20"/>
          <w:szCs w:val="20"/>
          <w:rtl w:val="0"/>
        </w:rPr>
        <w:t xml:space="preserve"> https://en.unesco.org/fieldoffice/santiago/cultura/patrimonio</w:t>
      </w:r>
    </w:p>
  </w:footnote>
  <w:footnote w:id="13">
    <w:p w:rsidR="00000000" w:rsidDel="00000000" w:rsidP="00000000" w:rsidRDefault="00000000" w:rsidRPr="00000000" w14:paraId="0000003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David Lowenthal, </w:t>
      </w:r>
      <w:r w:rsidDel="00000000" w:rsidR="00000000" w:rsidRPr="00000000">
        <w:rPr>
          <w:rFonts w:ascii="Times New Roman" w:cs="Times New Roman" w:eastAsia="Times New Roman" w:hAnsi="Times New Roman"/>
          <w:i w:val="1"/>
          <w:sz w:val="20"/>
          <w:szCs w:val="20"/>
          <w:rtl w:val="0"/>
        </w:rPr>
        <w:t xml:space="preserve">The Heritage Crusade and the Spoils of History</w:t>
      </w:r>
      <w:r w:rsidDel="00000000" w:rsidR="00000000" w:rsidRPr="00000000">
        <w:rPr>
          <w:rFonts w:ascii="Times New Roman" w:cs="Times New Roman" w:eastAsia="Times New Roman" w:hAnsi="Times New Roman"/>
          <w:sz w:val="20"/>
          <w:szCs w:val="20"/>
          <w:rtl w:val="0"/>
        </w:rPr>
        <w:t xml:space="preserve"> (Cambridge: Cambridge University Press, 1998), p. x.</w:t>
      </w:r>
    </w:p>
  </w:footnote>
  <w:footnote w:id="14">
    <w:p w:rsidR="00000000" w:rsidDel="00000000" w:rsidP="00000000" w:rsidRDefault="00000000" w:rsidRPr="00000000" w14:paraId="0000003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Stephen Franklin, </w:t>
      </w:r>
      <w:r w:rsidDel="00000000" w:rsidR="00000000" w:rsidRPr="00000000">
        <w:rPr>
          <w:rFonts w:ascii="Times New Roman" w:cs="Times New Roman" w:eastAsia="Times New Roman" w:hAnsi="Times New Roman"/>
          <w:i w:val="1"/>
          <w:sz w:val="20"/>
          <w:szCs w:val="20"/>
          <w:rtl w:val="0"/>
        </w:rPr>
        <w:t xml:space="preserve">Emmeline Pankhurst memorial</w:t>
      </w:r>
      <w:r w:rsidDel="00000000" w:rsidR="00000000" w:rsidRPr="00000000">
        <w:rPr>
          <w:rFonts w:ascii="Times New Roman" w:cs="Times New Roman" w:eastAsia="Times New Roman" w:hAnsi="Times New Roman"/>
          <w:sz w:val="20"/>
          <w:szCs w:val="20"/>
          <w:rtl w:val="0"/>
        </w:rPr>
        <w:t xml:space="preserve">, (The National Archives Blog, 2018) https://blog.nationalarchives.gov.uk/emmeline-pankhurst-memorial/</w:t>
      </w:r>
    </w:p>
  </w:footnote>
  <w:footnote w:id="2">
    <w:p w:rsidR="00000000" w:rsidDel="00000000" w:rsidP="00000000" w:rsidRDefault="00000000" w:rsidRPr="00000000" w14:paraId="0000004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Richard Offen, “What is Heritage?”</w:t>
      </w:r>
      <w:r w:rsidDel="00000000" w:rsidR="00000000" w:rsidRPr="00000000">
        <w:rPr>
          <w:rFonts w:ascii="Times New Roman" w:cs="Times New Roman" w:eastAsia="Times New Roman" w:hAnsi="Times New Roman"/>
          <w:i w:val="1"/>
          <w:sz w:val="20"/>
          <w:szCs w:val="20"/>
          <w:rtl w:val="0"/>
        </w:rPr>
        <w:t xml:space="preserve"> Australian Garden History, Vol. 27, No. 3</w:t>
      </w:r>
      <w:r w:rsidDel="00000000" w:rsidR="00000000" w:rsidRPr="00000000">
        <w:rPr>
          <w:rFonts w:ascii="Times New Roman" w:cs="Times New Roman" w:eastAsia="Times New Roman" w:hAnsi="Times New Roman"/>
          <w:sz w:val="20"/>
          <w:szCs w:val="20"/>
          <w:rtl w:val="0"/>
        </w:rPr>
        <w:t xml:space="preserve"> (Australian Garden History Society Inc, 2016), pp. 13-15</w:t>
      </w:r>
    </w:p>
  </w:footnote>
  <w:footnote w:id="7">
    <w:p w:rsidR="00000000" w:rsidDel="00000000" w:rsidP="00000000" w:rsidRDefault="00000000" w:rsidRPr="00000000" w14:paraId="0000004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Dr Sally-Anne Huxtable, </w:t>
      </w:r>
      <w:r w:rsidDel="00000000" w:rsidR="00000000" w:rsidRPr="00000000">
        <w:rPr>
          <w:rFonts w:ascii="Times New Roman" w:cs="Times New Roman" w:eastAsia="Times New Roman" w:hAnsi="Times New Roman"/>
          <w:i w:val="1"/>
          <w:sz w:val="20"/>
          <w:szCs w:val="20"/>
          <w:rtl w:val="0"/>
        </w:rPr>
        <w:t xml:space="preserve">Interim Report on the Connections between Colonialism and Properties now in the Care of the National Trust, Including Links with Historic Slavery,</w:t>
      </w:r>
      <w:r w:rsidDel="00000000" w:rsidR="00000000" w:rsidRPr="00000000">
        <w:rPr>
          <w:rFonts w:ascii="Times New Roman" w:cs="Times New Roman" w:eastAsia="Times New Roman" w:hAnsi="Times New Roman"/>
          <w:sz w:val="20"/>
          <w:szCs w:val="20"/>
          <w:rtl w:val="0"/>
        </w:rPr>
        <w:t xml:space="preserve"> (National Trust, 2020)</w:t>
      </w:r>
    </w:p>
  </w:footnote>
  <w:footnote w:id="8">
    <w:p w:rsidR="00000000" w:rsidDel="00000000" w:rsidP="00000000" w:rsidRDefault="00000000" w:rsidRPr="00000000" w14:paraId="0000004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Dr Sally-Anne Huxtable,</w:t>
      </w:r>
      <w:r w:rsidDel="00000000" w:rsidR="00000000" w:rsidRPr="00000000">
        <w:rPr>
          <w:rFonts w:ascii="Times New Roman" w:cs="Times New Roman" w:eastAsia="Times New Roman" w:hAnsi="Times New Roman"/>
          <w:i w:val="1"/>
          <w:sz w:val="20"/>
          <w:szCs w:val="20"/>
          <w:rtl w:val="0"/>
        </w:rPr>
        <w:t xml:space="preserve"> Interim Report on the Connections between Colonialism and Properties now in the Care of the National Trust, Including Links with Historic Slavery</w:t>
      </w:r>
      <w:r w:rsidDel="00000000" w:rsidR="00000000" w:rsidRPr="00000000">
        <w:rPr>
          <w:rFonts w:ascii="Times New Roman" w:cs="Times New Roman" w:eastAsia="Times New Roman" w:hAnsi="Times New Roman"/>
          <w:sz w:val="20"/>
          <w:szCs w:val="20"/>
          <w:rtl w:val="0"/>
        </w:rPr>
        <w:t xml:space="preserve">, (National Trust, 2020)</w:t>
      </w:r>
    </w:p>
  </w:footnote>
  <w:footnote w:id="5">
    <w:p w:rsidR="00000000" w:rsidDel="00000000" w:rsidP="00000000" w:rsidRDefault="00000000" w:rsidRPr="00000000" w14:paraId="0000004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Constantine Sandis, </w:t>
      </w:r>
      <w:r w:rsidDel="00000000" w:rsidR="00000000" w:rsidRPr="00000000">
        <w:rPr>
          <w:rFonts w:ascii="Times New Roman" w:cs="Times New Roman" w:eastAsia="Times New Roman" w:hAnsi="Times New Roman"/>
          <w:i w:val="1"/>
          <w:sz w:val="20"/>
          <w:szCs w:val="20"/>
          <w:rtl w:val="0"/>
        </w:rPr>
        <w:t xml:space="preserve">Cultural Heritage Ethics: Between Theory and Practice</w:t>
      </w:r>
      <w:r w:rsidDel="00000000" w:rsidR="00000000" w:rsidRPr="00000000">
        <w:rPr>
          <w:rFonts w:ascii="Times New Roman" w:cs="Times New Roman" w:eastAsia="Times New Roman" w:hAnsi="Times New Roman"/>
          <w:sz w:val="20"/>
          <w:szCs w:val="20"/>
          <w:rtl w:val="0"/>
        </w:rPr>
        <w:t xml:space="preserve">, (Open Book Publishers, 2014) pp. 11-20</w:t>
      </w:r>
    </w:p>
  </w:footnote>
  <w:footnote w:id="10">
    <w:p w:rsidR="00000000" w:rsidDel="00000000" w:rsidP="00000000" w:rsidRDefault="00000000" w:rsidRPr="00000000" w14:paraId="0000004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Constantine Sandis, </w:t>
      </w:r>
      <w:r w:rsidDel="00000000" w:rsidR="00000000" w:rsidRPr="00000000">
        <w:rPr>
          <w:rFonts w:ascii="Times New Roman" w:cs="Times New Roman" w:eastAsia="Times New Roman" w:hAnsi="Times New Roman"/>
          <w:i w:val="1"/>
          <w:sz w:val="20"/>
          <w:szCs w:val="20"/>
          <w:rtl w:val="0"/>
        </w:rPr>
        <w:t xml:space="preserve">Cultural Heritage Ethics: Between Theory and Practice</w:t>
      </w:r>
      <w:r w:rsidDel="00000000" w:rsidR="00000000" w:rsidRPr="00000000">
        <w:rPr>
          <w:rFonts w:ascii="Times New Roman" w:cs="Times New Roman" w:eastAsia="Times New Roman" w:hAnsi="Times New Roman"/>
          <w:sz w:val="20"/>
          <w:szCs w:val="20"/>
          <w:rtl w:val="0"/>
        </w:rPr>
        <w:t xml:space="preserve">, (Open Book Publishers, 2014) pp. 11-20</w:t>
      </w:r>
    </w:p>
  </w:footnote>
  <w:footnote w:id="9">
    <w:p w:rsidR="00000000" w:rsidDel="00000000" w:rsidP="00000000" w:rsidRDefault="00000000" w:rsidRPr="00000000" w14:paraId="0000004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Evette Champion, </w:t>
      </w:r>
      <w:r w:rsidDel="00000000" w:rsidR="00000000" w:rsidRPr="00000000">
        <w:rPr>
          <w:rFonts w:ascii="Times New Roman" w:cs="Times New Roman" w:eastAsia="Times New Roman" w:hAnsi="Times New Roman"/>
          <w:i w:val="1"/>
          <w:sz w:val="20"/>
          <w:szCs w:val="20"/>
          <w:rtl w:val="0"/>
        </w:rPr>
        <w:t xml:space="preserve">Artist Arrested for Sculpting a Memorial Depicting the Rape of Women by Red Army Soldiers, </w:t>
      </w:r>
      <w:r w:rsidDel="00000000" w:rsidR="00000000" w:rsidRPr="00000000">
        <w:rPr>
          <w:rFonts w:ascii="Times New Roman" w:cs="Times New Roman" w:eastAsia="Times New Roman" w:hAnsi="Times New Roman"/>
          <w:sz w:val="20"/>
          <w:szCs w:val="20"/>
          <w:rtl w:val="0"/>
        </w:rPr>
        <w:t xml:space="preserve">(War History Online, 2013) https://www.warhistoryonline.com/war-articles/artist-arrested-sculpting-memorial-depicting-rape-women-red-army-soldiers.html?chrome=1&amp;A1c=1</w:t>
      </w:r>
    </w:p>
  </w:footnote>
  <w:footnote w:id="12">
    <w:p w:rsidR="00000000" w:rsidDel="00000000" w:rsidP="00000000" w:rsidRDefault="00000000" w:rsidRPr="00000000" w14:paraId="0000004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David Lowenthal, </w:t>
      </w:r>
      <w:r w:rsidDel="00000000" w:rsidR="00000000" w:rsidRPr="00000000">
        <w:rPr>
          <w:rFonts w:ascii="Times New Roman" w:cs="Times New Roman" w:eastAsia="Times New Roman" w:hAnsi="Times New Roman"/>
          <w:i w:val="1"/>
          <w:sz w:val="20"/>
          <w:szCs w:val="20"/>
          <w:rtl w:val="0"/>
        </w:rPr>
        <w:t xml:space="preserve">The Heritage Crusade and the Spoils of History</w:t>
      </w:r>
      <w:r w:rsidDel="00000000" w:rsidR="00000000" w:rsidRPr="00000000">
        <w:rPr>
          <w:rFonts w:ascii="Times New Roman" w:cs="Times New Roman" w:eastAsia="Times New Roman" w:hAnsi="Times New Roman"/>
          <w:sz w:val="20"/>
          <w:szCs w:val="20"/>
          <w:rtl w:val="0"/>
        </w:rPr>
        <w:t xml:space="preserve"> (Cambridge: Cambridge University Press, 1998), p. x.</w:t>
      </w:r>
    </w:p>
  </w:footnote>
  <w:footnote w:id="15">
    <w:p w:rsidR="00000000" w:rsidDel="00000000" w:rsidP="00000000" w:rsidRDefault="00000000" w:rsidRPr="00000000" w14:paraId="0000004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Emma Waterton, “Heritage as a Focus of Research: Past, Present and New Directions,” </w:t>
      </w:r>
      <w:hyperlink r:id="rId1">
        <w:r w:rsidDel="00000000" w:rsidR="00000000" w:rsidRPr="00000000">
          <w:rPr>
            <w:rFonts w:ascii="Times New Roman" w:cs="Times New Roman" w:eastAsia="Times New Roman" w:hAnsi="Times New Roman"/>
            <w:i w:val="1"/>
            <w:sz w:val="20"/>
            <w:szCs w:val="20"/>
            <w:rtl w:val="0"/>
          </w:rPr>
          <w:t xml:space="preserve">The Palgrave Handbook of Contemporary Heritage Research</w:t>
        </w:r>
      </w:hyperlink>
      <w:r w:rsidDel="00000000" w:rsidR="00000000" w:rsidRPr="00000000">
        <w:rPr>
          <w:rFonts w:ascii="Times New Roman" w:cs="Times New Roman" w:eastAsia="Times New Roman" w:hAnsi="Times New Roman"/>
          <w:sz w:val="20"/>
          <w:szCs w:val="20"/>
          <w:rtl w:val="0"/>
        </w:rPr>
        <w:t xml:space="preserve">, (Palgrave Macmillan London, 2015) pp. 1–17</w:t>
      </w:r>
      <w:r w:rsidDel="00000000" w:rsidR="00000000" w:rsidRPr="00000000">
        <w:rPr>
          <w:rFonts w:ascii="Times New Roman" w:cs="Times New Roman" w:eastAsia="Times New Roman" w:hAnsi="Times New Roman"/>
          <w:sz w:val="20"/>
          <w:szCs w:val="20"/>
          <w:rtl w:val="0"/>
        </w:rPr>
        <w:t xml:space="preserve"> </w:t>
      </w:r>
    </w:p>
  </w:footnote>
  <w:footnote w:id="16">
    <w:p w:rsidR="00000000" w:rsidDel="00000000" w:rsidP="00000000" w:rsidRDefault="00000000" w:rsidRPr="00000000" w14:paraId="0000004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Veysel Apaydin, “Introduction: why cultural memory and heritage?” </w:t>
      </w:r>
      <w:r w:rsidDel="00000000" w:rsidR="00000000" w:rsidRPr="00000000">
        <w:rPr>
          <w:rFonts w:ascii="Times New Roman" w:cs="Times New Roman" w:eastAsia="Times New Roman" w:hAnsi="Times New Roman"/>
          <w:i w:val="1"/>
          <w:sz w:val="20"/>
          <w:szCs w:val="20"/>
          <w:rtl w:val="0"/>
        </w:rPr>
        <w:t xml:space="preserve">Critical Perspectives on Cultural Memory and Heritage: Construction, Transformation and Destruction</w:t>
      </w:r>
      <w:r w:rsidDel="00000000" w:rsidR="00000000" w:rsidRPr="00000000">
        <w:rPr>
          <w:rFonts w:ascii="Times New Roman" w:cs="Times New Roman" w:eastAsia="Times New Roman" w:hAnsi="Times New Roman"/>
          <w:sz w:val="20"/>
          <w:szCs w:val="20"/>
          <w:rtl w:val="0"/>
        </w:rPr>
        <w:t xml:space="preserve"> (UCL Press, 2020)</w:t>
      </w:r>
    </w:p>
  </w:footnote>
  <w:footnote w:id="6">
    <w:p w:rsidR="00000000" w:rsidDel="00000000" w:rsidP="00000000" w:rsidRDefault="00000000" w:rsidRPr="00000000" w14:paraId="0000004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Alexander Scott, '</w:t>
      </w:r>
      <w:r w:rsidDel="00000000" w:rsidR="00000000" w:rsidRPr="00000000">
        <w:rPr>
          <w:rFonts w:ascii="Times New Roman" w:cs="Times New Roman" w:eastAsia="Times New Roman" w:hAnsi="Times New Roman"/>
          <w:i w:val="1"/>
          <w:sz w:val="20"/>
          <w:szCs w:val="20"/>
          <w:rtl w:val="0"/>
        </w:rPr>
        <w:t xml:space="preserve">"A Permanent Civilising Effect"? The Impact of Reforming Working-Class Museum Visitors in Liverpool during the 19th Century,' in Museums and the Working Class</w:t>
      </w:r>
      <w:r w:rsidDel="00000000" w:rsidR="00000000" w:rsidRPr="00000000">
        <w:rPr>
          <w:rFonts w:ascii="Times New Roman" w:cs="Times New Roman" w:eastAsia="Times New Roman" w:hAnsi="Times New Roman"/>
          <w:sz w:val="20"/>
          <w:szCs w:val="20"/>
          <w:rtl w:val="0"/>
        </w:rPr>
        <w:t xml:space="preserve">, ed. by Adele Chynoweth (Abingdon: Routledge, 2022): 21–34.</w:t>
      </w:r>
    </w:p>
  </w:footnote>
  <w:footnote w:id="3">
    <w:p w:rsidR="00000000" w:rsidDel="00000000" w:rsidP="00000000" w:rsidRDefault="00000000" w:rsidRPr="00000000" w14:paraId="0000004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Emma Wateron, “Talking the talk: policy, popular and media responses to the bicentenary of the Abolition of the Slave Trade using the 'Abolition Discourse',” </w:t>
      </w:r>
      <w:r w:rsidDel="00000000" w:rsidR="00000000" w:rsidRPr="00000000">
        <w:rPr>
          <w:rFonts w:ascii="Times New Roman" w:cs="Times New Roman" w:eastAsia="Times New Roman" w:hAnsi="Times New Roman"/>
          <w:i w:val="1"/>
          <w:sz w:val="20"/>
          <w:szCs w:val="20"/>
          <w:rtl w:val="0"/>
        </w:rPr>
        <w:t xml:space="preserve">Discourse &amp; Society, Vol. 20, No. 3</w:t>
      </w:r>
      <w:r w:rsidDel="00000000" w:rsidR="00000000" w:rsidRPr="00000000">
        <w:rPr>
          <w:rFonts w:ascii="Times New Roman" w:cs="Times New Roman" w:eastAsia="Times New Roman" w:hAnsi="Times New Roman"/>
          <w:sz w:val="20"/>
          <w:szCs w:val="20"/>
          <w:rtl w:val="0"/>
        </w:rPr>
        <w:t xml:space="preserve"> (Sage, 2009), pp. 381-399 </w:t>
      </w:r>
    </w:p>
  </w:footnote>
  <w:footnote w:id="4">
    <w:p w:rsidR="00000000" w:rsidDel="00000000" w:rsidP="00000000" w:rsidRDefault="00000000" w:rsidRPr="00000000" w14:paraId="0000004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Emma Wateron, “Talking the talk: policy, popular and media responses to the bicentenary of the Abolition of the Slave Trade using the 'Abolition Discourse',” </w:t>
      </w:r>
      <w:r w:rsidDel="00000000" w:rsidR="00000000" w:rsidRPr="00000000">
        <w:rPr>
          <w:rFonts w:ascii="Times New Roman" w:cs="Times New Roman" w:eastAsia="Times New Roman" w:hAnsi="Times New Roman"/>
          <w:i w:val="1"/>
          <w:sz w:val="20"/>
          <w:szCs w:val="20"/>
          <w:rtl w:val="0"/>
        </w:rPr>
        <w:t xml:space="preserve">Discourse &amp; Society, Vol. 20, No. 3</w:t>
      </w:r>
      <w:r w:rsidDel="00000000" w:rsidR="00000000" w:rsidRPr="00000000">
        <w:rPr>
          <w:rFonts w:ascii="Times New Roman" w:cs="Times New Roman" w:eastAsia="Times New Roman" w:hAnsi="Times New Roman"/>
          <w:sz w:val="20"/>
          <w:szCs w:val="20"/>
          <w:rtl w:val="0"/>
        </w:rPr>
        <w:t xml:space="preserve"> (Sage, 2009), pp. 381-399 </w:t>
      </w:r>
    </w:p>
  </w:footnote>
  <w:footnote w:id="0">
    <w:p w:rsidR="00000000" w:rsidDel="00000000" w:rsidP="00000000" w:rsidRDefault="00000000" w:rsidRPr="00000000" w14:paraId="0000004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Rodney Harrison,</w:t>
      </w:r>
      <w:r w:rsidDel="00000000" w:rsidR="00000000" w:rsidRPr="00000000">
        <w:rPr>
          <w:rFonts w:ascii="Times New Roman" w:cs="Times New Roman" w:eastAsia="Times New Roman" w:hAnsi="Times New Roman"/>
          <w:i w:val="1"/>
          <w:sz w:val="20"/>
          <w:szCs w:val="20"/>
          <w:rtl w:val="0"/>
        </w:rPr>
        <w:t xml:space="preserve"> Heritage: Critical Approaches,</w:t>
      </w:r>
      <w:r w:rsidDel="00000000" w:rsidR="00000000" w:rsidRPr="00000000">
        <w:rPr>
          <w:rFonts w:ascii="Times New Roman" w:cs="Times New Roman" w:eastAsia="Times New Roman" w:hAnsi="Times New Roman"/>
          <w:sz w:val="20"/>
          <w:szCs w:val="20"/>
          <w:rtl w:val="0"/>
        </w:rPr>
        <w:t xml:space="preserve"> (Routledge, 2013) pp.13-41</w:t>
      </w:r>
    </w:p>
  </w:footnote>
  <w:footnote w:id="11">
    <w:p w:rsidR="00000000" w:rsidDel="00000000" w:rsidP="00000000" w:rsidRDefault="00000000" w:rsidRPr="00000000" w14:paraId="0000004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The Holocaust Memorial, </w:t>
      </w:r>
      <w:r w:rsidDel="00000000" w:rsidR="00000000" w:rsidRPr="00000000">
        <w:rPr>
          <w:rFonts w:ascii="Times New Roman" w:cs="Times New Roman" w:eastAsia="Times New Roman" w:hAnsi="Times New Roman"/>
          <w:i w:val="1"/>
          <w:sz w:val="20"/>
          <w:szCs w:val="20"/>
          <w:rtl w:val="0"/>
        </w:rPr>
        <w:t xml:space="preserve">Memorial to the Murdered Jews of Europe</w:t>
      </w:r>
      <w:r w:rsidDel="00000000" w:rsidR="00000000" w:rsidRPr="00000000">
        <w:rPr>
          <w:rFonts w:ascii="Times New Roman" w:cs="Times New Roman" w:eastAsia="Times New Roman" w:hAnsi="Times New Roman"/>
          <w:sz w:val="20"/>
          <w:szCs w:val="20"/>
          <w:rtl w:val="0"/>
        </w:rPr>
        <w:t xml:space="preserve">, (Visit Berlin) https://www.visitberlin.de/en/memorials-in-berlin</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Heritage in the Political World: Communities and Comparative Aspects</w:t>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Dr Janek Gryta</w:t>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Word Count:</w:t>
    </w:r>
    <w:r w:rsidDel="00000000" w:rsidR="00000000" w:rsidRPr="00000000">
      <w:rPr>
        <w:rFonts w:ascii="Times New Roman" w:cs="Times New Roman" w:eastAsia="Times New Roman" w:hAnsi="Times New Roman"/>
        <w:rtl w:val="0"/>
      </w:rPr>
      <w:t xml:space="preserve"> 2162 words</w:t>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blog.nationalarchives.gov.uk/emmeline-pankhurst-memorial/" TargetMode="External"/><Relationship Id="rId8" Type="http://schemas.openxmlformats.org/officeDocument/2006/relationships/hyperlink" Target="https://www.visitberlin.de/en/memorials-in-berli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link.springer.com/book/10.1057/9781137293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