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91308" w14:textId="2B3B6D6F" w:rsidR="006C3B78" w:rsidRPr="006C3B78" w:rsidRDefault="006C3B78" w:rsidP="006C3B78">
      <w:pPr>
        <w:jc w:val="center"/>
        <w:rPr>
          <w:rFonts w:eastAsia="Times New Roman" w:cstheme="minorHAnsi"/>
          <w:kern w:val="0"/>
          <w:sz w:val="28"/>
          <w:szCs w:val="28"/>
          <w:u w:val="single"/>
          <w:lang w:eastAsia="en-GB"/>
          <w14:ligatures w14:val="none"/>
        </w:rPr>
      </w:pPr>
      <w:r w:rsidRPr="006C3B78">
        <w:rPr>
          <w:rFonts w:eastAsia="Times New Roman" w:cstheme="minorHAnsi"/>
          <w:kern w:val="0"/>
          <w:sz w:val="28"/>
          <w:szCs w:val="28"/>
          <w:u w:val="single"/>
          <w:lang w:eastAsia="en-GB"/>
          <w14:ligatures w14:val="none"/>
        </w:rPr>
        <w:t xml:space="preserve">How </w:t>
      </w:r>
      <w:r w:rsidR="00604E8A">
        <w:rPr>
          <w:rFonts w:eastAsia="Times New Roman" w:cstheme="minorHAnsi"/>
          <w:kern w:val="0"/>
          <w:sz w:val="28"/>
          <w:szCs w:val="28"/>
          <w:u w:val="single"/>
          <w:lang w:eastAsia="en-GB"/>
          <w14:ligatures w14:val="none"/>
        </w:rPr>
        <w:t>M</w:t>
      </w:r>
      <w:r w:rsidRPr="006C3B78">
        <w:rPr>
          <w:rFonts w:eastAsia="Times New Roman" w:cstheme="minorHAnsi"/>
          <w:kern w:val="0"/>
          <w:sz w:val="28"/>
          <w:szCs w:val="28"/>
          <w:u w:val="single"/>
          <w:lang w:eastAsia="en-GB"/>
          <w14:ligatures w14:val="none"/>
        </w:rPr>
        <w:t xml:space="preserve">uch </w:t>
      </w:r>
      <w:r w:rsidR="00604E8A">
        <w:rPr>
          <w:rFonts w:eastAsia="Times New Roman" w:cstheme="minorHAnsi"/>
          <w:kern w:val="0"/>
          <w:sz w:val="28"/>
          <w:szCs w:val="28"/>
          <w:u w:val="single"/>
          <w:lang w:eastAsia="en-GB"/>
          <w14:ligatures w14:val="none"/>
        </w:rPr>
        <w:t>A</w:t>
      </w:r>
      <w:r w:rsidRPr="006C3B78">
        <w:rPr>
          <w:rFonts w:eastAsia="Times New Roman" w:cstheme="minorHAnsi"/>
          <w:kern w:val="0"/>
          <w:sz w:val="28"/>
          <w:szCs w:val="28"/>
          <w:u w:val="single"/>
          <w:lang w:eastAsia="en-GB"/>
          <w14:ligatures w14:val="none"/>
        </w:rPr>
        <w:t xml:space="preserve">gency </w:t>
      </w:r>
      <w:r w:rsidR="00604E8A">
        <w:rPr>
          <w:rFonts w:eastAsia="Times New Roman" w:cstheme="minorHAnsi"/>
          <w:kern w:val="0"/>
          <w:sz w:val="28"/>
          <w:szCs w:val="28"/>
          <w:u w:val="single"/>
          <w:lang w:eastAsia="en-GB"/>
          <w14:ligatures w14:val="none"/>
        </w:rPr>
        <w:t>D</w:t>
      </w:r>
      <w:r w:rsidRPr="006C3B78">
        <w:rPr>
          <w:rFonts w:eastAsia="Times New Roman" w:cstheme="minorHAnsi"/>
          <w:kern w:val="0"/>
          <w:sz w:val="28"/>
          <w:szCs w:val="28"/>
          <w:u w:val="single"/>
          <w:lang w:eastAsia="en-GB"/>
          <w14:ligatures w14:val="none"/>
        </w:rPr>
        <w:t xml:space="preserve">id </w:t>
      </w:r>
      <w:r w:rsidR="00604E8A">
        <w:rPr>
          <w:rFonts w:eastAsia="Times New Roman" w:cstheme="minorHAnsi"/>
          <w:kern w:val="0"/>
          <w:sz w:val="28"/>
          <w:szCs w:val="28"/>
          <w:u w:val="single"/>
          <w:lang w:eastAsia="en-GB"/>
          <w14:ligatures w14:val="none"/>
        </w:rPr>
        <w:t>W</w:t>
      </w:r>
      <w:r w:rsidRPr="006C3B78">
        <w:rPr>
          <w:rFonts w:eastAsia="Times New Roman" w:cstheme="minorHAnsi"/>
          <w:kern w:val="0"/>
          <w:sz w:val="28"/>
          <w:szCs w:val="28"/>
          <w:u w:val="single"/>
          <w:lang w:eastAsia="en-GB"/>
          <w14:ligatures w14:val="none"/>
        </w:rPr>
        <w:t xml:space="preserve">omen </w:t>
      </w:r>
      <w:r w:rsidR="00604E8A">
        <w:rPr>
          <w:rFonts w:eastAsia="Times New Roman" w:cstheme="minorHAnsi"/>
          <w:kern w:val="0"/>
          <w:sz w:val="28"/>
          <w:szCs w:val="28"/>
          <w:u w:val="single"/>
          <w:lang w:eastAsia="en-GB"/>
          <w14:ligatures w14:val="none"/>
        </w:rPr>
        <w:t>H</w:t>
      </w:r>
      <w:r w:rsidRPr="006C3B78">
        <w:rPr>
          <w:rFonts w:eastAsia="Times New Roman" w:cstheme="minorHAnsi"/>
          <w:kern w:val="0"/>
          <w:sz w:val="28"/>
          <w:szCs w:val="28"/>
          <w:u w:val="single"/>
          <w:lang w:eastAsia="en-GB"/>
          <w14:ligatures w14:val="none"/>
        </w:rPr>
        <w:t>ave?</w:t>
      </w:r>
    </w:p>
    <w:p w14:paraId="02939384" w14:textId="77777777" w:rsidR="006C3B78" w:rsidRDefault="006C3B78" w:rsidP="006C3B78">
      <w:pPr>
        <w:rPr>
          <w:rFonts w:eastAsia="Times New Roman" w:cstheme="minorHAnsi"/>
          <w:kern w:val="0"/>
          <w:sz w:val="24"/>
          <w:szCs w:val="24"/>
          <w:lang w:eastAsia="en-GB"/>
          <w14:ligatures w14:val="none"/>
        </w:rPr>
      </w:pPr>
    </w:p>
    <w:p w14:paraId="4044A5BD" w14:textId="16C11ECA" w:rsid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The period known as the Middle Ages, which began in the 5th century and lasted until the late 15th century, was a time when significant societal, political, and cultural shifts occurred. The investigation into the roles that women play and the agency that they possess is one of the most fascinating aspects of this era. In the context of this historical account, agency refers to the capacity of women to act autonomously, to make their own free decisions, and to exert an influence on the happenings of society, despite the fact that they do so while existing within a framework of significant societal constraints. Not only is it important to understand the contributions and experiences of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but it is also important to challenge the often oversimplified and one-dimensional portrayal of women throughout history as entirely passive and subjugated figures. This can be accomplished by examining the agency of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Within the context of the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era, the purpose of this essay is to investigate the complex and nuanced nature of the agency that was held by women during that time. It will emphasise their roles, accomplishments, and the formidable obstacles they had to overcome while operating in a society that was predominately patriarchal. This investigation is essential for gaining a complete comprehension not only of the </w:t>
      </w:r>
      <w:proofErr w:type="gramStart"/>
      <w:r w:rsidRPr="006C3B78">
        <w:rPr>
          <w:rFonts w:eastAsia="Times New Roman" w:cstheme="minorHAnsi"/>
          <w:kern w:val="0"/>
          <w:sz w:val="24"/>
          <w:szCs w:val="24"/>
          <w:lang w:eastAsia="en-GB"/>
          <w14:ligatures w14:val="none"/>
        </w:rPr>
        <w:t>time period</w:t>
      </w:r>
      <w:proofErr w:type="gramEnd"/>
      <w:r w:rsidRPr="006C3B78">
        <w:rPr>
          <w:rFonts w:eastAsia="Times New Roman" w:cstheme="minorHAnsi"/>
          <w:kern w:val="0"/>
          <w:sz w:val="24"/>
          <w:szCs w:val="24"/>
          <w:lang w:eastAsia="en-GB"/>
          <w14:ligatures w14:val="none"/>
        </w:rPr>
        <w:t xml:space="preserve"> known as the </w:t>
      </w:r>
      <w:r>
        <w:rPr>
          <w:rFonts w:eastAsia="Times New Roman" w:cstheme="minorHAnsi"/>
          <w:kern w:val="0"/>
          <w:sz w:val="24"/>
          <w:szCs w:val="24"/>
          <w:lang w:eastAsia="en-GB"/>
          <w14:ligatures w14:val="none"/>
        </w:rPr>
        <w:t>Middle Ages</w:t>
      </w:r>
      <w:r w:rsidRPr="006C3B78">
        <w:rPr>
          <w:rFonts w:eastAsia="Times New Roman" w:cstheme="minorHAnsi"/>
          <w:kern w:val="0"/>
          <w:sz w:val="24"/>
          <w:szCs w:val="24"/>
          <w:lang w:eastAsia="en-GB"/>
          <w14:ligatures w14:val="none"/>
        </w:rPr>
        <w:t xml:space="preserve"> but also of the development of women's roles throughout the course of history</w:t>
      </w:r>
      <w:r w:rsidR="00AF1E75">
        <w:rPr>
          <w:rFonts w:eastAsia="Times New Roman" w:cstheme="minorHAnsi"/>
          <w:kern w:val="0"/>
          <w:sz w:val="24"/>
          <w:szCs w:val="24"/>
          <w:lang w:eastAsia="en-GB"/>
          <w14:ligatures w14:val="none"/>
        </w:rPr>
        <w:t>.</w:t>
      </w:r>
      <w:r w:rsidR="00AF1E75">
        <w:rPr>
          <w:rFonts w:eastAsia="Times New Roman" w:cstheme="minorHAnsi"/>
          <w:kern w:val="0"/>
          <w:sz w:val="24"/>
          <w:szCs w:val="24"/>
          <w:lang w:eastAsia="en-GB"/>
          <w14:ligatures w14:val="none"/>
        </w:rPr>
        <w:t xml:space="preserve"> </w:t>
      </w:r>
    </w:p>
    <w:p w14:paraId="2691BBA4" w14:textId="77777777" w:rsidR="006C3B78" w:rsidRPr="006C3B78" w:rsidRDefault="006C3B78" w:rsidP="006C3B78">
      <w:pPr>
        <w:rPr>
          <w:rFonts w:eastAsia="Times New Roman" w:cstheme="minorHAnsi"/>
          <w:kern w:val="0"/>
          <w:sz w:val="24"/>
          <w:szCs w:val="24"/>
          <w:lang w:eastAsia="en-GB"/>
          <w14:ligatures w14:val="none"/>
        </w:rPr>
      </w:pPr>
    </w:p>
    <w:p w14:paraId="12E2024A" w14:textId="2E99C180" w:rsid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During the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period, patriarchal norms, religious doctrines, and the feudal social structure all had a significant impact on the social status of women as well as the roles that they were expected to play in society. In most cultures, men were seen as superior to women, and women's roles were primarily relegated to the home, where they were expected to </w:t>
      </w:r>
      <w:r>
        <w:rPr>
          <w:rFonts w:eastAsia="Times New Roman" w:cstheme="minorHAnsi"/>
          <w:kern w:val="0"/>
          <w:sz w:val="24"/>
          <w:szCs w:val="24"/>
          <w:lang w:eastAsia="en-GB"/>
          <w14:ligatures w14:val="none"/>
        </w:rPr>
        <w:t>fulfil</w:t>
      </w:r>
      <w:r w:rsidRPr="006C3B78">
        <w:rPr>
          <w:rFonts w:eastAsia="Times New Roman" w:cstheme="minorHAnsi"/>
          <w:kern w:val="0"/>
          <w:sz w:val="24"/>
          <w:szCs w:val="24"/>
          <w:lang w:eastAsia="en-GB"/>
          <w14:ligatures w14:val="none"/>
        </w:rPr>
        <w:t xml:space="preserve"> the responsibilities of wives, mothers, and carers. This perception was not only accepted as the standard in society, but it was also frequently written into law. For instance, in many regions of Europe, women were subject to the legal authority of their fathers or husbands. This meant that their rights to own or inherit property were severely restricted.</w:t>
      </w:r>
      <w:r w:rsidR="00AF1E75">
        <w:rPr>
          <w:rFonts w:eastAsia="Times New Roman" w:cstheme="minorHAnsi"/>
          <w:kern w:val="0"/>
          <w:sz w:val="24"/>
          <w:szCs w:val="24"/>
          <w:lang w:eastAsia="en-GB"/>
          <w14:ligatures w14:val="none"/>
        </w:rPr>
        <w:t xml:space="preserve"> The feudal system did not leave much individual choice for women in the later medieval period.</w:t>
      </w:r>
      <w:r w:rsidR="00362C33">
        <w:rPr>
          <w:rFonts w:eastAsia="Times New Roman" w:cstheme="minorHAnsi"/>
          <w:kern w:val="0"/>
          <w:sz w:val="24"/>
          <w:szCs w:val="24"/>
          <w:lang w:eastAsia="en-GB"/>
          <w14:ligatures w14:val="none"/>
        </w:rPr>
        <w:t xml:space="preserve"> </w:t>
      </w:r>
      <w:r w:rsidR="00362C33">
        <w:rPr>
          <w:rStyle w:val="FootnoteReference"/>
          <w:rFonts w:eastAsia="Times New Roman" w:cstheme="minorHAnsi"/>
          <w:kern w:val="0"/>
          <w:sz w:val="24"/>
          <w:szCs w:val="24"/>
          <w:lang w:eastAsia="en-GB"/>
          <w14:ligatures w14:val="none"/>
        </w:rPr>
        <w:footnoteReference w:id="1"/>
      </w:r>
    </w:p>
    <w:p w14:paraId="2D73AB87" w14:textId="77777777" w:rsidR="006B0811" w:rsidRPr="006C3B78" w:rsidRDefault="006B0811" w:rsidP="006C3B78">
      <w:pPr>
        <w:rPr>
          <w:rFonts w:eastAsia="Times New Roman" w:cstheme="minorHAnsi"/>
          <w:kern w:val="0"/>
          <w:sz w:val="24"/>
          <w:szCs w:val="24"/>
          <w:lang w:eastAsia="en-GB"/>
          <w14:ligatures w14:val="none"/>
        </w:rPr>
      </w:pPr>
    </w:p>
    <w:p w14:paraId="1571658F" w14:textId="2D633ADD" w:rsidR="00362C33" w:rsidRDefault="006C3B78" w:rsidP="00362C33">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The views that society held of women were significantly influenced by the church during that </w:t>
      </w:r>
      <w:proofErr w:type="gramStart"/>
      <w:r w:rsidRPr="006C3B78">
        <w:rPr>
          <w:rFonts w:eastAsia="Times New Roman" w:cstheme="minorHAnsi"/>
          <w:kern w:val="0"/>
          <w:sz w:val="24"/>
          <w:szCs w:val="24"/>
          <w:lang w:eastAsia="en-GB"/>
          <w14:ligatures w14:val="none"/>
        </w:rPr>
        <w:t>time period</w:t>
      </w:r>
      <w:proofErr w:type="gramEnd"/>
      <w:r w:rsidRPr="006C3B78">
        <w:rPr>
          <w:rFonts w:eastAsia="Times New Roman" w:cstheme="minorHAnsi"/>
          <w:kern w:val="0"/>
          <w:sz w:val="24"/>
          <w:szCs w:val="24"/>
          <w:lang w:eastAsia="en-GB"/>
          <w14:ligatures w14:val="none"/>
        </w:rPr>
        <w:t>. The prevalent belief was that women were morally weaker than men and required guidance and protection from men because men better understood the religious texts and how they should be interpreted.</w:t>
      </w:r>
      <w:r w:rsidR="00362C33">
        <w:rPr>
          <w:rStyle w:val="FootnoteReference"/>
          <w:rFonts w:eastAsia="Times New Roman" w:cstheme="minorHAnsi"/>
          <w:kern w:val="0"/>
          <w:sz w:val="24"/>
          <w:szCs w:val="24"/>
          <w:lang w:eastAsia="en-GB"/>
          <w14:ligatures w14:val="none"/>
        </w:rPr>
        <w:footnoteReference w:id="2"/>
      </w:r>
      <w:r w:rsidRPr="006C3B78">
        <w:rPr>
          <w:rFonts w:eastAsia="Times New Roman" w:cstheme="minorHAnsi"/>
          <w:kern w:val="0"/>
          <w:sz w:val="24"/>
          <w:szCs w:val="24"/>
          <w:lang w:eastAsia="en-GB"/>
          <w14:ligatures w14:val="none"/>
        </w:rPr>
        <w:t xml:space="preserve"> This belief was reflected in a variety of aspects of day-to-day life, including restrictions on participation in certain professions or public roles, as well as limitations on educational opportunities and access.</w:t>
      </w:r>
      <w:r w:rsidR="00AF1E75">
        <w:rPr>
          <w:rFonts w:eastAsia="Times New Roman" w:cstheme="minorHAnsi"/>
          <w:kern w:val="0"/>
          <w:sz w:val="24"/>
          <w:szCs w:val="24"/>
          <w:lang w:eastAsia="en-GB"/>
          <w14:ligatures w14:val="none"/>
        </w:rPr>
        <w:t xml:space="preserve"> Christianity held </w:t>
      </w:r>
      <w:r w:rsidR="00AF1E75">
        <w:rPr>
          <w:rFonts w:eastAsia="Times New Roman" w:cstheme="minorHAnsi"/>
          <w:kern w:val="0"/>
          <w:sz w:val="24"/>
          <w:szCs w:val="24"/>
          <w:lang w:eastAsia="en-GB"/>
          <w14:ligatures w14:val="none"/>
        </w:rPr>
        <w:lastRenderedPageBreak/>
        <w:t>patriarchal religious doctrines that encouraged high birth rates and sanctions that most likely led to a demographic expansion.</w:t>
      </w:r>
      <w:r w:rsidR="00362C33">
        <w:rPr>
          <w:rFonts w:eastAsia="Times New Roman" w:cstheme="minorHAnsi"/>
          <w:kern w:val="0"/>
          <w:sz w:val="24"/>
          <w:szCs w:val="24"/>
          <w:lang w:eastAsia="en-GB"/>
          <w14:ligatures w14:val="none"/>
        </w:rPr>
        <w:t xml:space="preserve"> </w:t>
      </w:r>
      <w:r w:rsidR="00362C33">
        <w:rPr>
          <w:rStyle w:val="FootnoteReference"/>
          <w:rFonts w:eastAsia="Times New Roman" w:cstheme="minorHAnsi"/>
          <w:kern w:val="0"/>
          <w:sz w:val="24"/>
          <w:szCs w:val="24"/>
          <w:lang w:eastAsia="en-GB"/>
          <w14:ligatures w14:val="none"/>
        </w:rPr>
        <w:footnoteReference w:id="3"/>
      </w:r>
    </w:p>
    <w:p w14:paraId="592D32EA" w14:textId="77777777" w:rsidR="006C3B78" w:rsidRPr="006C3B78" w:rsidRDefault="006C3B78" w:rsidP="006C3B78">
      <w:pPr>
        <w:rPr>
          <w:rFonts w:eastAsia="Times New Roman" w:cstheme="minorHAnsi"/>
          <w:kern w:val="0"/>
          <w:sz w:val="24"/>
          <w:szCs w:val="24"/>
          <w:lang w:eastAsia="en-GB"/>
          <w14:ligatures w14:val="none"/>
        </w:rPr>
      </w:pPr>
    </w:p>
    <w:p w14:paraId="26CB81F3" w14:textId="4BBC8081"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However, the social status of women was not consistent across the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era due to a variety of factors, including class, location, and the era in which they lived. When compared to peasant women, for example, noblewomen typically possessed a greater number of rights and were able to exert a greater amount of influence. In some areas, such as parts of Italy and France, women were permitted to engage in commercial activities and artisanal crafts; however, these activities were governed by a framework of restrictions.</w:t>
      </w:r>
      <w:r w:rsidR="007B2A8C">
        <w:rPr>
          <w:rFonts w:eastAsia="Times New Roman" w:cstheme="minorHAnsi"/>
          <w:kern w:val="0"/>
          <w:sz w:val="24"/>
          <w:szCs w:val="24"/>
          <w:lang w:eastAsia="en-GB"/>
          <w14:ligatures w14:val="none"/>
        </w:rPr>
        <w:t xml:space="preserve"> Some scholars would argue that women were equally as oppressed everywhere in society.</w:t>
      </w:r>
      <w:r w:rsidR="007B2A8C">
        <w:rPr>
          <w:rStyle w:val="FootnoteReference"/>
          <w:rFonts w:eastAsia="Times New Roman" w:cstheme="minorHAnsi"/>
          <w:kern w:val="0"/>
          <w:sz w:val="24"/>
          <w:szCs w:val="24"/>
          <w:lang w:eastAsia="en-GB"/>
          <w14:ligatures w14:val="none"/>
        </w:rPr>
        <w:footnoteReference w:id="4"/>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 xml:space="preserve">In addition, the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period was not a consistent </w:t>
      </w:r>
      <w:proofErr w:type="gramStart"/>
      <w:r w:rsidRPr="006C3B78">
        <w:rPr>
          <w:rFonts w:eastAsia="Times New Roman" w:cstheme="minorHAnsi"/>
          <w:kern w:val="0"/>
          <w:sz w:val="24"/>
          <w:szCs w:val="24"/>
          <w:lang w:eastAsia="en-GB"/>
          <w14:ligatures w14:val="none"/>
        </w:rPr>
        <w:t>time period</w:t>
      </w:r>
      <w:proofErr w:type="gramEnd"/>
      <w:r w:rsidRPr="006C3B78">
        <w:rPr>
          <w:rFonts w:eastAsia="Times New Roman" w:cstheme="minorHAnsi"/>
          <w:kern w:val="0"/>
          <w:sz w:val="24"/>
          <w:szCs w:val="24"/>
          <w:lang w:eastAsia="en-GB"/>
          <w14:ligatures w14:val="none"/>
        </w:rPr>
        <w:t>; it extended over the course of several centuries, a time period in which there were shifts in political structures, cultural norms, and economic practises. These shifts sometimes brought about modifications to the roles that women played and how they were perceived. For instance, many women managed estates in the absence of their husbands while they were away fighting in the Crusades.</w:t>
      </w:r>
      <w:r w:rsidR="007B2A8C">
        <w:rPr>
          <w:rStyle w:val="FootnoteReference"/>
          <w:rFonts w:eastAsia="Times New Roman" w:cstheme="minorHAnsi"/>
          <w:kern w:val="0"/>
          <w:sz w:val="24"/>
          <w:szCs w:val="24"/>
          <w:lang w:eastAsia="en-GB"/>
          <w14:ligatures w14:val="none"/>
        </w:rPr>
        <w:footnoteReference w:id="5"/>
      </w:r>
      <w:r w:rsidRPr="006C3B78">
        <w:rPr>
          <w:rFonts w:eastAsia="Times New Roman" w:cstheme="minorHAnsi"/>
          <w:kern w:val="0"/>
          <w:sz w:val="24"/>
          <w:szCs w:val="24"/>
          <w:lang w:eastAsia="en-GB"/>
          <w14:ligatures w14:val="none"/>
        </w:rPr>
        <w:t xml:space="preserve"> This gave them unprecedented levels of responsibility and autonomy.</w:t>
      </w:r>
    </w:p>
    <w:p w14:paraId="68451533" w14:textId="77777777" w:rsidR="006C3B78" w:rsidRPr="006C3B78" w:rsidRDefault="006C3B78" w:rsidP="006C3B78">
      <w:pPr>
        <w:rPr>
          <w:rFonts w:eastAsia="Times New Roman" w:cstheme="minorHAnsi"/>
          <w:kern w:val="0"/>
          <w:sz w:val="24"/>
          <w:szCs w:val="24"/>
          <w:lang w:eastAsia="en-GB"/>
          <w14:ligatures w14:val="none"/>
        </w:rPr>
      </w:pPr>
    </w:p>
    <w:p w14:paraId="08BA80F3" w14:textId="3D1D7555"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Despite</w:t>
      </w:r>
      <w:r w:rsidRPr="006C3B78">
        <w:rPr>
          <w:rFonts w:eastAsia="Times New Roman" w:cstheme="minorHAnsi"/>
          <w:kern w:val="0"/>
          <w:sz w:val="24"/>
          <w:szCs w:val="24"/>
          <w:lang w:eastAsia="en-GB"/>
          <w14:ligatures w14:val="none"/>
        </w:rPr>
        <w:t xml:space="preserve"> the limitations imposed by society, there are notable examples and figures of women who have exercised significant agency and had an impact on the society in which they live. Eleanor of Aquitaine is one of these figures; she is a remarkable example of female agency in a society that is dominated by men. Eleanor was not only a queen consort of France and England, but she was also a capable political figure in her own right. Eleanor was known for her shrewd political </w:t>
      </w:r>
      <w:r>
        <w:rPr>
          <w:rFonts w:eastAsia="Times New Roman" w:cstheme="minorHAnsi"/>
          <w:kern w:val="0"/>
          <w:sz w:val="24"/>
          <w:szCs w:val="24"/>
          <w:lang w:eastAsia="en-GB"/>
          <w14:ligatures w14:val="none"/>
        </w:rPr>
        <w:t>manoeuvring</w:t>
      </w:r>
      <w:r w:rsidRPr="006C3B78">
        <w:rPr>
          <w:rFonts w:eastAsia="Times New Roman" w:cstheme="minorHAnsi"/>
          <w:kern w:val="0"/>
          <w:sz w:val="24"/>
          <w:szCs w:val="24"/>
          <w:lang w:eastAsia="en-GB"/>
          <w14:ligatures w14:val="none"/>
        </w:rPr>
        <w:t>. A woman who exerts significant agency is exemplified by her influence in court affairs, her role in the Second Crusade, and her patronage of the arts and literature, among other things. The events of Eleanor's life demonstrate that women in powerful positions are capable of navigating and, at times, shaping political landscapes</w:t>
      </w:r>
      <w:r w:rsidR="00AF1E75">
        <w:rPr>
          <w:rFonts w:eastAsia="Times New Roman" w:cstheme="minorHAnsi"/>
          <w:kern w:val="0"/>
          <w:sz w:val="24"/>
          <w:szCs w:val="24"/>
          <w:lang w:eastAsia="en-GB"/>
          <w14:ligatures w14:val="none"/>
        </w:rPr>
        <w:t>.</w:t>
      </w:r>
      <w:r w:rsidR="00660E1A">
        <w:rPr>
          <w:rStyle w:val="FootnoteReference"/>
          <w:rFonts w:eastAsia="Times New Roman" w:cstheme="minorHAnsi"/>
          <w:kern w:val="0"/>
          <w:sz w:val="24"/>
          <w:szCs w:val="24"/>
          <w:lang w:eastAsia="en-GB"/>
          <w14:ligatures w14:val="none"/>
        </w:rPr>
        <w:footnoteReference w:id="6"/>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Hildegard of Bingen, a German Benedictine abbess who is famous for her contributions to the fields of theology, music, and medicine, is another outstanding example of a historical figure.</w:t>
      </w:r>
      <w:r w:rsidR="00660E1A">
        <w:rPr>
          <w:rStyle w:val="FootnoteReference"/>
          <w:rFonts w:eastAsia="Times New Roman" w:cstheme="minorHAnsi"/>
          <w:kern w:val="0"/>
          <w:sz w:val="24"/>
          <w:szCs w:val="24"/>
          <w:lang w:eastAsia="en-GB"/>
          <w14:ligatures w14:val="none"/>
        </w:rPr>
        <w:footnoteReference w:id="7"/>
      </w:r>
      <w:r w:rsidRPr="006C3B78">
        <w:rPr>
          <w:rFonts w:eastAsia="Times New Roman" w:cstheme="minorHAnsi"/>
          <w:kern w:val="0"/>
          <w:sz w:val="24"/>
          <w:szCs w:val="24"/>
          <w:lang w:eastAsia="en-GB"/>
          <w14:ligatures w14:val="none"/>
        </w:rPr>
        <w:t xml:space="preserve"> Hildegard was a prolific author who not only composed music but also wrote about medicinal practises, natural history, and several theological texts. The agency of women in the religious and intellectual spheres of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society is highlighted by her role as a spiritual leader and intellectual authority within an ecclesiastical hierarchy dominated by men. It is further evidence of Hildegard's influence and the respect she commanded that she corresponded with popes and monarchs during her lifetime.</w:t>
      </w:r>
    </w:p>
    <w:p w14:paraId="75F1A684" w14:textId="77777777" w:rsidR="006C3B78" w:rsidRPr="006C3B78" w:rsidRDefault="006C3B78" w:rsidP="006C3B78">
      <w:pPr>
        <w:rPr>
          <w:rFonts w:eastAsia="Times New Roman" w:cstheme="minorHAnsi"/>
          <w:kern w:val="0"/>
          <w:sz w:val="24"/>
          <w:szCs w:val="24"/>
          <w:lang w:eastAsia="en-GB"/>
          <w14:ligatures w14:val="none"/>
        </w:rPr>
      </w:pPr>
    </w:p>
    <w:p w14:paraId="528E17A7" w14:textId="7A87ADEC"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Aside from these well-known figures, there are many other examples of women having influential roles in history. For example, the Beguines were a group of religious women in the Low Countries who lived in semi-monastic communities but did not take permanent vows.</w:t>
      </w:r>
      <w:r w:rsidR="00324291">
        <w:rPr>
          <w:rStyle w:val="FootnoteReference"/>
          <w:rFonts w:eastAsia="Times New Roman" w:cstheme="minorHAnsi"/>
          <w:kern w:val="0"/>
          <w:sz w:val="24"/>
          <w:szCs w:val="24"/>
          <w:lang w:eastAsia="en-GB"/>
          <w14:ligatures w14:val="none"/>
        </w:rPr>
        <w:footnoteReference w:id="8"/>
      </w:r>
      <w:r w:rsidRPr="006C3B78">
        <w:rPr>
          <w:rFonts w:eastAsia="Times New Roman" w:cstheme="minorHAnsi"/>
          <w:kern w:val="0"/>
          <w:sz w:val="24"/>
          <w:szCs w:val="24"/>
          <w:lang w:eastAsia="en-GB"/>
          <w14:ligatures w14:val="none"/>
        </w:rPr>
        <w:t xml:space="preserve"> They were known for their devotion to God but did not take monastic vows. They were able to engage in charitable work and live a religious life outside of the confines of traditional monastic orders </w:t>
      </w:r>
      <w:proofErr w:type="gramStart"/>
      <w:r w:rsidRPr="006C3B78">
        <w:rPr>
          <w:rFonts w:eastAsia="Times New Roman" w:cstheme="minorHAnsi"/>
          <w:kern w:val="0"/>
          <w:sz w:val="24"/>
          <w:szCs w:val="24"/>
          <w:lang w:eastAsia="en-GB"/>
          <w14:ligatures w14:val="none"/>
        </w:rPr>
        <w:t>as a result of</w:t>
      </w:r>
      <w:proofErr w:type="gramEnd"/>
      <w:r w:rsidRPr="006C3B78">
        <w:rPr>
          <w:rFonts w:eastAsia="Times New Roman" w:cstheme="minorHAnsi"/>
          <w:kern w:val="0"/>
          <w:sz w:val="24"/>
          <w:szCs w:val="24"/>
          <w:lang w:eastAsia="en-GB"/>
          <w14:ligatures w14:val="none"/>
        </w:rPr>
        <w:t xml:space="preserve"> the degree of autonomy that this afforded them, which was unusual for the time period.</w:t>
      </w:r>
    </w:p>
    <w:p w14:paraId="302E4BB1" w14:textId="77777777" w:rsidR="006C3B78" w:rsidRPr="006C3B78" w:rsidRDefault="006C3B78" w:rsidP="006C3B78">
      <w:pPr>
        <w:rPr>
          <w:rFonts w:eastAsia="Times New Roman" w:cstheme="minorHAnsi"/>
          <w:kern w:val="0"/>
          <w:sz w:val="24"/>
          <w:szCs w:val="24"/>
          <w:lang w:eastAsia="en-GB"/>
          <w14:ligatures w14:val="none"/>
        </w:rPr>
      </w:pPr>
    </w:p>
    <w:p w14:paraId="521BA103" w14:textId="61696D2A"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Women left their mark not only in the world of art and literature but also in other fields. Lyrical poetry was composed and performed by the </w:t>
      </w:r>
      <w:r w:rsidR="00324291">
        <w:rPr>
          <w:rFonts w:eastAsia="Times New Roman" w:cstheme="minorHAnsi"/>
          <w:kern w:val="0"/>
          <w:sz w:val="24"/>
          <w:szCs w:val="24"/>
          <w:lang w:eastAsia="en-GB"/>
          <w14:ligatures w14:val="none"/>
        </w:rPr>
        <w:t>T</w:t>
      </w:r>
      <w:r w:rsidRPr="006C3B78">
        <w:rPr>
          <w:rFonts w:eastAsia="Times New Roman" w:cstheme="minorHAnsi"/>
          <w:kern w:val="0"/>
          <w:sz w:val="24"/>
          <w:szCs w:val="24"/>
          <w:lang w:eastAsia="en-GB"/>
          <w14:ligatures w14:val="none"/>
        </w:rPr>
        <w:t xml:space="preserve">robairitz, who were female troubadours who lived in the south of France during the 12th and 13th centuries. Their work, which frequently </w:t>
      </w:r>
      <w:r>
        <w:rPr>
          <w:rFonts w:eastAsia="Times New Roman" w:cstheme="minorHAnsi"/>
          <w:kern w:val="0"/>
          <w:sz w:val="24"/>
          <w:szCs w:val="24"/>
          <w:lang w:eastAsia="en-GB"/>
          <w14:ligatures w14:val="none"/>
        </w:rPr>
        <w:t>centers</w:t>
      </w:r>
      <w:r w:rsidRPr="006C3B78">
        <w:rPr>
          <w:rFonts w:eastAsia="Times New Roman" w:cstheme="minorHAnsi"/>
          <w:kern w:val="0"/>
          <w:sz w:val="24"/>
          <w:szCs w:val="24"/>
          <w:lang w:eastAsia="en-GB"/>
          <w14:ligatures w14:val="none"/>
        </w:rPr>
        <w:t xml:space="preserve"> on courtly love, gives an insight into their perspectives and the agency they exercise in expressing themselves in a public arena, albeit one that is artistic.</w:t>
      </w:r>
      <w:r w:rsidR="00324291">
        <w:rPr>
          <w:rStyle w:val="FootnoteReference"/>
          <w:rFonts w:eastAsia="Times New Roman" w:cstheme="minorHAnsi"/>
          <w:kern w:val="0"/>
          <w:sz w:val="24"/>
          <w:szCs w:val="24"/>
          <w:lang w:eastAsia="en-GB"/>
          <w14:ligatures w14:val="none"/>
        </w:rPr>
        <w:footnoteReference w:id="9"/>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In addition, women living in towns during the Middle Ages occasionally had opportunities to exercise economic agency. In some communities, widows were given the opportunity to carry on the business once owned by their late husbands, which provided them with a measure of economic and social autonomy. However, this economic role was typically constrained by the guilds and the local regulations.</w:t>
      </w:r>
      <w:r w:rsidR="00324291">
        <w:rPr>
          <w:rFonts w:eastAsia="Times New Roman" w:cstheme="minorHAnsi"/>
          <w:kern w:val="0"/>
          <w:sz w:val="24"/>
          <w:szCs w:val="24"/>
          <w:lang w:eastAsia="en-GB"/>
          <w14:ligatures w14:val="none"/>
        </w:rPr>
        <w:t xml:space="preserve"> There were opportunities for women in towns to go into apprenticeships for trades work, however there was too little evidence to propose that the apprenticeship schemes were either normal or popular mode of entry due to protective measures taken to restrict them in London franchises in 1408.</w:t>
      </w:r>
      <w:r w:rsidR="00324291">
        <w:rPr>
          <w:rStyle w:val="FootnoteReference"/>
          <w:rFonts w:eastAsia="Times New Roman" w:cstheme="minorHAnsi"/>
          <w:kern w:val="0"/>
          <w:sz w:val="24"/>
          <w:szCs w:val="24"/>
          <w:lang w:eastAsia="en-GB"/>
          <w14:ligatures w14:val="none"/>
        </w:rPr>
        <w:footnoteReference w:id="10"/>
      </w:r>
    </w:p>
    <w:p w14:paraId="08FCC968" w14:textId="77777777" w:rsidR="006C3B78" w:rsidRPr="006C3B78" w:rsidRDefault="006C3B78" w:rsidP="006C3B78">
      <w:pPr>
        <w:rPr>
          <w:rFonts w:eastAsia="Times New Roman" w:cstheme="minorHAnsi"/>
          <w:kern w:val="0"/>
          <w:sz w:val="24"/>
          <w:szCs w:val="24"/>
          <w:lang w:eastAsia="en-GB"/>
          <w14:ligatures w14:val="none"/>
        </w:rPr>
      </w:pPr>
    </w:p>
    <w:p w14:paraId="00F2EBD5" w14:textId="0AAED108"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The societal norms, religious doctrines, and legal restrictions of the </w:t>
      </w:r>
      <w:r w:rsidR="005B3113">
        <w:rPr>
          <w:rFonts w:eastAsia="Times New Roman" w:cstheme="minorHAnsi"/>
          <w:kern w:val="0"/>
          <w:sz w:val="24"/>
          <w:szCs w:val="24"/>
          <w:lang w:eastAsia="en-GB"/>
          <w14:ligatures w14:val="none"/>
        </w:rPr>
        <w:t>Middle Ages</w:t>
      </w:r>
      <w:r w:rsidRPr="006C3B78">
        <w:rPr>
          <w:rFonts w:eastAsia="Times New Roman" w:cstheme="minorHAnsi"/>
          <w:kern w:val="0"/>
          <w:sz w:val="24"/>
          <w:szCs w:val="24"/>
          <w:lang w:eastAsia="en-GB"/>
          <w14:ligatures w14:val="none"/>
        </w:rPr>
        <w:t xml:space="preserve"> placed a significant constraint on the agency of </w:t>
      </w:r>
      <w:r w:rsidR="005B3113">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Daughters, wives, and mothers were the primary roles that were assigned to women in relation to their male counterparts. Their independence was especially constrained in areas such as marriage, in which they frequently had very little say in the selection of a spouse, and in legal rights, in which they were </w:t>
      </w:r>
      <w:r w:rsidRPr="006C3B78">
        <w:rPr>
          <w:rFonts w:eastAsia="Times New Roman" w:cstheme="minorHAnsi"/>
          <w:kern w:val="0"/>
          <w:sz w:val="24"/>
          <w:szCs w:val="24"/>
          <w:lang w:eastAsia="en-GB"/>
          <w14:ligatures w14:val="none"/>
        </w:rPr>
        <w:t>largely considered</w:t>
      </w:r>
      <w:r w:rsidRPr="006C3B78">
        <w:rPr>
          <w:rFonts w:eastAsia="Times New Roman" w:cstheme="minorHAnsi"/>
          <w:kern w:val="0"/>
          <w:sz w:val="24"/>
          <w:szCs w:val="24"/>
          <w:lang w:eastAsia="en-GB"/>
          <w14:ligatures w14:val="none"/>
        </w:rPr>
        <w:t xml:space="preserve"> to be dependent on their male relatives</w:t>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In many instances, the gender roles that were prevalent in society at the time were reflected and reinforced by the legal system. Women were not allowed to independently own property, sign contracts, or represent themselves in court without the presence of a male guardian in many parts of the world.</w:t>
      </w:r>
      <w:r w:rsidR="00440521">
        <w:rPr>
          <w:rStyle w:val="FootnoteReference"/>
          <w:rFonts w:eastAsia="Times New Roman" w:cstheme="minorHAnsi"/>
          <w:kern w:val="0"/>
          <w:sz w:val="24"/>
          <w:szCs w:val="24"/>
          <w:lang w:eastAsia="en-GB"/>
          <w14:ligatures w14:val="none"/>
        </w:rPr>
        <w:footnoteReference w:id="11"/>
      </w:r>
      <w:r w:rsidRPr="006C3B78">
        <w:rPr>
          <w:rFonts w:eastAsia="Times New Roman" w:cstheme="minorHAnsi"/>
          <w:kern w:val="0"/>
          <w:sz w:val="24"/>
          <w:szCs w:val="24"/>
          <w:lang w:eastAsia="en-GB"/>
          <w14:ligatures w14:val="none"/>
        </w:rPr>
        <w:t xml:space="preserve"> Not only did these legal restrictions limit their ability to participate in public and economic life, but they also helped perpetuate the cultural notion that women are helpless and helpless without the direction of men.</w:t>
      </w:r>
    </w:p>
    <w:p w14:paraId="024E086C" w14:textId="77777777" w:rsidR="006C3B78" w:rsidRPr="006C3B78" w:rsidRDefault="006C3B78" w:rsidP="006C3B78">
      <w:pPr>
        <w:rPr>
          <w:rFonts w:eastAsia="Times New Roman" w:cstheme="minorHAnsi"/>
          <w:kern w:val="0"/>
          <w:sz w:val="24"/>
          <w:szCs w:val="24"/>
          <w:lang w:eastAsia="en-GB"/>
          <w14:ligatures w14:val="none"/>
        </w:rPr>
      </w:pPr>
    </w:p>
    <w:p w14:paraId="55C33280" w14:textId="28CA4217"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lastRenderedPageBreak/>
        <w:t>A significant amount of work was done by religious establishments and doctrines in the process of defining and maintaining the position of women in society. The teachings of the church frequently emphasised the concept of female subservience, in addition to moral weakness. Women who wanted to step beyond these prescribed roles could face significant barriers, such as social ostracism, condemnation from the church, or, in extreme cases, accusations of heresy or witchcraft.</w:t>
      </w:r>
      <w:r w:rsidR="009C30ED">
        <w:rPr>
          <w:rStyle w:val="FootnoteReference"/>
          <w:rFonts w:eastAsia="Times New Roman" w:cstheme="minorHAnsi"/>
          <w:kern w:val="0"/>
          <w:sz w:val="24"/>
          <w:szCs w:val="24"/>
          <w:lang w:eastAsia="en-GB"/>
          <w14:ligatures w14:val="none"/>
        </w:rPr>
        <w:footnoteReference w:id="12"/>
      </w:r>
      <w:r w:rsidRPr="006C3B78">
        <w:rPr>
          <w:rFonts w:eastAsia="Times New Roman" w:cstheme="minorHAnsi"/>
          <w:kern w:val="0"/>
          <w:sz w:val="24"/>
          <w:szCs w:val="24"/>
          <w:lang w:eastAsia="en-GB"/>
          <w14:ligatures w14:val="none"/>
        </w:rPr>
        <w:t xml:space="preserve"> These were just some of the potential outcomes</w:t>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 xml:space="preserve">In addition, the cultural norms and practises that women were expected to adhere to in terms of their behaviour, appearance, and roles in society were strictly enforced. This was especially true </w:t>
      </w:r>
      <w:r w:rsidR="00AF1E75" w:rsidRPr="006C3B78">
        <w:rPr>
          <w:rFonts w:eastAsia="Times New Roman" w:cstheme="minorHAnsi"/>
          <w:kern w:val="0"/>
          <w:sz w:val="24"/>
          <w:szCs w:val="24"/>
          <w:lang w:eastAsia="en-GB"/>
          <w14:ligatures w14:val="none"/>
        </w:rPr>
        <w:t>regarding</w:t>
      </w:r>
      <w:r w:rsidRPr="006C3B78">
        <w:rPr>
          <w:rFonts w:eastAsia="Times New Roman" w:cstheme="minorHAnsi"/>
          <w:kern w:val="0"/>
          <w:sz w:val="24"/>
          <w:szCs w:val="24"/>
          <w:lang w:eastAsia="en-GB"/>
          <w14:ligatures w14:val="none"/>
        </w:rPr>
        <w:t xml:space="preserve"> the roles that women were expected to play. Women who defied these expectations or sought roles outside the realm of the domestic were frequently met with backlash from society and were seen as violating the natural order.</w:t>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 xml:space="preserve">These obstacles are illustrative of the difficult and frequently restrictive environment that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had to navigate </w:t>
      </w:r>
      <w:proofErr w:type="gramStart"/>
      <w:r w:rsidRPr="006C3B78">
        <w:rPr>
          <w:rFonts w:eastAsia="Times New Roman" w:cstheme="minorHAnsi"/>
          <w:kern w:val="0"/>
          <w:sz w:val="24"/>
          <w:szCs w:val="24"/>
          <w:lang w:eastAsia="en-GB"/>
          <w14:ligatures w14:val="none"/>
        </w:rPr>
        <w:t>in order to</w:t>
      </w:r>
      <w:proofErr w:type="gramEnd"/>
      <w:r w:rsidRPr="006C3B78">
        <w:rPr>
          <w:rFonts w:eastAsia="Times New Roman" w:cstheme="minorHAnsi"/>
          <w:kern w:val="0"/>
          <w:sz w:val="24"/>
          <w:szCs w:val="24"/>
          <w:lang w:eastAsia="en-GB"/>
          <w14:ligatures w14:val="none"/>
        </w:rPr>
        <w:t xml:space="preserve"> assert their agency. There were different channels through which one could exercise influence and autonomy; however, these channels were frequently fraught with limitations and risks.</w:t>
      </w:r>
    </w:p>
    <w:p w14:paraId="3C754A18" w14:textId="77777777" w:rsidR="006C3B78" w:rsidRPr="006C3B78" w:rsidRDefault="006C3B78" w:rsidP="006C3B78">
      <w:pPr>
        <w:rPr>
          <w:rFonts w:eastAsia="Times New Roman" w:cstheme="minorHAnsi"/>
          <w:kern w:val="0"/>
          <w:sz w:val="24"/>
          <w:szCs w:val="24"/>
          <w:lang w:eastAsia="en-GB"/>
          <w14:ligatures w14:val="none"/>
        </w:rPr>
      </w:pPr>
    </w:p>
    <w:p w14:paraId="3AFF7FBA" w14:textId="6FD05605" w:rsidR="006C3B78" w:rsidRP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Throughout the course of the Middle Ages, there were shifts in society's attitudes towards the agency of women that were both subtle and significant. For instance, the development of chivalric culture brought about a nuanced shift in the way noblewomen were perceived and treated.</w:t>
      </w:r>
      <w:r w:rsidR="00BA1551">
        <w:rPr>
          <w:rStyle w:val="FootnoteReference"/>
          <w:rFonts w:eastAsia="Times New Roman" w:cstheme="minorHAnsi"/>
          <w:kern w:val="0"/>
          <w:sz w:val="24"/>
          <w:szCs w:val="24"/>
          <w:lang w:eastAsia="en-GB"/>
          <w14:ligatures w14:val="none"/>
        </w:rPr>
        <w:footnoteReference w:id="13"/>
      </w:r>
      <w:r w:rsidRPr="006C3B78">
        <w:rPr>
          <w:rFonts w:eastAsia="Times New Roman" w:cstheme="minorHAnsi"/>
          <w:kern w:val="0"/>
          <w:sz w:val="24"/>
          <w:szCs w:val="24"/>
          <w:lang w:eastAsia="en-GB"/>
          <w14:ligatures w14:val="none"/>
        </w:rPr>
        <w:t xml:space="preserve"> Chivalric culture placed an emphasis on the ideals of courtly love and somewhat elevated the status of noblewomen in society. In a similar vein, the proliferation of religious orders for women, such as the Beguines, gave women access to alternative pathways that could lead to educational advancement, spiritual gratification, and a measure of autonomy.</w:t>
      </w:r>
      <w:r w:rsidR="00BA1551">
        <w:rPr>
          <w:rStyle w:val="FootnoteReference"/>
          <w:rFonts w:eastAsia="Times New Roman" w:cstheme="minorHAnsi"/>
          <w:kern w:val="0"/>
          <w:sz w:val="24"/>
          <w:szCs w:val="24"/>
          <w:lang w:eastAsia="en-GB"/>
          <w14:ligatures w14:val="none"/>
        </w:rPr>
        <w:footnoteReference w:id="14"/>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 xml:space="preserve">These shifts point to a dynamic social landscape where the idea of women's agency was gradually developing, </w:t>
      </w:r>
      <w:r w:rsidRPr="006C3B78">
        <w:rPr>
          <w:rFonts w:eastAsia="Times New Roman" w:cstheme="minorHAnsi"/>
          <w:kern w:val="0"/>
          <w:sz w:val="24"/>
          <w:szCs w:val="24"/>
          <w:lang w:eastAsia="en-GB"/>
          <w14:ligatures w14:val="none"/>
        </w:rPr>
        <w:t>even though</w:t>
      </w:r>
      <w:r w:rsidRPr="006C3B78">
        <w:rPr>
          <w:rFonts w:eastAsia="Times New Roman" w:cstheme="minorHAnsi"/>
          <w:kern w:val="0"/>
          <w:sz w:val="24"/>
          <w:szCs w:val="24"/>
          <w:lang w:eastAsia="en-GB"/>
          <w14:ligatures w14:val="none"/>
        </w:rPr>
        <w:t xml:space="preserve"> they were limited and varied across different geographical areas and social classes. In particular, the late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period was marked by a rise in the involvement of women in aspects of religious and cultural life, which pushed the bounds of the roles that had traditionally been assigned to them.</w:t>
      </w:r>
    </w:p>
    <w:p w14:paraId="76D3D86F" w14:textId="77777777" w:rsidR="006C3B78" w:rsidRPr="006C3B78" w:rsidRDefault="006C3B78" w:rsidP="006C3B78">
      <w:pPr>
        <w:rPr>
          <w:rFonts w:eastAsia="Times New Roman" w:cstheme="minorHAnsi"/>
          <w:kern w:val="0"/>
          <w:sz w:val="24"/>
          <w:szCs w:val="24"/>
          <w:lang w:eastAsia="en-GB"/>
          <w14:ligatures w14:val="none"/>
        </w:rPr>
      </w:pPr>
    </w:p>
    <w:p w14:paraId="1443D6C7" w14:textId="6FCD1773" w:rsidR="006C3B78" w:rsidRDefault="006C3B78" w:rsidP="006C3B78">
      <w:pPr>
        <w:rPr>
          <w:rFonts w:eastAsia="Times New Roman" w:cstheme="minorHAnsi"/>
          <w:kern w:val="0"/>
          <w:sz w:val="24"/>
          <w:szCs w:val="24"/>
          <w:lang w:eastAsia="en-GB"/>
          <w14:ligatures w14:val="none"/>
        </w:rPr>
      </w:pPr>
      <w:r w:rsidRPr="006C3B78">
        <w:rPr>
          <w:rFonts w:eastAsia="Times New Roman" w:cstheme="minorHAnsi"/>
          <w:kern w:val="0"/>
          <w:sz w:val="24"/>
          <w:szCs w:val="24"/>
          <w:lang w:eastAsia="en-GB"/>
          <w14:ligatures w14:val="none"/>
        </w:rPr>
        <w:t xml:space="preserve">The existence of women's agency in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times was a phenomenon that was intricate and multi-dimensional in nature. </w:t>
      </w:r>
      <w:r w:rsidRPr="006C3B78">
        <w:rPr>
          <w:rFonts w:eastAsia="Times New Roman" w:cstheme="minorHAnsi"/>
          <w:kern w:val="0"/>
          <w:sz w:val="24"/>
          <w:szCs w:val="24"/>
          <w:lang w:eastAsia="en-GB"/>
          <w14:ligatures w14:val="none"/>
        </w:rPr>
        <w:t>Even though</w:t>
      </w:r>
      <w:r w:rsidRPr="006C3B78">
        <w:rPr>
          <w:rFonts w:eastAsia="Times New Roman" w:cstheme="minorHAnsi"/>
          <w:kern w:val="0"/>
          <w:sz w:val="24"/>
          <w:szCs w:val="24"/>
          <w:lang w:eastAsia="en-GB"/>
          <w14:ligatures w14:val="none"/>
        </w:rPr>
        <w:t xml:space="preserve"> women were, for the most part, forced to play subordinate roles due to the structures of society, law, and religion, there were still many instances of women exercising influence and having autonomy. Some women were able to navigate and challenge the patriarchal structures of their time, as evidenced by the lives and accomplishments of historical figures such as Eleanor of Aquitaine and Hildegard of Bingen. These women's lives and accomplishments illustrate that this was possible within the confines of their respective times</w:t>
      </w:r>
      <w:r w:rsidR="00AF1E75">
        <w:rPr>
          <w:rFonts w:eastAsia="Times New Roman" w:cstheme="minorHAnsi"/>
          <w:kern w:val="0"/>
          <w:sz w:val="24"/>
          <w:szCs w:val="24"/>
          <w:lang w:eastAsia="en-GB"/>
          <w14:ligatures w14:val="none"/>
        </w:rPr>
        <w:t xml:space="preserve">. </w:t>
      </w:r>
      <w:r w:rsidRPr="006C3B78">
        <w:rPr>
          <w:rFonts w:eastAsia="Times New Roman" w:cstheme="minorHAnsi"/>
          <w:kern w:val="0"/>
          <w:sz w:val="24"/>
          <w:szCs w:val="24"/>
          <w:lang w:eastAsia="en-GB"/>
          <w14:ligatures w14:val="none"/>
        </w:rPr>
        <w:t xml:space="preserve">It is essential that we have a better understanding of the agency of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because this deepens our knowledge of the </w:t>
      </w:r>
      <w:proofErr w:type="gramStart"/>
      <w:r w:rsidRPr="006C3B78">
        <w:rPr>
          <w:rFonts w:eastAsia="Times New Roman" w:cstheme="minorHAnsi"/>
          <w:kern w:val="0"/>
          <w:sz w:val="24"/>
          <w:szCs w:val="24"/>
          <w:lang w:eastAsia="en-GB"/>
          <w14:ligatures w14:val="none"/>
        </w:rPr>
        <w:t>time period</w:t>
      </w:r>
      <w:proofErr w:type="gramEnd"/>
      <w:r w:rsidRPr="006C3B78">
        <w:rPr>
          <w:rFonts w:eastAsia="Times New Roman" w:cstheme="minorHAnsi"/>
          <w:kern w:val="0"/>
          <w:sz w:val="24"/>
          <w:szCs w:val="24"/>
          <w:lang w:eastAsia="en-GB"/>
          <w14:ligatures w14:val="none"/>
        </w:rPr>
        <w:t xml:space="preserve"> and </w:t>
      </w:r>
      <w:r w:rsidRPr="006C3B78">
        <w:rPr>
          <w:rFonts w:eastAsia="Times New Roman" w:cstheme="minorHAnsi"/>
          <w:kern w:val="0"/>
          <w:sz w:val="24"/>
          <w:szCs w:val="24"/>
          <w:lang w:eastAsia="en-GB"/>
          <w14:ligatures w14:val="none"/>
        </w:rPr>
        <w:lastRenderedPageBreak/>
        <w:t xml:space="preserve">adds nuance to the more general narrative of women's history. This highlights the contributions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made, their resiliency and the nuanced ways in which they navigated a world dominated by patriarchal norms. It challenges the simplistic view of </w:t>
      </w:r>
      <w:r>
        <w:rPr>
          <w:rFonts w:eastAsia="Times New Roman" w:cstheme="minorHAnsi"/>
          <w:kern w:val="0"/>
          <w:sz w:val="24"/>
          <w:szCs w:val="24"/>
          <w:lang w:eastAsia="en-GB"/>
          <w14:ligatures w14:val="none"/>
        </w:rPr>
        <w:t>medieval</w:t>
      </w:r>
      <w:r w:rsidRPr="006C3B78">
        <w:rPr>
          <w:rFonts w:eastAsia="Times New Roman" w:cstheme="minorHAnsi"/>
          <w:kern w:val="0"/>
          <w:sz w:val="24"/>
          <w:szCs w:val="24"/>
          <w:lang w:eastAsia="en-GB"/>
          <w14:ligatures w14:val="none"/>
        </w:rPr>
        <w:t xml:space="preserve"> women as merely passive figures. This investigation not only enlightens us regarding the events of the past, but it also contributes to our comprehension of the ongoing fight for gender parity and the protection of women's rights </w:t>
      </w:r>
      <w:proofErr w:type="gramStart"/>
      <w:r w:rsidRPr="006C3B78">
        <w:rPr>
          <w:rFonts w:eastAsia="Times New Roman" w:cstheme="minorHAnsi"/>
          <w:kern w:val="0"/>
          <w:sz w:val="24"/>
          <w:szCs w:val="24"/>
          <w:lang w:eastAsia="en-GB"/>
          <w14:ligatures w14:val="none"/>
        </w:rPr>
        <w:t>in today's society</w:t>
      </w:r>
      <w:proofErr w:type="gramEnd"/>
      <w:r w:rsidRPr="006C3B78">
        <w:rPr>
          <w:rFonts w:eastAsia="Times New Roman" w:cstheme="minorHAnsi"/>
          <w:kern w:val="0"/>
          <w:sz w:val="24"/>
          <w:szCs w:val="24"/>
          <w:lang w:eastAsia="en-GB"/>
          <w14:ligatures w14:val="none"/>
        </w:rPr>
        <w:t>.</w:t>
      </w:r>
    </w:p>
    <w:p w14:paraId="49937B68" w14:textId="77777777" w:rsidR="006B0811" w:rsidRDefault="006B0811" w:rsidP="006C3B78">
      <w:pPr>
        <w:rPr>
          <w:rFonts w:eastAsia="Times New Roman" w:cstheme="minorHAnsi"/>
          <w:kern w:val="0"/>
          <w:sz w:val="24"/>
          <w:szCs w:val="24"/>
          <w:lang w:eastAsia="en-GB"/>
          <w14:ligatures w14:val="none"/>
        </w:rPr>
      </w:pPr>
    </w:p>
    <w:p w14:paraId="6CCC27AB" w14:textId="77777777" w:rsidR="006B0811" w:rsidRDefault="006B0811" w:rsidP="006C3B78">
      <w:pPr>
        <w:rPr>
          <w:rFonts w:eastAsia="Times New Roman" w:cstheme="minorHAnsi"/>
          <w:kern w:val="0"/>
          <w:sz w:val="28"/>
          <w:szCs w:val="28"/>
          <w:u w:val="single"/>
          <w:lang w:eastAsia="en-GB"/>
          <w14:ligatures w14:val="none"/>
        </w:rPr>
      </w:pPr>
    </w:p>
    <w:p w14:paraId="7005B758" w14:textId="77777777" w:rsidR="006B0811" w:rsidRDefault="006B0811" w:rsidP="006C3B78">
      <w:pPr>
        <w:rPr>
          <w:rFonts w:eastAsia="Times New Roman" w:cstheme="minorHAnsi"/>
          <w:kern w:val="0"/>
          <w:sz w:val="28"/>
          <w:szCs w:val="28"/>
          <w:u w:val="single"/>
          <w:lang w:eastAsia="en-GB"/>
          <w14:ligatures w14:val="none"/>
        </w:rPr>
      </w:pPr>
    </w:p>
    <w:p w14:paraId="0BF28CE0" w14:textId="77777777" w:rsidR="006B0811" w:rsidRDefault="006B0811" w:rsidP="006C3B78">
      <w:pPr>
        <w:rPr>
          <w:rFonts w:eastAsia="Times New Roman" w:cstheme="minorHAnsi"/>
          <w:kern w:val="0"/>
          <w:sz w:val="28"/>
          <w:szCs w:val="28"/>
          <w:u w:val="single"/>
          <w:lang w:eastAsia="en-GB"/>
          <w14:ligatures w14:val="none"/>
        </w:rPr>
      </w:pPr>
    </w:p>
    <w:p w14:paraId="3D9E56DD" w14:textId="77777777" w:rsidR="006B0811" w:rsidRDefault="006B0811" w:rsidP="006C3B78">
      <w:pPr>
        <w:rPr>
          <w:rFonts w:eastAsia="Times New Roman" w:cstheme="minorHAnsi"/>
          <w:kern w:val="0"/>
          <w:sz w:val="28"/>
          <w:szCs w:val="28"/>
          <w:u w:val="single"/>
          <w:lang w:eastAsia="en-GB"/>
          <w14:ligatures w14:val="none"/>
        </w:rPr>
      </w:pPr>
    </w:p>
    <w:p w14:paraId="58E65A73" w14:textId="77777777" w:rsidR="006B0811" w:rsidRDefault="006B0811" w:rsidP="006C3B78">
      <w:pPr>
        <w:rPr>
          <w:rFonts w:eastAsia="Times New Roman" w:cstheme="minorHAnsi"/>
          <w:kern w:val="0"/>
          <w:sz w:val="28"/>
          <w:szCs w:val="28"/>
          <w:u w:val="single"/>
          <w:lang w:eastAsia="en-GB"/>
          <w14:ligatures w14:val="none"/>
        </w:rPr>
      </w:pPr>
    </w:p>
    <w:p w14:paraId="40067224" w14:textId="77777777" w:rsidR="00BA1551" w:rsidRDefault="00BA1551" w:rsidP="006C3B78">
      <w:pPr>
        <w:rPr>
          <w:rFonts w:eastAsia="Times New Roman" w:cstheme="minorHAnsi"/>
          <w:kern w:val="0"/>
          <w:sz w:val="28"/>
          <w:szCs w:val="28"/>
          <w:u w:val="single"/>
          <w:lang w:eastAsia="en-GB"/>
          <w14:ligatures w14:val="none"/>
        </w:rPr>
      </w:pPr>
    </w:p>
    <w:p w14:paraId="3A273D97" w14:textId="77777777" w:rsidR="00BA1551" w:rsidRDefault="00BA1551" w:rsidP="006C3B78">
      <w:pPr>
        <w:rPr>
          <w:rFonts w:eastAsia="Times New Roman" w:cstheme="minorHAnsi"/>
          <w:kern w:val="0"/>
          <w:sz w:val="28"/>
          <w:szCs w:val="28"/>
          <w:u w:val="single"/>
          <w:lang w:eastAsia="en-GB"/>
          <w14:ligatures w14:val="none"/>
        </w:rPr>
      </w:pPr>
    </w:p>
    <w:p w14:paraId="5B97BC85" w14:textId="77777777" w:rsidR="00BA1551" w:rsidRDefault="00BA1551" w:rsidP="006C3B78">
      <w:pPr>
        <w:rPr>
          <w:rFonts w:eastAsia="Times New Roman" w:cstheme="minorHAnsi"/>
          <w:kern w:val="0"/>
          <w:sz w:val="28"/>
          <w:szCs w:val="28"/>
          <w:u w:val="single"/>
          <w:lang w:eastAsia="en-GB"/>
          <w14:ligatures w14:val="none"/>
        </w:rPr>
      </w:pPr>
    </w:p>
    <w:p w14:paraId="0AB090A4" w14:textId="77777777" w:rsidR="00BA1551" w:rsidRDefault="00BA1551" w:rsidP="006C3B78">
      <w:pPr>
        <w:rPr>
          <w:rFonts w:eastAsia="Times New Roman" w:cstheme="minorHAnsi"/>
          <w:kern w:val="0"/>
          <w:sz w:val="28"/>
          <w:szCs w:val="28"/>
          <w:u w:val="single"/>
          <w:lang w:eastAsia="en-GB"/>
          <w14:ligatures w14:val="none"/>
        </w:rPr>
      </w:pPr>
    </w:p>
    <w:p w14:paraId="31A70825" w14:textId="77777777" w:rsidR="00BA1551" w:rsidRDefault="00BA1551" w:rsidP="006C3B78">
      <w:pPr>
        <w:rPr>
          <w:rFonts w:eastAsia="Times New Roman" w:cstheme="minorHAnsi"/>
          <w:kern w:val="0"/>
          <w:sz w:val="28"/>
          <w:szCs w:val="28"/>
          <w:u w:val="single"/>
          <w:lang w:eastAsia="en-GB"/>
          <w14:ligatures w14:val="none"/>
        </w:rPr>
      </w:pPr>
    </w:p>
    <w:p w14:paraId="6D4DDD4E" w14:textId="77777777" w:rsidR="00BA1551" w:rsidRDefault="00BA1551" w:rsidP="006C3B78">
      <w:pPr>
        <w:rPr>
          <w:rFonts w:eastAsia="Times New Roman" w:cstheme="minorHAnsi"/>
          <w:kern w:val="0"/>
          <w:sz w:val="28"/>
          <w:szCs w:val="28"/>
          <w:u w:val="single"/>
          <w:lang w:eastAsia="en-GB"/>
          <w14:ligatures w14:val="none"/>
        </w:rPr>
      </w:pPr>
    </w:p>
    <w:p w14:paraId="4C4BCE7C" w14:textId="77777777" w:rsidR="00BA1551" w:rsidRDefault="00BA1551" w:rsidP="006C3B78">
      <w:pPr>
        <w:rPr>
          <w:rFonts w:eastAsia="Times New Roman" w:cstheme="minorHAnsi"/>
          <w:kern w:val="0"/>
          <w:sz w:val="28"/>
          <w:szCs w:val="28"/>
          <w:u w:val="single"/>
          <w:lang w:eastAsia="en-GB"/>
          <w14:ligatures w14:val="none"/>
        </w:rPr>
      </w:pPr>
    </w:p>
    <w:p w14:paraId="330F4D0A" w14:textId="77777777" w:rsidR="00BA1551" w:rsidRDefault="00BA1551" w:rsidP="006C3B78">
      <w:pPr>
        <w:rPr>
          <w:rFonts w:eastAsia="Times New Roman" w:cstheme="minorHAnsi"/>
          <w:kern w:val="0"/>
          <w:sz w:val="28"/>
          <w:szCs w:val="28"/>
          <w:u w:val="single"/>
          <w:lang w:eastAsia="en-GB"/>
          <w14:ligatures w14:val="none"/>
        </w:rPr>
      </w:pPr>
    </w:p>
    <w:p w14:paraId="655C69A7" w14:textId="77777777" w:rsidR="00BA1551" w:rsidRDefault="00BA1551" w:rsidP="006C3B78">
      <w:pPr>
        <w:rPr>
          <w:rFonts w:eastAsia="Times New Roman" w:cstheme="minorHAnsi"/>
          <w:kern w:val="0"/>
          <w:sz w:val="28"/>
          <w:szCs w:val="28"/>
          <w:u w:val="single"/>
          <w:lang w:eastAsia="en-GB"/>
          <w14:ligatures w14:val="none"/>
        </w:rPr>
      </w:pPr>
    </w:p>
    <w:p w14:paraId="42D91CFA" w14:textId="77777777" w:rsidR="00BA1551" w:rsidRDefault="00BA1551" w:rsidP="006C3B78">
      <w:pPr>
        <w:rPr>
          <w:rFonts w:eastAsia="Times New Roman" w:cstheme="minorHAnsi"/>
          <w:kern w:val="0"/>
          <w:sz w:val="28"/>
          <w:szCs w:val="28"/>
          <w:u w:val="single"/>
          <w:lang w:eastAsia="en-GB"/>
          <w14:ligatures w14:val="none"/>
        </w:rPr>
      </w:pPr>
    </w:p>
    <w:p w14:paraId="1ECC2CEE" w14:textId="77777777" w:rsidR="00BA1551" w:rsidRDefault="00BA1551" w:rsidP="006C3B78">
      <w:pPr>
        <w:rPr>
          <w:rFonts w:eastAsia="Times New Roman" w:cstheme="minorHAnsi"/>
          <w:kern w:val="0"/>
          <w:sz w:val="28"/>
          <w:szCs w:val="28"/>
          <w:u w:val="single"/>
          <w:lang w:eastAsia="en-GB"/>
          <w14:ligatures w14:val="none"/>
        </w:rPr>
      </w:pPr>
    </w:p>
    <w:p w14:paraId="6B85B963" w14:textId="77777777" w:rsidR="00BA1551" w:rsidRDefault="00BA1551" w:rsidP="006C3B78">
      <w:pPr>
        <w:rPr>
          <w:rFonts w:eastAsia="Times New Roman" w:cstheme="minorHAnsi"/>
          <w:kern w:val="0"/>
          <w:sz w:val="28"/>
          <w:szCs w:val="28"/>
          <w:u w:val="single"/>
          <w:lang w:eastAsia="en-GB"/>
          <w14:ligatures w14:val="none"/>
        </w:rPr>
      </w:pPr>
    </w:p>
    <w:p w14:paraId="40C6D68B" w14:textId="77777777" w:rsidR="00BA1551" w:rsidRDefault="00BA1551" w:rsidP="006C3B78">
      <w:pPr>
        <w:rPr>
          <w:rFonts w:eastAsia="Times New Roman" w:cstheme="minorHAnsi"/>
          <w:kern w:val="0"/>
          <w:sz w:val="28"/>
          <w:szCs w:val="28"/>
          <w:u w:val="single"/>
          <w:lang w:eastAsia="en-GB"/>
          <w14:ligatures w14:val="none"/>
        </w:rPr>
      </w:pPr>
    </w:p>
    <w:p w14:paraId="47DB95B3" w14:textId="77777777" w:rsidR="00BA1551" w:rsidRDefault="00BA1551" w:rsidP="006C3B78">
      <w:pPr>
        <w:rPr>
          <w:rFonts w:eastAsia="Times New Roman" w:cstheme="minorHAnsi"/>
          <w:kern w:val="0"/>
          <w:sz w:val="28"/>
          <w:szCs w:val="28"/>
          <w:u w:val="single"/>
          <w:lang w:eastAsia="en-GB"/>
          <w14:ligatures w14:val="none"/>
        </w:rPr>
      </w:pPr>
    </w:p>
    <w:p w14:paraId="0F51F1C8" w14:textId="77777777" w:rsidR="00BA1551" w:rsidRDefault="00BA1551" w:rsidP="006C3B78">
      <w:pPr>
        <w:rPr>
          <w:rFonts w:eastAsia="Times New Roman" w:cstheme="minorHAnsi"/>
          <w:kern w:val="0"/>
          <w:sz w:val="28"/>
          <w:szCs w:val="28"/>
          <w:u w:val="single"/>
          <w:lang w:eastAsia="en-GB"/>
          <w14:ligatures w14:val="none"/>
        </w:rPr>
      </w:pPr>
    </w:p>
    <w:p w14:paraId="61A6BBC9" w14:textId="77777777" w:rsidR="00BA1551" w:rsidRDefault="00BA1551" w:rsidP="006C3B78">
      <w:pPr>
        <w:rPr>
          <w:rFonts w:eastAsia="Times New Roman" w:cstheme="minorHAnsi"/>
          <w:kern w:val="0"/>
          <w:sz w:val="28"/>
          <w:szCs w:val="28"/>
          <w:u w:val="single"/>
          <w:lang w:eastAsia="en-GB"/>
          <w14:ligatures w14:val="none"/>
        </w:rPr>
      </w:pPr>
    </w:p>
    <w:p w14:paraId="196AE17A" w14:textId="2E53D889" w:rsidR="006B0811" w:rsidRPr="006B0811" w:rsidRDefault="006B0811" w:rsidP="006C3B78">
      <w:pPr>
        <w:rPr>
          <w:rFonts w:eastAsia="Times New Roman" w:cstheme="minorHAnsi"/>
          <w:kern w:val="0"/>
          <w:sz w:val="28"/>
          <w:szCs w:val="28"/>
          <w:u w:val="single"/>
          <w:lang w:eastAsia="en-GB"/>
          <w14:ligatures w14:val="none"/>
        </w:rPr>
      </w:pPr>
      <w:r w:rsidRPr="006B0811">
        <w:rPr>
          <w:rFonts w:eastAsia="Times New Roman" w:cstheme="minorHAnsi"/>
          <w:kern w:val="0"/>
          <w:sz w:val="28"/>
          <w:szCs w:val="28"/>
          <w:u w:val="single"/>
          <w:lang w:eastAsia="en-GB"/>
          <w14:ligatures w14:val="none"/>
        </w:rPr>
        <w:lastRenderedPageBreak/>
        <w:t>Reference List</w:t>
      </w:r>
    </w:p>
    <w:p w14:paraId="3374481C" w14:textId="77777777" w:rsidR="006B0811" w:rsidRPr="00362C33" w:rsidRDefault="006B0811" w:rsidP="006C3B78">
      <w:pPr>
        <w:rPr>
          <w:rFonts w:eastAsia="Times New Roman" w:cstheme="minorHAnsi"/>
          <w:kern w:val="0"/>
          <w:sz w:val="24"/>
          <w:szCs w:val="24"/>
          <w:lang w:eastAsia="en-GB"/>
          <w14:ligatures w14:val="none"/>
        </w:rPr>
      </w:pPr>
    </w:p>
    <w:p w14:paraId="099352C2" w14:textId="3A68DF13" w:rsidR="006C3B78" w:rsidRPr="00440521" w:rsidRDefault="006B0811" w:rsidP="00127AA1">
      <w:pPr>
        <w:pStyle w:val="FootnoteText"/>
        <w:numPr>
          <w:ilvl w:val="0"/>
          <w:numId w:val="1"/>
        </w:numPr>
        <w:rPr>
          <w:rFonts w:eastAsia="Times New Roman" w:cstheme="minorHAnsi"/>
          <w:kern w:val="0"/>
          <w:sz w:val="24"/>
          <w:szCs w:val="24"/>
          <w:lang w:eastAsia="en-GB"/>
          <w14:ligatures w14:val="none"/>
        </w:rPr>
      </w:pPr>
      <w:r w:rsidRPr="00440521">
        <w:rPr>
          <w:rFonts w:cstheme="minorHAnsi"/>
          <w:sz w:val="24"/>
          <w:szCs w:val="24"/>
        </w:rPr>
        <w:t>Folbre, Nancy.</w:t>
      </w:r>
      <w:r w:rsidRPr="00440521">
        <w:rPr>
          <w:rFonts w:cstheme="minorHAnsi"/>
          <w:sz w:val="24"/>
          <w:szCs w:val="24"/>
        </w:rPr>
        <w:t xml:space="preserve"> (2009)</w:t>
      </w:r>
      <w:r w:rsidRPr="00440521">
        <w:rPr>
          <w:rFonts w:cstheme="minorHAnsi"/>
          <w:sz w:val="24"/>
          <w:szCs w:val="24"/>
        </w:rPr>
        <w:t xml:space="preserve"> ‘Greed, Lust and Gender: A History of Economic Ideas’</w:t>
      </w:r>
      <w:r w:rsidRPr="00440521">
        <w:rPr>
          <w:rFonts w:cstheme="minorHAnsi"/>
          <w:sz w:val="24"/>
          <w:szCs w:val="24"/>
        </w:rPr>
        <w:t>. OUP Oxford.</w:t>
      </w:r>
    </w:p>
    <w:p w14:paraId="73DA945F" w14:textId="77777777" w:rsidR="006C3B78" w:rsidRPr="00440521" w:rsidRDefault="006C3B78" w:rsidP="006C3B78">
      <w:pPr>
        <w:rPr>
          <w:rFonts w:eastAsia="Times New Roman" w:cstheme="minorHAnsi"/>
          <w:kern w:val="0"/>
          <w:sz w:val="24"/>
          <w:szCs w:val="24"/>
          <w:lang w:eastAsia="en-GB"/>
          <w14:ligatures w14:val="none"/>
        </w:rPr>
      </w:pPr>
    </w:p>
    <w:p w14:paraId="4B8054FA" w14:textId="7C5D18A9" w:rsidR="00362C33" w:rsidRPr="00440521" w:rsidRDefault="00362C33" w:rsidP="00362C33">
      <w:pPr>
        <w:pStyle w:val="FootnoteText"/>
        <w:numPr>
          <w:ilvl w:val="0"/>
          <w:numId w:val="1"/>
        </w:numPr>
        <w:rPr>
          <w:rFonts w:cstheme="minorHAnsi"/>
          <w:sz w:val="24"/>
          <w:szCs w:val="24"/>
        </w:rPr>
      </w:pPr>
      <w:r w:rsidRPr="00440521">
        <w:rPr>
          <w:rFonts w:cstheme="minorHAnsi"/>
          <w:sz w:val="24"/>
          <w:szCs w:val="24"/>
        </w:rPr>
        <w:t>Ashley N. Just. (2014) ‘The Catholic Church: Shaping the Roles of Medieval Women’</w:t>
      </w:r>
      <w:r w:rsidRPr="00440521">
        <w:rPr>
          <w:rFonts w:cstheme="minorHAnsi"/>
          <w:sz w:val="24"/>
          <w:szCs w:val="24"/>
        </w:rPr>
        <w:t xml:space="preserve">. Young historians conference. </w:t>
      </w:r>
      <w:r w:rsidRPr="00440521">
        <w:rPr>
          <w:rFonts w:cstheme="minorHAnsi"/>
          <w:sz w:val="24"/>
          <w:szCs w:val="24"/>
        </w:rPr>
        <w:t>Portland State University</w:t>
      </w:r>
      <w:r w:rsidRPr="00440521">
        <w:rPr>
          <w:rFonts w:cstheme="minorHAnsi"/>
          <w:sz w:val="24"/>
          <w:szCs w:val="24"/>
        </w:rPr>
        <w:t>.</w:t>
      </w:r>
    </w:p>
    <w:p w14:paraId="552A7047" w14:textId="50B15D25" w:rsidR="00362C33" w:rsidRPr="00440521" w:rsidRDefault="00362C33" w:rsidP="00362C33">
      <w:pPr>
        <w:pStyle w:val="ListParagraph"/>
        <w:rPr>
          <w:rFonts w:eastAsia="Times New Roman" w:cstheme="minorHAnsi"/>
          <w:kern w:val="0"/>
          <w:sz w:val="24"/>
          <w:szCs w:val="24"/>
          <w:lang w:eastAsia="en-GB"/>
          <w14:ligatures w14:val="none"/>
        </w:rPr>
      </w:pPr>
    </w:p>
    <w:p w14:paraId="237AEDAF" w14:textId="156CD186" w:rsidR="006C3B78" w:rsidRPr="00440521" w:rsidRDefault="007B2A8C" w:rsidP="007B2A8C">
      <w:pPr>
        <w:pStyle w:val="ListParagraph"/>
        <w:numPr>
          <w:ilvl w:val="0"/>
          <w:numId w:val="1"/>
        </w:numPr>
        <w:rPr>
          <w:rFonts w:eastAsia="Times New Roman" w:cstheme="minorHAnsi"/>
          <w:kern w:val="0"/>
          <w:sz w:val="24"/>
          <w:szCs w:val="24"/>
          <w:lang w:eastAsia="en-GB"/>
          <w14:ligatures w14:val="none"/>
        </w:rPr>
      </w:pPr>
      <w:r w:rsidRPr="00440521">
        <w:rPr>
          <w:rFonts w:eastAsia="Times New Roman" w:cstheme="minorHAnsi"/>
          <w:kern w:val="0"/>
          <w:sz w:val="24"/>
          <w:szCs w:val="24"/>
          <w:lang w:eastAsia="en-GB"/>
          <w14:ligatures w14:val="none"/>
        </w:rPr>
        <w:t>Ibid</w:t>
      </w:r>
      <w:r w:rsidR="00440521">
        <w:rPr>
          <w:rFonts w:eastAsia="Times New Roman" w:cstheme="minorHAnsi"/>
          <w:kern w:val="0"/>
          <w:sz w:val="24"/>
          <w:szCs w:val="24"/>
          <w:lang w:eastAsia="en-GB"/>
          <w14:ligatures w14:val="none"/>
        </w:rPr>
        <w:t>.</w:t>
      </w:r>
      <w:r w:rsidRPr="00440521">
        <w:rPr>
          <w:rFonts w:eastAsia="Times New Roman" w:cstheme="minorHAnsi"/>
          <w:kern w:val="0"/>
          <w:sz w:val="24"/>
          <w:szCs w:val="24"/>
          <w:lang w:eastAsia="en-GB"/>
          <w14:ligatures w14:val="none"/>
        </w:rPr>
        <w:t xml:space="preserve"> </w:t>
      </w:r>
      <w:r w:rsidR="00440521">
        <w:rPr>
          <w:rFonts w:eastAsia="Times New Roman" w:cstheme="minorHAnsi"/>
          <w:kern w:val="0"/>
          <w:sz w:val="24"/>
          <w:szCs w:val="24"/>
          <w:lang w:eastAsia="en-GB"/>
          <w14:ligatures w14:val="none"/>
        </w:rPr>
        <w:t>(1)</w:t>
      </w:r>
    </w:p>
    <w:p w14:paraId="6100827D" w14:textId="77777777" w:rsidR="007B2A8C" w:rsidRPr="00440521" w:rsidRDefault="007B2A8C" w:rsidP="007B2A8C">
      <w:pPr>
        <w:pStyle w:val="a-carousel-card"/>
        <w:shd w:val="clear" w:color="auto" w:fill="FFFFFF"/>
        <w:spacing w:before="0" w:beforeAutospacing="0" w:after="0" w:afterAutospacing="0" w:line="240" w:lineRule="atLeast"/>
        <w:textAlignment w:val="top"/>
        <w:rPr>
          <w:rFonts w:asciiTheme="minorHAnsi" w:hAnsiTheme="minorHAnsi" w:cstheme="minorHAnsi"/>
        </w:rPr>
      </w:pPr>
    </w:p>
    <w:p w14:paraId="74508E7E" w14:textId="5805D8A8" w:rsidR="007B2A8C" w:rsidRPr="00440521" w:rsidRDefault="007B2A8C" w:rsidP="007B2A8C">
      <w:pPr>
        <w:pStyle w:val="ListParagraph"/>
        <w:numPr>
          <w:ilvl w:val="0"/>
          <w:numId w:val="1"/>
        </w:numPr>
        <w:rPr>
          <w:rFonts w:cstheme="minorHAnsi"/>
          <w:sz w:val="24"/>
          <w:szCs w:val="24"/>
        </w:rPr>
      </w:pPr>
      <w:r w:rsidRPr="00440521">
        <w:rPr>
          <w:rFonts w:cstheme="minorHAnsi"/>
          <w:sz w:val="24"/>
          <w:szCs w:val="24"/>
        </w:rPr>
        <w:t xml:space="preserve">Bennett, Judith M. (1987) </w:t>
      </w:r>
      <w:r w:rsidRPr="00440521">
        <w:rPr>
          <w:rFonts w:cstheme="minorHAnsi"/>
          <w:sz w:val="24"/>
          <w:szCs w:val="24"/>
        </w:rPr>
        <w:t>‘</w:t>
      </w:r>
      <w:r w:rsidRPr="00440521">
        <w:rPr>
          <w:rFonts w:cstheme="minorHAnsi"/>
          <w:sz w:val="24"/>
          <w:szCs w:val="24"/>
        </w:rPr>
        <w:t>Women in the Medieval English Countryside: Gender and Household in Brigstock Before the Plague.</w:t>
      </w:r>
      <w:r w:rsidRPr="00440521">
        <w:rPr>
          <w:rFonts w:cstheme="minorHAnsi"/>
          <w:sz w:val="24"/>
          <w:szCs w:val="24"/>
        </w:rPr>
        <w:t xml:space="preserve">’ </w:t>
      </w:r>
      <w:r w:rsidRPr="00440521">
        <w:rPr>
          <w:rFonts w:cstheme="minorHAnsi"/>
          <w:sz w:val="24"/>
          <w:szCs w:val="24"/>
        </w:rPr>
        <w:t>Oxford University Press</w:t>
      </w:r>
    </w:p>
    <w:p w14:paraId="517776A0" w14:textId="77777777" w:rsidR="007B2A8C" w:rsidRPr="00440521" w:rsidRDefault="007B2A8C" w:rsidP="007B2A8C">
      <w:pPr>
        <w:pStyle w:val="a-carousel-card"/>
        <w:shd w:val="clear" w:color="auto" w:fill="FFFFFF"/>
        <w:spacing w:before="0" w:beforeAutospacing="0" w:after="0" w:afterAutospacing="0" w:line="240" w:lineRule="atLeast"/>
        <w:ind w:left="945"/>
        <w:textAlignment w:val="top"/>
        <w:rPr>
          <w:rFonts w:asciiTheme="minorHAnsi" w:hAnsiTheme="minorHAnsi" w:cstheme="minorHAnsi"/>
          <w:sz w:val="18"/>
          <w:szCs w:val="18"/>
        </w:rPr>
      </w:pPr>
    </w:p>
    <w:p w14:paraId="224E4AB5" w14:textId="22102700" w:rsidR="007B2A8C" w:rsidRPr="00440521" w:rsidRDefault="007B2A8C" w:rsidP="007B2A8C">
      <w:pPr>
        <w:pStyle w:val="ListParagraph"/>
        <w:numPr>
          <w:ilvl w:val="0"/>
          <w:numId w:val="1"/>
        </w:numPr>
        <w:rPr>
          <w:rFonts w:cstheme="minorHAnsi"/>
          <w:sz w:val="24"/>
          <w:szCs w:val="24"/>
          <w:lang w:eastAsia="en-GB"/>
        </w:rPr>
      </w:pPr>
      <w:r w:rsidRPr="00440521">
        <w:rPr>
          <w:rFonts w:cstheme="minorHAnsi"/>
          <w:sz w:val="24"/>
          <w:szCs w:val="24"/>
        </w:rPr>
        <w:t>Santosuosso, Antonio (2004). </w:t>
      </w:r>
      <w:r w:rsidRPr="00440521">
        <w:rPr>
          <w:rFonts w:cstheme="minorHAnsi"/>
          <w:sz w:val="24"/>
          <w:szCs w:val="24"/>
        </w:rPr>
        <w:t>‘</w:t>
      </w:r>
      <w:r w:rsidRPr="00440521">
        <w:rPr>
          <w:rFonts w:cstheme="minorHAnsi"/>
          <w:sz w:val="24"/>
          <w:szCs w:val="24"/>
        </w:rPr>
        <w:t>Barbarians, Marauders, and Infidels.</w:t>
      </w:r>
      <w:r w:rsidRPr="00440521">
        <w:rPr>
          <w:rFonts w:cstheme="minorHAnsi"/>
          <w:sz w:val="24"/>
          <w:szCs w:val="24"/>
        </w:rPr>
        <w:t>’</w:t>
      </w:r>
      <w:r w:rsidRPr="00440521">
        <w:rPr>
          <w:rFonts w:cstheme="minorHAnsi"/>
          <w:sz w:val="24"/>
          <w:szCs w:val="24"/>
        </w:rPr>
        <w:t xml:space="preserve"> Oxford, UK: Westview Press.</w:t>
      </w:r>
    </w:p>
    <w:p w14:paraId="532ED02F" w14:textId="77777777" w:rsidR="00660E1A" w:rsidRPr="00440521" w:rsidRDefault="00660E1A" w:rsidP="00660E1A">
      <w:pPr>
        <w:pStyle w:val="ListParagraph"/>
        <w:rPr>
          <w:rFonts w:cstheme="minorHAnsi"/>
          <w:sz w:val="24"/>
          <w:szCs w:val="24"/>
          <w:lang w:eastAsia="en-GB"/>
        </w:rPr>
      </w:pPr>
    </w:p>
    <w:p w14:paraId="6C60A88B" w14:textId="19182F5B" w:rsidR="00660E1A" w:rsidRPr="00440521" w:rsidRDefault="00660E1A" w:rsidP="007B2A8C">
      <w:pPr>
        <w:pStyle w:val="ListParagraph"/>
        <w:numPr>
          <w:ilvl w:val="0"/>
          <w:numId w:val="1"/>
        </w:numPr>
        <w:rPr>
          <w:rFonts w:cstheme="minorHAnsi"/>
          <w:sz w:val="24"/>
          <w:szCs w:val="24"/>
          <w:lang w:eastAsia="en-GB"/>
        </w:rPr>
      </w:pPr>
      <w:r w:rsidRPr="00440521">
        <w:rPr>
          <w:rFonts w:cstheme="minorHAnsi"/>
          <w:sz w:val="24"/>
          <w:szCs w:val="24"/>
        </w:rPr>
        <w:t>BBC History. (2014) ‘Eleanor of Aquitaine (c. 1122 – 1204)’</w:t>
      </w:r>
      <w:r w:rsidRPr="00440521">
        <w:rPr>
          <w:rFonts w:cstheme="minorHAnsi"/>
          <w:sz w:val="24"/>
          <w:szCs w:val="24"/>
        </w:rPr>
        <w:t xml:space="preserve"> Accessed at: </w:t>
      </w:r>
      <w:hyperlink r:id="rId7" w:history="1">
        <w:r w:rsidRPr="00440521">
          <w:rPr>
            <w:rStyle w:val="Hyperlink"/>
            <w:rFonts w:cstheme="minorHAnsi"/>
            <w:color w:val="4472C4" w:themeColor="accent1"/>
            <w:sz w:val="24"/>
            <w:szCs w:val="24"/>
          </w:rPr>
          <w:t>BBC - History - Eleanor of Aquitaine</w:t>
        </w:r>
      </w:hyperlink>
      <w:r w:rsidRPr="00440521">
        <w:rPr>
          <w:rFonts w:cstheme="minorHAnsi"/>
          <w:color w:val="4472C4" w:themeColor="accent1"/>
          <w:sz w:val="24"/>
          <w:szCs w:val="24"/>
        </w:rPr>
        <w:t>.</w:t>
      </w:r>
      <w:r w:rsidRPr="00440521">
        <w:rPr>
          <w:rFonts w:cstheme="minorHAnsi"/>
          <w:sz w:val="24"/>
          <w:szCs w:val="24"/>
        </w:rPr>
        <w:t xml:space="preserve"> Accessed on: 15/11/23.</w:t>
      </w:r>
    </w:p>
    <w:p w14:paraId="39182975" w14:textId="77777777" w:rsidR="00660E1A" w:rsidRPr="00440521" w:rsidRDefault="00660E1A" w:rsidP="00660E1A">
      <w:pPr>
        <w:pStyle w:val="ListParagraph"/>
        <w:rPr>
          <w:rFonts w:cstheme="minorHAnsi"/>
          <w:sz w:val="24"/>
          <w:szCs w:val="24"/>
          <w:lang w:eastAsia="en-GB"/>
        </w:rPr>
      </w:pPr>
    </w:p>
    <w:p w14:paraId="6981F16F" w14:textId="39F8F992" w:rsidR="00660E1A" w:rsidRPr="00440521" w:rsidRDefault="00660E1A" w:rsidP="00660E1A">
      <w:pPr>
        <w:pStyle w:val="ListParagraph"/>
        <w:numPr>
          <w:ilvl w:val="0"/>
          <w:numId w:val="1"/>
        </w:numPr>
        <w:rPr>
          <w:rFonts w:cstheme="minorHAnsi"/>
          <w:sz w:val="24"/>
          <w:szCs w:val="24"/>
          <w:lang w:eastAsia="en-GB"/>
        </w:rPr>
      </w:pPr>
      <w:r w:rsidRPr="00440521">
        <w:rPr>
          <w:rFonts w:cstheme="minorHAnsi"/>
          <w:sz w:val="24"/>
          <w:szCs w:val="24"/>
        </w:rPr>
        <w:t>Gies, Frances; Gies, Joseph (1978). </w:t>
      </w:r>
      <w:r w:rsidRPr="00440521">
        <w:rPr>
          <w:rFonts w:cstheme="minorHAnsi"/>
          <w:sz w:val="24"/>
          <w:szCs w:val="24"/>
        </w:rPr>
        <w:t>‘</w:t>
      </w:r>
      <w:r w:rsidRPr="00440521">
        <w:rPr>
          <w:rFonts w:cstheme="minorHAnsi"/>
          <w:sz w:val="24"/>
          <w:szCs w:val="24"/>
        </w:rPr>
        <w:t>Women in the Middle Ages.</w:t>
      </w:r>
      <w:r w:rsidRPr="00440521">
        <w:rPr>
          <w:rFonts w:cstheme="minorHAnsi"/>
          <w:sz w:val="24"/>
          <w:szCs w:val="24"/>
        </w:rPr>
        <w:t>’</w:t>
      </w:r>
      <w:r w:rsidRPr="00440521">
        <w:rPr>
          <w:rFonts w:cstheme="minorHAnsi"/>
          <w:sz w:val="24"/>
          <w:szCs w:val="24"/>
        </w:rPr>
        <w:t xml:space="preserve"> Harper &amp; Row.</w:t>
      </w:r>
    </w:p>
    <w:p w14:paraId="66FFCE80" w14:textId="77777777" w:rsidR="00324291" w:rsidRPr="00440521" w:rsidRDefault="00324291" w:rsidP="00324291">
      <w:pPr>
        <w:pStyle w:val="ListParagraph"/>
        <w:rPr>
          <w:rFonts w:cstheme="minorHAnsi"/>
          <w:sz w:val="24"/>
          <w:szCs w:val="24"/>
          <w:lang w:eastAsia="en-GB"/>
        </w:rPr>
      </w:pPr>
    </w:p>
    <w:p w14:paraId="6FCEAE40" w14:textId="16ABE10F" w:rsidR="00324291" w:rsidRPr="00440521" w:rsidRDefault="00324291" w:rsidP="00660E1A">
      <w:pPr>
        <w:pStyle w:val="ListParagraph"/>
        <w:numPr>
          <w:ilvl w:val="0"/>
          <w:numId w:val="1"/>
        </w:numPr>
        <w:rPr>
          <w:rStyle w:val="HTMLCite"/>
          <w:rFonts w:cstheme="minorHAnsi"/>
          <w:sz w:val="24"/>
          <w:szCs w:val="24"/>
          <w:lang w:eastAsia="en-GB"/>
        </w:rPr>
      </w:pPr>
      <w:r w:rsidRPr="00440521">
        <w:rPr>
          <w:rFonts w:cstheme="minorHAnsi"/>
          <w:sz w:val="24"/>
          <w:szCs w:val="24"/>
          <w:shd w:val="clear" w:color="auto" w:fill="FFFFFF"/>
        </w:rPr>
        <w:t> </w:t>
      </w:r>
      <w:r w:rsidRPr="00440521">
        <w:rPr>
          <w:rStyle w:val="HTMLCite"/>
          <w:rFonts w:cstheme="minorHAnsi"/>
          <w:sz w:val="24"/>
          <w:szCs w:val="24"/>
          <w:shd w:val="clear" w:color="auto" w:fill="FFFFFF"/>
        </w:rPr>
        <w:t>Simons, Walter (2001). </w:t>
      </w:r>
      <w:r w:rsidRPr="00440521">
        <w:rPr>
          <w:rStyle w:val="HTMLCite"/>
          <w:rFonts w:cstheme="minorHAnsi"/>
          <w:sz w:val="24"/>
          <w:szCs w:val="24"/>
          <w:shd w:val="clear" w:color="auto" w:fill="FFFFFF"/>
        </w:rPr>
        <w:t>‘</w:t>
      </w:r>
      <w:r w:rsidRPr="00440521">
        <w:rPr>
          <w:rStyle w:val="cs1-lock-limited"/>
          <w:rFonts w:cstheme="minorHAnsi"/>
          <w:sz w:val="24"/>
          <w:szCs w:val="24"/>
          <w:shd w:val="clear" w:color="auto" w:fill="FFFFFF"/>
        </w:rPr>
        <w:t>Cities of Ladies: Beguine Communities in the Medieval Low Countries, 1200–1565</w:t>
      </w:r>
      <w:r w:rsidRPr="00440521">
        <w:rPr>
          <w:rStyle w:val="HTMLCite"/>
          <w:rFonts w:cstheme="minorHAnsi"/>
          <w:sz w:val="24"/>
          <w:szCs w:val="24"/>
          <w:shd w:val="clear" w:color="auto" w:fill="FFFFFF"/>
        </w:rPr>
        <w:t>.</w:t>
      </w:r>
      <w:r w:rsidRPr="00440521">
        <w:rPr>
          <w:rStyle w:val="HTMLCite"/>
          <w:rFonts w:cstheme="minorHAnsi"/>
          <w:sz w:val="24"/>
          <w:szCs w:val="24"/>
          <w:shd w:val="clear" w:color="auto" w:fill="FFFFFF"/>
        </w:rPr>
        <w:t>’</w:t>
      </w:r>
      <w:r w:rsidRPr="00440521">
        <w:rPr>
          <w:rStyle w:val="HTMLCite"/>
          <w:rFonts w:cstheme="minorHAnsi"/>
          <w:sz w:val="24"/>
          <w:szCs w:val="24"/>
          <w:shd w:val="clear" w:color="auto" w:fill="FFFFFF"/>
        </w:rPr>
        <w:t xml:space="preserve"> Philadelphia: University of Pennsylvania Press.</w:t>
      </w:r>
    </w:p>
    <w:p w14:paraId="2A62A4FF" w14:textId="77777777" w:rsidR="00324291" w:rsidRPr="00440521" w:rsidRDefault="00324291" w:rsidP="00324291">
      <w:pPr>
        <w:pStyle w:val="ListParagraph"/>
        <w:rPr>
          <w:rFonts w:cstheme="minorHAnsi"/>
          <w:sz w:val="24"/>
          <w:szCs w:val="24"/>
          <w:lang w:eastAsia="en-GB"/>
        </w:rPr>
      </w:pPr>
    </w:p>
    <w:p w14:paraId="1DADAA15" w14:textId="2FA342E4" w:rsidR="00324291" w:rsidRPr="00440521" w:rsidRDefault="00324291" w:rsidP="00660E1A">
      <w:pPr>
        <w:pStyle w:val="ListParagraph"/>
        <w:numPr>
          <w:ilvl w:val="0"/>
          <w:numId w:val="1"/>
        </w:numPr>
        <w:rPr>
          <w:rFonts w:cstheme="minorHAnsi"/>
          <w:sz w:val="24"/>
          <w:szCs w:val="24"/>
          <w:lang w:eastAsia="en-GB"/>
        </w:rPr>
      </w:pPr>
      <w:r w:rsidRPr="00440521">
        <w:rPr>
          <w:rFonts w:cstheme="minorHAnsi"/>
          <w:sz w:val="24"/>
          <w:szCs w:val="24"/>
          <w:shd w:val="clear" w:color="auto" w:fill="FFFFFF"/>
        </w:rPr>
        <w:t xml:space="preserve">Schulman, Jana K. (2002). </w:t>
      </w:r>
      <w:r w:rsidRPr="00440521">
        <w:rPr>
          <w:rFonts w:cstheme="minorHAnsi"/>
          <w:sz w:val="24"/>
          <w:szCs w:val="24"/>
          <w:shd w:val="clear" w:color="auto" w:fill="FFFFFF"/>
        </w:rPr>
        <w:t>‘</w:t>
      </w:r>
      <w:r w:rsidRPr="00440521">
        <w:rPr>
          <w:rFonts w:cstheme="minorHAnsi"/>
          <w:sz w:val="24"/>
          <w:szCs w:val="24"/>
          <w:shd w:val="clear" w:color="auto" w:fill="FFFFFF"/>
        </w:rPr>
        <w:t>The Rise of the Medieval World 500–1300.</w:t>
      </w:r>
      <w:r w:rsidRPr="00440521">
        <w:rPr>
          <w:rFonts w:cstheme="minorHAnsi"/>
          <w:sz w:val="24"/>
          <w:szCs w:val="24"/>
          <w:shd w:val="clear" w:color="auto" w:fill="FFFFFF"/>
        </w:rPr>
        <w:t>’</w:t>
      </w:r>
      <w:r w:rsidRPr="00440521">
        <w:rPr>
          <w:rFonts w:cstheme="minorHAnsi"/>
          <w:sz w:val="24"/>
          <w:szCs w:val="24"/>
          <w:shd w:val="clear" w:color="auto" w:fill="FFFFFF"/>
        </w:rPr>
        <w:t xml:space="preserve"> Westport, Conn: Greenwood Publishing Group.</w:t>
      </w:r>
    </w:p>
    <w:p w14:paraId="14C02821" w14:textId="77777777" w:rsidR="00440521" w:rsidRPr="00440521" w:rsidRDefault="00440521" w:rsidP="00440521">
      <w:pPr>
        <w:pStyle w:val="ListParagraph"/>
        <w:rPr>
          <w:rFonts w:cstheme="minorHAnsi"/>
          <w:sz w:val="24"/>
          <w:szCs w:val="24"/>
          <w:lang w:eastAsia="en-GB"/>
        </w:rPr>
      </w:pPr>
    </w:p>
    <w:p w14:paraId="3DFD1F14" w14:textId="45C7F38E" w:rsidR="006C3B78" w:rsidRPr="00440521" w:rsidRDefault="00440521" w:rsidP="006C3B78">
      <w:pPr>
        <w:pStyle w:val="ListParagraph"/>
        <w:numPr>
          <w:ilvl w:val="0"/>
          <w:numId w:val="1"/>
        </w:numPr>
        <w:rPr>
          <w:rFonts w:cstheme="minorHAnsi"/>
          <w:sz w:val="24"/>
          <w:szCs w:val="24"/>
          <w:lang w:eastAsia="en-GB"/>
        </w:rPr>
      </w:pPr>
      <w:r w:rsidRPr="00440521">
        <w:rPr>
          <w:rFonts w:cstheme="minorHAnsi"/>
          <w:sz w:val="24"/>
          <w:szCs w:val="24"/>
          <w:shd w:val="clear" w:color="auto" w:fill="FFFFFF"/>
        </w:rPr>
        <w:t>P.J.P. Goldberg (1992). ‘Women in medieval society’. The History Press Ltd.</w:t>
      </w:r>
    </w:p>
    <w:p w14:paraId="60372BEC" w14:textId="77777777" w:rsidR="00440521" w:rsidRPr="00440521" w:rsidRDefault="00440521" w:rsidP="00440521">
      <w:pPr>
        <w:pStyle w:val="ListParagraph"/>
        <w:rPr>
          <w:rFonts w:cstheme="minorHAnsi"/>
          <w:sz w:val="24"/>
          <w:szCs w:val="24"/>
          <w:lang w:eastAsia="en-GB"/>
        </w:rPr>
      </w:pPr>
    </w:p>
    <w:p w14:paraId="3D00BBF3" w14:textId="7116C082" w:rsidR="00440521" w:rsidRPr="009C30ED" w:rsidRDefault="00440521" w:rsidP="006C3B78">
      <w:pPr>
        <w:pStyle w:val="ListParagraph"/>
        <w:numPr>
          <w:ilvl w:val="0"/>
          <w:numId w:val="1"/>
        </w:numPr>
        <w:rPr>
          <w:rFonts w:cstheme="minorHAnsi"/>
          <w:sz w:val="24"/>
          <w:szCs w:val="24"/>
          <w:lang w:eastAsia="en-GB"/>
        </w:rPr>
      </w:pPr>
      <w:r w:rsidRPr="00440521">
        <w:rPr>
          <w:sz w:val="24"/>
          <w:szCs w:val="24"/>
        </w:rPr>
        <w:t>University of Nottingham. Manuscripts and Special Collections. Property Ownership</w:t>
      </w:r>
      <w:r w:rsidRPr="00440521">
        <w:rPr>
          <w:sz w:val="24"/>
          <w:szCs w:val="24"/>
        </w:rPr>
        <w:t xml:space="preserve">. Accessed at: </w:t>
      </w:r>
      <w:hyperlink r:id="rId8" w:history="1">
        <w:r w:rsidRPr="00440521">
          <w:rPr>
            <w:rStyle w:val="Hyperlink"/>
            <w:sz w:val="24"/>
            <w:szCs w:val="24"/>
          </w:rPr>
          <w:t>Property Ownership - The University of Nottingham</w:t>
        </w:r>
      </w:hyperlink>
      <w:r w:rsidRPr="00440521">
        <w:rPr>
          <w:sz w:val="24"/>
          <w:szCs w:val="24"/>
        </w:rPr>
        <w:t xml:space="preserve">. Accessed on: </w:t>
      </w:r>
      <w:proofErr w:type="gramStart"/>
      <w:r w:rsidRPr="00440521">
        <w:rPr>
          <w:sz w:val="24"/>
          <w:szCs w:val="24"/>
        </w:rPr>
        <w:t>15/11/23</w:t>
      </w:r>
      <w:proofErr w:type="gramEnd"/>
    </w:p>
    <w:p w14:paraId="66DD91BA" w14:textId="77777777" w:rsidR="009C30ED" w:rsidRPr="009C30ED" w:rsidRDefault="009C30ED" w:rsidP="009C30ED">
      <w:pPr>
        <w:pStyle w:val="ListParagraph"/>
        <w:rPr>
          <w:rFonts w:cstheme="minorHAnsi"/>
          <w:sz w:val="24"/>
          <w:szCs w:val="24"/>
          <w:lang w:eastAsia="en-GB"/>
        </w:rPr>
      </w:pPr>
    </w:p>
    <w:p w14:paraId="60097BC1" w14:textId="06CAF7DF" w:rsidR="009C30ED" w:rsidRPr="009C30ED" w:rsidRDefault="009C30ED" w:rsidP="006C3B78">
      <w:pPr>
        <w:pStyle w:val="ListParagraph"/>
        <w:numPr>
          <w:ilvl w:val="0"/>
          <w:numId w:val="1"/>
        </w:numPr>
        <w:rPr>
          <w:rFonts w:cstheme="minorHAnsi"/>
          <w:sz w:val="24"/>
          <w:szCs w:val="24"/>
          <w:lang w:eastAsia="en-GB"/>
        </w:rPr>
      </w:pPr>
      <w:r w:rsidRPr="009C30ED">
        <w:rPr>
          <w:rStyle w:val="Strong"/>
          <w:rFonts w:cstheme="minorHAnsi"/>
          <w:b w:val="0"/>
          <w:bCs w:val="0"/>
          <w:color w:val="000000"/>
          <w:sz w:val="24"/>
          <w:szCs w:val="24"/>
          <w:bdr w:val="none" w:sz="0" w:space="0" w:color="auto" w:frame="1"/>
          <w:shd w:val="clear" w:color="auto" w:fill="FFFFFF"/>
        </w:rPr>
        <w:t>Corcoran, Vanessa (2018). ‘Silencing Medieval Women’s voices – Nevertheless, She Persisted’</w:t>
      </w:r>
      <w:r>
        <w:rPr>
          <w:rStyle w:val="Strong"/>
          <w:rFonts w:cstheme="minorHAnsi"/>
          <w:b w:val="0"/>
          <w:bCs w:val="0"/>
          <w:color w:val="000000"/>
          <w:sz w:val="24"/>
          <w:szCs w:val="24"/>
          <w:bdr w:val="none" w:sz="0" w:space="0" w:color="auto" w:frame="1"/>
          <w:shd w:val="clear" w:color="auto" w:fill="FFFFFF"/>
        </w:rPr>
        <w:t xml:space="preserve">. The Public Medievalist. Accessed at: </w:t>
      </w:r>
      <w:hyperlink r:id="rId9" w:history="1">
        <w:r>
          <w:rPr>
            <w:rStyle w:val="Hyperlink"/>
          </w:rPr>
          <w:t>Silencing Medieval Women’s Voices—Nevertheless, She Persisted - The Public Medievalist</w:t>
        </w:r>
      </w:hyperlink>
      <w:r>
        <w:t xml:space="preserve"> Accessed on: </w:t>
      </w:r>
      <w:proofErr w:type="gramStart"/>
      <w:r>
        <w:t>16/11/23</w:t>
      </w:r>
      <w:proofErr w:type="gramEnd"/>
    </w:p>
    <w:p w14:paraId="66277B3E" w14:textId="77777777" w:rsidR="009C30ED" w:rsidRPr="009C30ED" w:rsidRDefault="009C30ED" w:rsidP="009C30ED">
      <w:pPr>
        <w:pStyle w:val="ListParagraph"/>
        <w:rPr>
          <w:rFonts w:cstheme="minorHAnsi"/>
          <w:sz w:val="24"/>
          <w:szCs w:val="24"/>
          <w:lang w:eastAsia="en-GB"/>
        </w:rPr>
      </w:pPr>
    </w:p>
    <w:p w14:paraId="21635DD8" w14:textId="13F109E3" w:rsidR="009C30ED" w:rsidRPr="00BA1551" w:rsidRDefault="009C30ED" w:rsidP="009C30ED">
      <w:pPr>
        <w:pStyle w:val="ListParagraph"/>
        <w:numPr>
          <w:ilvl w:val="0"/>
          <w:numId w:val="1"/>
        </w:numPr>
        <w:rPr>
          <w:rFonts w:cstheme="minorHAnsi"/>
          <w:sz w:val="24"/>
          <w:szCs w:val="24"/>
          <w:lang w:eastAsia="en-GB"/>
        </w:rPr>
      </w:pPr>
      <w:r w:rsidRPr="009C30ED">
        <w:rPr>
          <w:rFonts w:cstheme="minorHAnsi"/>
          <w:sz w:val="24"/>
          <w:szCs w:val="24"/>
          <w:shd w:val="clear" w:color="auto" w:fill="FFFFFF"/>
        </w:rPr>
        <w:t>Keen, Maurice Hugh</w:t>
      </w:r>
      <w:r w:rsidRPr="009C30ED">
        <w:rPr>
          <w:rFonts w:cstheme="minorHAnsi"/>
          <w:color w:val="222222"/>
          <w:sz w:val="24"/>
          <w:szCs w:val="24"/>
          <w:shd w:val="clear" w:color="auto" w:fill="FFFFFF"/>
        </w:rPr>
        <w:t> (2005). </w:t>
      </w:r>
      <w:r w:rsidR="00BA1551">
        <w:rPr>
          <w:rFonts w:cstheme="minorHAnsi"/>
          <w:color w:val="222222"/>
          <w:sz w:val="24"/>
          <w:szCs w:val="24"/>
          <w:shd w:val="clear" w:color="auto" w:fill="FFFFFF"/>
        </w:rPr>
        <w:t>‘</w:t>
      </w:r>
      <w:r w:rsidRPr="009C30ED">
        <w:rPr>
          <w:rFonts w:cstheme="minorHAnsi"/>
          <w:i/>
          <w:iCs/>
          <w:color w:val="222222"/>
          <w:sz w:val="24"/>
          <w:szCs w:val="24"/>
          <w:shd w:val="clear" w:color="auto" w:fill="FFFFFF"/>
        </w:rPr>
        <w:t>Chivalry</w:t>
      </w:r>
      <w:r w:rsidR="00BA1551">
        <w:rPr>
          <w:rFonts w:cstheme="minorHAnsi"/>
          <w:i/>
          <w:iCs/>
          <w:color w:val="222222"/>
          <w:sz w:val="24"/>
          <w:szCs w:val="24"/>
          <w:shd w:val="clear" w:color="auto" w:fill="FFFFFF"/>
        </w:rPr>
        <w:t>’</w:t>
      </w:r>
      <w:r w:rsidRPr="009C30ED">
        <w:rPr>
          <w:rFonts w:cstheme="minorHAnsi"/>
          <w:color w:val="222222"/>
          <w:sz w:val="24"/>
          <w:szCs w:val="24"/>
          <w:shd w:val="clear" w:color="auto" w:fill="FFFFFF"/>
        </w:rPr>
        <w:t>. </w:t>
      </w:r>
      <w:r w:rsidRPr="009C30ED">
        <w:rPr>
          <w:rFonts w:cstheme="minorHAnsi"/>
          <w:sz w:val="24"/>
          <w:szCs w:val="24"/>
          <w:shd w:val="clear" w:color="auto" w:fill="FFFFFF"/>
        </w:rPr>
        <w:t>Yale University Press</w:t>
      </w:r>
      <w:r w:rsidRPr="009C30ED">
        <w:rPr>
          <w:rFonts w:cstheme="minorHAnsi"/>
          <w:color w:val="222222"/>
          <w:sz w:val="24"/>
          <w:szCs w:val="24"/>
          <w:shd w:val="clear" w:color="auto" w:fill="FFFFFF"/>
        </w:rPr>
        <w:t>.</w:t>
      </w:r>
    </w:p>
    <w:p w14:paraId="4A21D469" w14:textId="77777777" w:rsidR="00BA1551" w:rsidRPr="00BA1551" w:rsidRDefault="00BA1551" w:rsidP="00BA1551">
      <w:pPr>
        <w:pStyle w:val="ListParagraph"/>
        <w:rPr>
          <w:rFonts w:cstheme="minorHAnsi"/>
          <w:sz w:val="24"/>
          <w:szCs w:val="24"/>
          <w:lang w:eastAsia="en-GB"/>
        </w:rPr>
      </w:pPr>
    </w:p>
    <w:p w14:paraId="3307B7C5" w14:textId="0ED593D4" w:rsidR="00BA1551" w:rsidRPr="00BA1551" w:rsidRDefault="00BA1551" w:rsidP="009C30ED">
      <w:pPr>
        <w:pStyle w:val="ListParagraph"/>
        <w:numPr>
          <w:ilvl w:val="0"/>
          <w:numId w:val="1"/>
        </w:numPr>
        <w:rPr>
          <w:rFonts w:cstheme="minorHAnsi"/>
          <w:sz w:val="24"/>
          <w:szCs w:val="24"/>
          <w:lang w:eastAsia="en-GB"/>
        </w:rPr>
      </w:pPr>
      <w:r w:rsidRPr="00BA1551">
        <w:rPr>
          <w:rFonts w:cstheme="minorHAnsi"/>
          <w:color w:val="202122"/>
          <w:sz w:val="24"/>
          <w:szCs w:val="24"/>
          <w:shd w:val="clear" w:color="auto" w:fill="FFFFFF"/>
        </w:rPr>
        <w:t xml:space="preserve">Miller, Tanya Stabler (2007). </w:t>
      </w:r>
      <w:r>
        <w:rPr>
          <w:rFonts w:cstheme="minorHAnsi"/>
          <w:color w:val="202122"/>
          <w:sz w:val="24"/>
          <w:szCs w:val="24"/>
          <w:shd w:val="clear" w:color="auto" w:fill="FFFFFF"/>
        </w:rPr>
        <w:t>‘</w:t>
      </w:r>
      <w:r w:rsidRPr="00BA1551">
        <w:rPr>
          <w:rFonts w:cstheme="minorHAnsi"/>
          <w:i/>
          <w:iCs/>
          <w:color w:val="202122"/>
          <w:sz w:val="24"/>
          <w:szCs w:val="24"/>
          <w:shd w:val="clear" w:color="auto" w:fill="FFFFFF"/>
        </w:rPr>
        <w:t>What's in a Name: Clerical Representations of Parisian Beguines</w:t>
      </w:r>
      <w:r>
        <w:rPr>
          <w:rFonts w:cstheme="minorHAnsi"/>
          <w:color w:val="202122"/>
          <w:sz w:val="24"/>
          <w:szCs w:val="24"/>
          <w:shd w:val="clear" w:color="auto" w:fill="FFFFFF"/>
        </w:rPr>
        <w:t>’</w:t>
      </w:r>
      <w:r w:rsidRPr="00BA1551">
        <w:rPr>
          <w:rFonts w:cstheme="minorHAnsi"/>
          <w:color w:val="202122"/>
          <w:sz w:val="24"/>
          <w:szCs w:val="24"/>
          <w:shd w:val="clear" w:color="auto" w:fill="FFFFFF"/>
        </w:rPr>
        <w:t>. </w:t>
      </w:r>
      <w:r w:rsidRPr="00BA1551">
        <w:rPr>
          <w:rFonts w:cstheme="minorHAnsi"/>
          <w:i/>
          <w:iCs/>
          <w:color w:val="202122"/>
          <w:sz w:val="24"/>
          <w:szCs w:val="24"/>
          <w:shd w:val="clear" w:color="auto" w:fill="FFFFFF"/>
        </w:rPr>
        <w:t>Journal of Medieval History</w:t>
      </w:r>
    </w:p>
    <w:p w14:paraId="6F106023" w14:textId="77777777" w:rsidR="006C3B78" w:rsidRPr="006C3B78" w:rsidRDefault="006C3B78" w:rsidP="006C3B78">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6C3B78">
        <w:rPr>
          <w:rFonts w:ascii="Arial" w:eastAsia="Times New Roman" w:hAnsi="Arial" w:cs="Arial"/>
          <w:vanish/>
          <w:kern w:val="0"/>
          <w:sz w:val="16"/>
          <w:szCs w:val="16"/>
          <w:lang w:eastAsia="en-GB"/>
          <w14:ligatures w14:val="none"/>
        </w:rPr>
        <w:lastRenderedPageBreak/>
        <w:t>Top of Form</w:t>
      </w:r>
    </w:p>
    <w:p w14:paraId="13C87BA4" w14:textId="77777777" w:rsidR="00E33468" w:rsidRDefault="00E33468"/>
    <w:sectPr w:rsidR="00E33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515B3" w14:textId="77777777" w:rsidR="00380DE2" w:rsidRDefault="00380DE2" w:rsidP="00AF1E75">
      <w:pPr>
        <w:spacing w:after="0" w:line="240" w:lineRule="auto"/>
      </w:pPr>
      <w:r>
        <w:separator/>
      </w:r>
    </w:p>
  </w:endnote>
  <w:endnote w:type="continuationSeparator" w:id="0">
    <w:p w14:paraId="51B11EF4" w14:textId="77777777" w:rsidR="00380DE2" w:rsidRDefault="00380DE2" w:rsidP="00AF1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83625" w14:textId="77777777" w:rsidR="00380DE2" w:rsidRDefault="00380DE2" w:rsidP="00AF1E75">
      <w:pPr>
        <w:spacing w:after="0" w:line="240" w:lineRule="auto"/>
      </w:pPr>
      <w:r>
        <w:separator/>
      </w:r>
    </w:p>
  </w:footnote>
  <w:footnote w:type="continuationSeparator" w:id="0">
    <w:p w14:paraId="3B18810E" w14:textId="77777777" w:rsidR="00380DE2" w:rsidRDefault="00380DE2" w:rsidP="00AF1E75">
      <w:pPr>
        <w:spacing w:after="0" w:line="240" w:lineRule="auto"/>
      </w:pPr>
      <w:r>
        <w:continuationSeparator/>
      </w:r>
    </w:p>
  </w:footnote>
  <w:footnote w:id="1">
    <w:p w14:paraId="5BA109B0" w14:textId="5C9895B5" w:rsidR="00362C33" w:rsidRDefault="00362C33">
      <w:pPr>
        <w:pStyle w:val="FootnoteText"/>
      </w:pPr>
      <w:r>
        <w:rPr>
          <w:rStyle w:val="FootnoteReference"/>
        </w:rPr>
        <w:footnoteRef/>
      </w:r>
      <w:r>
        <w:t xml:space="preserve"> </w:t>
      </w:r>
      <w:r>
        <w:t>Folbre, Nancy. (2009) ‘Greed, Lust and Gender: A History of Economic Ideas’</w:t>
      </w:r>
    </w:p>
  </w:footnote>
  <w:footnote w:id="2">
    <w:p w14:paraId="64B42502" w14:textId="77777777" w:rsidR="00362C33" w:rsidRDefault="00362C33" w:rsidP="00362C33">
      <w:pPr>
        <w:pStyle w:val="FootnoteText"/>
      </w:pPr>
      <w:r>
        <w:rPr>
          <w:rStyle w:val="FootnoteReference"/>
        </w:rPr>
        <w:footnoteRef/>
      </w:r>
      <w:r>
        <w:t xml:space="preserve"> </w:t>
      </w:r>
      <w:r>
        <w:t xml:space="preserve">Ashley N. Just. (2014) ‘The Catholic Church: Shaping the Roles of Medieval </w:t>
      </w:r>
      <w:proofErr w:type="gramStart"/>
      <w:r>
        <w:t>Women’</w:t>
      </w:r>
      <w:proofErr w:type="gramEnd"/>
    </w:p>
    <w:p w14:paraId="6DFC98E9" w14:textId="77777777" w:rsidR="00362C33" w:rsidRDefault="00362C33" w:rsidP="00362C33">
      <w:pPr>
        <w:pStyle w:val="FootnoteText"/>
      </w:pPr>
    </w:p>
    <w:p w14:paraId="52D60BC6" w14:textId="0E832506" w:rsidR="00362C33" w:rsidRDefault="00362C33">
      <w:pPr>
        <w:pStyle w:val="FootnoteText"/>
      </w:pPr>
    </w:p>
  </w:footnote>
  <w:footnote w:id="3">
    <w:p w14:paraId="35735C91" w14:textId="07A35B07" w:rsidR="00362C33" w:rsidRPr="007B2A8C" w:rsidRDefault="00362C33">
      <w:pPr>
        <w:pStyle w:val="FootnoteText"/>
      </w:pPr>
      <w:r w:rsidRPr="007B2A8C">
        <w:rPr>
          <w:rStyle w:val="FootnoteReference"/>
        </w:rPr>
        <w:footnoteRef/>
      </w:r>
      <w:r w:rsidRPr="007B2A8C">
        <w:t xml:space="preserve"> </w:t>
      </w:r>
      <w:r w:rsidRPr="007B2A8C">
        <w:t>Folbre, Nancy. (2009) ‘Greed, Lust and Gender: A History of Economic Ideas’</w:t>
      </w:r>
    </w:p>
  </w:footnote>
  <w:footnote w:id="4">
    <w:p w14:paraId="794A2EEB" w14:textId="41902CD6" w:rsidR="007B2A8C" w:rsidRPr="007B2A8C" w:rsidRDefault="007B2A8C">
      <w:pPr>
        <w:pStyle w:val="FootnoteText"/>
      </w:pPr>
      <w:r w:rsidRPr="007B2A8C">
        <w:rPr>
          <w:rStyle w:val="FootnoteReference"/>
        </w:rPr>
        <w:footnoteRef/>
      </w:r>
      <w:r w:rsidRPr="007B2A8C">
        <w:t xml:space="preserve"> </w:t>
      </w:r>
      <w:r w:rsidRPr="007B2A8C">
        <w:t xml:space="preserve">Bennett, Judith M. </w:t>
      </w:r>
      <w:r w:rsidRPr="007B2A8C">
        <w:t>(</w:t>
      </w:r>
      <w:r w:rsidRPr="007B2A8C">
        <w:t>1987</w:t>
      </w:r>
      <w:r w:rsidRPr="007B2A8C">
        <w:t>)</w:t>
      </w:r>
      <w:r w:rsidRPr="007B2A8C">
        <w:t xml:space="preserve"> Women in the Medieval English Countryside: Gender and Household in Brigstock Before the Plague.</w:t>
      </w:r>
    </w:p>
  </w:footnote>
  <w:footnote w:id="5">
    <w:p w14:paraId="199AB6F2" w14:textId="7AA43374" w:rsidR="007B2A8C" w:rsidRPr="00660E1A" w:rsidRDefault="007B2A8C" w:rsidP="007B2A8C">
      <w:pPr>
        <w:rPr>
          <w:rFonts w:cstheme="minorHAnsi"/>
          <w:sz w:val="20"/>
          <w:szCs w:val="20"/>
        </w:rPr>
      </w:pPr>
      <w:r w:rsidRPr="007B2A8C">
        <w:rPr>
          <w:rStyle w:val="FootnoteReference"/>
          <w:sz w:val="20"/>
          <w:szCs w:val="20"/>
        </w:rPr>
        <w:footnoteRef/>
      </w:r>
      <w:r w:rsidRPr="007B2A8C">
        <w:rPr>
          <w:sz w:val="20"/>
          <w:szCs w:val="20"/>
        </w:rPr>
        <w:t xml:space="preserve"> </w:t>
      </w:r>
      <w:r w:rsidRPr="007B2A8C">
        <w:rPr>
          <w:sz w:val="20"/>
          <w:szCs w:val="20"/>
        </w:rPr>
        <w:t>Santosuosso, Antonio (2004). </w:t>
      </w:r>
      <w:r>
        <w:rPr>
          <w:sz w:val="20"/>
          <w:szCs w:val="20"/>
        </w:rPr>
        <w:t>‘</w:t>
      </w:r>
      <w:r w:rsidRPr="007B2A8C">
        <w:rPr>
          <w:sz w:val="20"/>
          <w:szCs w:val="20"/>
        </w:rPr>
        <w:t>Barbarians, Marau</w:t>
      </w:r>
      <w:r w:rsidRPr="00660E1A">
        <w:rPr>
          <w:sz w:val="20"/>
          <w:szCs w:val="20"/>
        </w:rPr>
        <w:t>ders, and Infidels.</w:t>
      </w:r>
      <w:r w:rsidR="00660E1A" w:rsidRPr="00660E1A">
        <w:rPr>
          <w:sz w:val="20"/>
          <w:szCs w:val="20"/>
        </w:rPr>
        <w:t>’</w:t>
      </w:r>
    </w:p>
  </w:footnote>
  <w:footnote w:id="6">
    <w:p w14:paraId="0F0D8C30" w14:textId="7E5EF963" w:rsidR="00660E1A" w:rsidRDefault="00660E1A">
      <w:pPr>
        <w:pStyle w:val="FootnoteText"/>
      </w:pPr>
      <w:r>
        <w:rPr>
          <w:rStyle w:val="FootnoteReference"/>
        </w:rPr>
        <w:footnoteRef/>
      </w:r>
      <w:r>
        <w:t xml:space="preserve"> BBC History. (2014) ‘Eleanor of Aquitaine (c. 1122 – 1204)’</w:t>
      </w:r>
    </w:p>
  </w:footnote>
  <w:footnote w:id="7">
    <w:p w14:paraId="2E2B2150" w14:textId="59102C3D" w:rsidR="00660E1A" w:rsidRDefault="00660E1A">
      <w:pPr>
        <w:pStyle w:val="FootnoteText"/>
      </w:pPr>
      <w:r>
        <w:rPr>
          <w:rStyle w:val="FootnoteReference"/>
        </w:rPr>
        <w:footnoteRef/>
      </w:r>
      <w:r>
        <w:t xml:space="preserve"> </w:t>
      </w:r>
      <w:r w:rsidRPr="00660E1A">
        <w:rPr>
          <w:rFonts w:cstheme="minorHAnsi"/>
          <w:color w:val="202122"/>
          <w:shd w:val="clear" w:color="auto" w:fill="FFFFFF"/>
        </w:rPr>
        <w:t>Gies, Frances; Gies, Joseph (1978). </w:t>
      </w:r>
      <w:r>
        <w:rPr>
          <w:rFonts w:cstheme="minorHAnsi"/>
          <w:color w:val="202122"/>
          <w:shd w:val="clear" w:color="auto" w:fill="FFFFFF"/>
        </w:rPr>
        <w:t>‘</w:t>
      </w:r>
      <w:r w:rsidRPr="00660E1A">
        <w:rPr>
          <w:rStyle w:val="cs1-lock-registration"/>
          <w:rFonts w:cstheme="minorHAnsi"/>
          <w:i/>
          <w:iCs/>
          <w:color w:val="202122"/>
          <w:shd w:val="clear" w:color="auto" w:fill="FFFFFF"/>
        </w:rPr>
        <w:t>Women in the Middle Ages</w:t>
      </w:r>
      <w:r w:rsidRPr="00660E1A">
        <w:rPr>
          <w:rFonts w:cstheme="minorHAnsi"/>
          <w:color w:val="202122"/>
          <w:shd w:val="clear" w:color="auto" w:fill="FFFFFF"/>
        </w:rPr>
        <w:t>.</w:t>
      </w:r>
      <w:r>
        <w:rPr>
          <w:rFonts w:cstheme="minorHAnsi"/>
          <w:color w:val="202122"/>
          <w:shd w:val="clear" w:color="auto" w:fill="FFFFFF"/>
        </w:rPr>
        <w:t>’</w:t>
      </w:r>
    </w:p>
  </w:footnote>
  <w:footnote w:id="8">
    <w:p w14:paraId="42283C8E" w14:textId="679A2146" w:rsidR="00324291" w:rsidRDefault="00324291">
      <w:pPr>
        <w:pStyle w:val="FootnoteText"/>
      </w:pPr>
      <w:r>
        <w:rPr>
          <w:rStyle w:val="FootnoteReference"/>
        </w:rPr>
        <w:footnoteRef/>
      </w:r>
      <w:r>
        <w:t xml:space="preserve"> </w:t>
      </w:r>
      <w:r w:rsidRPr="00324291">
        <w:rPr>
          <w:rStyle w:val="HTMLCite"/>
          <w:rFonts w:cstheme="minorHAnsi"/>
          <w:i w:val="0"/>
          <w:iCs w:val="0"/>
          <w:color w:val="202122"/>
          <w:shd w:val="clear" w:color="auto" w:fill="FFFFFF"/>
        </w:rPr>
        <w:t>Simons, Walter (2001). ‘</w:t>
      </w:r>
      <w:r w:rsidRPr="00324291">
        <w:rPr>
          <w:rStyle w:val="cs1-lock-limited"/>
          <w:rFonts w:cstheme="minorHAnsi"/>
          <w:i/>
          <w:iCs/>
          <w:color w:val="202122"/>
          <w:shd w:val="clear" w:color="auto" w:fill="FFFFFF"/>
        </w:rPr>
        <w:t>Cities of Ladies: Beguine Communities in the Medieval Low Countries, 1200–1565</w:t>
      </w:r>
      <w:r w:rsidRPr="00324291">
        <w:rPr>
          <w:rStyle w:val="HTMLCite"/>
          <w:rFonts w:cstheme="minorHAnsi"/>
          <w:i w:val="0"/>
          <w:iCs w:val="0"/>
          <w:color w:val="202122"/>
          <w:shd w:val="clear" w:color="auto" w:fill="FFFFFF"/>
        </w:rPr>
        <w:t>.’</w:t>
      </w:r>
    </w:p>
  </w:footnote>
  <w:footnote w:id="9">
    <w:p w14:paraId="3946B905" w14:textId="26788F4A" w:rsidR="00324291" w:rsidRDefault="00324291">
      <w:pPr>
        <w:pStyle w:val="FootnoteText"/>
      </w:pPr>
      <w:r>
        <w:rPr>
          <w:rStyle w:val="FootnoteReference"/>
        </w:rPr>
        <w:footnoteRef/>
      </w:r>
      <w:r>
        <w:t xml:space="preserve"> </w:t>
      </w:r>
      <w:r w:rsidRPr="00324291">
        <w:rPr>
          <w:rFonts w:cstheme="minorHAnsi"/>
          <w:color w:val="202122"/>
          <w:shd w:val="clear" w:color="auto" w:fill="FFFFFF"/>
        </w:rPr>
        <w:t>Schulman, Jana K. (2002). ‘The Rise of the Medieval World 500–1300.’</w:t>
      </w:r>
    </w:p>
  </w:footnote>
  <w:footnote w:id="10">
    <w:p w14:paraId="248DE031" w14:textId="3E5B2CC5" w:rsidR="00324291" w:rsidRDefault="00324291">
      <w:pPr>
        <w:pStyle w:val="FootnoteText"/>
      </w:pPr>
      <w:r>
        <w:rPr>
          <w:rStyle w:val="FootnoteReference"/>
        </w:rPr>
        <w:footnoteRef/>
      </w:r>
      <w:r>
        <w:t xml:space="preserve"> </w:t>
      </w:r>
      <w:r w:rsidRPr="00324291">
        <w:rPr>
          <w:rFonts w:cstheme="minorHAnsi"/>
          <w:shd w:val="clear" w:color="auto" w:fill="FFFFFF"/>
        </w:rPr>
        <w:t>P.J.P. Goldberg</w:t>
      </w:r>
      <w:r>
        <w:rPr>
          <w:rFonts w:cstheme="minorHAnsi"/>
          <w:shd w:val="clear" w:color="auto" w:fill="FFFFFF"/>
        </w:rPr>
        <w:t xml:space="preserve"> (1992). ‘Women in medieval society’.</w:t>
      </w:r>
    </w:p>
  </w:footnote>
  <w:footnote w:id="11">
    <w:p w14:paraId="6F95E117" w14:textId="76A4CBB2" w:rsidR="00440521" w:rsidRDefault="00440521">
      <w:pPr>
        <w:pStyle w:val="FootnoteText"/>
      </w:pPr>
      <w:r>
        <w:rPr>
          <w:rStyle w:val="FootnoteReference"/>
        </w:rPr>
        <w:footnoteRef/>
      </w:r>
      <w:r>
        <w:t xml:space="preserve"> University of Nottingham. Manuscripts and Special Collections. Property Ownership.</w:t>
      </w:r>
    </w:p>
  </w:footnote>
  <w:footnote w:id="12">
    <w:p w14:paraId="72563BED" w14:textId="3475B518" w:rsidR="009C30ED" w:rsidRPr="009C30ED" w:rsidRDefault="009C30ED">
      <w:pPr>
        <w:pStyle w:val="FootnoteText"/>
        <w:rPr>
          <w:rFonts w:cstheme="minorHAnsi"/>
          <w:b/>
          <w:bCs/>
        </w:rPr>
      </w:pPr>
      <w:r>
        <w:rPr>
          <w:rStyle w:val="FootnoteReference"/>
        </w:rPr>
        <w:footnoteRef/>
      </w:r>
      <w:r>
        <w:t xml:space="preserve"> </w:t>
      </w:r>
      <w:r>
        <w:rPr>
          <w:rStyle w:val="Strong"/>
          <w:rFonts w:ascii="Arial" w:hAnsi="Arial" w:cs="Arial"/>
          <w:color w:val="000000"/>
          <w:sz w:val="29"/>
          <w:szCs w:val="29"/>
          <w:bdr w:val="none" w:sz="0" w:space="0" w:color="auto" w:frame="1"/>
          <w:shd w:val="clear" w:color="auto" w:fill="FFFFFF"/>
        </w:rPr>
        <w:t> </w:t>
      </w:r>
      <w:r w:rsidRPr="009C30ED">
        <w:rPr>
          <w:rStyle w:val="Strong"/>
          <w:rFonts w:cstheme="minorHAnsi"/>
          <w:b w:val="0"/>
          <w:bCs w:val="0"/>
          <w:color w:val="000000"/>
          <w:bdr w:val="none" w:sz="0" w:space="0" w:color="auto" w:frame="1"/>
          <w:shd w:val="clear" w:color="auto" w:fill="FFFFFF"/>
        </w:rPr>
        <w:t>Corcoran</w:t>
      </w:r>
      <w:r w:rsidRPr="009C30ED">
        <w:rPr>
          <w:rStyle w:val="Strong"/>
          <w:rFonts w:cstheme="minorHAnsi"/>
          <w:b w:val="0"/>
          <w:bCs w:val="0"/>
          <w:color w:val="000000"/>
          <w:bdr w:val="none" w:sz="0" w:space="0" w:color="auto" w:frame="1"/>
          <w:shd w:val="clear" w:color="auto" w:fill="FFFFFF"/>
        </w:rPr>
        <w:t>, Vanessa</w:t>
      </w:r>
      <w:r>
        <w:rPr>
          <w:rStyle w:val="Strong"/>
          <w:rFonts w:cstheme="minorHAnsi"/>
          <w:b w:val="0"/>
          <w:bCs w:val="0"/>
          <w:color w:val="000000"/>
          <w:bdr w:val="none" w:sz="0" w:space="0" w:color="auto" w:frame="1"/>
          <w:shd w:val="clear" w:color="auto" w:fill="FFFFFF"/>
        </w:rPr>
        <w:t xml:space="preserve"> (2018). ‘Silencing Medieval Women’s voices – Nevertheless, She </w:t>
      </w:r>
      <w:proofErr w:type="gramStart"/>
      <w:r>
        <w:rPr>
          <w:rStyle w:val="Strong"/>
          <w:rFonts w:cstheme="minorHAnsi"/>
          <w:b w:val="0"/>
          <w:bCs w:val="0"/>
          <w:color w:val="000000"/>
          <w:bdr w:val="none" w:sz="0" w:space="0" w:color="auto" w:frame="1"/>
          <w:shd w:val="clear" w:color="auto" w:fill="FFFFFF"/>
        </w:rPr>
        <w:t>Persisted’</w:t>
      </w:r>
      <w:proofErr w:type="gramEnd"/>
    </w:p>
  </w:footnote>
  <w:footnote w:id="13">
    <w:p w14:paraId="1CB013E3" w14:textId="7807BF44" w:rsidR="00BA1551" w:rsidRDefault="00BA1551">
      <w:pPr>
        <w:pStyle w:val="FootnoteText"/>
      </w:pPr>
      <w:r>
        <w:rPr>
          <w:rStyle w:val="FootnoteReference"/>
        </w:rPr>
        <w:footnoteRef/>
      </w:r>
      <w:r>
        <w:t xml:space="preserve"> </w:t>
      </w:r>
      <w:r w:rsidRPr="00BA1551">
        <w:rPr>
          <w:rFonts w:cstheme="minorHAnsi"/>
          <w:shd w:val="clear" w:color="auto" w:fill="FFFFFF"/>
        </w:rPr>
        <w:t>Keen, Maurice Hugh</w:t>
      </w:r>
      <w:r w:rsidRPr="00BA1551">
        <w:rPr>
          <w:rFonts w:cstheme="minorHAnsi"/>
          <w:color w:val="222222"/>
          <w:shd w:val="clear" w:color="auto" w:fill="FFFFFF"/>
        </w:rPr>
        <w:t> (2005). ‘</w:t>
      </w:r>
      <w:r w:rsidRPr="00BA1551">
        <w:rPr>
          <w:rFonts w:cstheme="minorHAnsi"/>
          <w:i/>
          <w:iCs/>
          <w:color w:val="222222"/>
          <w:shd w:val="clear" w:color="auto" w:fill="FFFFFF"/>
        </w:rPr>
        <w:t>Chivalry’</w:t>
      </w:r>
    </w:p>
  </w:footnote>
  <w:footnote w:id="14">
    <w:p w14:paraId="2680FC99" w14:textId="4A5F70E5" w:rsidR="00BA1551" w:rsidRDefault="00BA1551">
      <w:pPr>
        <w:pStyle w:val="FootnoteText"/>
      </w:pPr>
      <w:r>
        <w:rPr>
          <w:rStyle w:val="FootnoteReference"/>
        </w:rPr>
        <w:footnoteRef/>
      </w:r>
      <w:r>
        <w:t xml:space="preserve"> </w:t>
      </w:r>
      <w:r w:rsidRPr="00BA1551">
        <w:rPr>
          <w:rFonts w:cstheme="minorHAnsi"/>
          <w:color w:val="202122"/>
          <w:shd w:val="clear" w:color="auto" w:fill="FFFFFF"/>
        </w:rPr>
        <w:t>Miller, Tanya Stabler (2007). ‘</w:t>
      </w:r>
      <w:r w:rsidRPr="00BA1551">
        <w:rPr>
          <w:rFonts w:cstheme="minorHAnsi"/>
          <w:i/>
          <w:iCs/>
          <w:color w:val="202122"/>
          <w:shd w:val="clear" w:color="auto" w:fill="FFFFFF"/>
        </w:rPr>
        <w:t>What's in a Name: Clerical Representations of Parisian Beguines</w:t>
      </w:r>
      <w:r w:rsidRPr="00BA1551">
        <w:rPr>
          <w:rFonts w:cstheme="minorHAnsi"/>
          <w:color w:val="202122"/>
          <w:shd w:val="clear" w:color="auto" w:fill="FFFFFF"/>
        </w:rPr>
        <w:t>’.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C360B"/>
    <w:multiLevelType w:val="hybridMultilevel"/>
    <w:tmpl w:val="57B88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2A3B35"/>
    <w:multiLevelType w:val="multilevel"/>
    <w:tmpl w:val="266A2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1976977">
    <w:abstractNumId w:val="0"/>
  </w:num>
  <w:num w:numId="2" w16cid:durableId="532498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B78"/>
    <w:rsid w:val="002A3EA5"/>
    <w:rsid w:val="00324291"/>
    <w:rsid w:val="00362C33"/>
    <w:rsid w:val="00380DE2"/>
    <w:rsid w:val="00440521"/>
    <w:rsid w:val="005B3113"/>
    <w:rsid w:val="00604E8A"/>
    <w:rsid w:val="00660E1A"/>
    <w:rsid w:val="006B0811"/>
    <w:rsid w:val="006C3B78"/>
    <w:rsid w:val="007B2A8C"/>
    <w:rsid w:val="009C30ED"/>
    <w:rsid w:val="00AF1E75"/>
    <w:rsid w:val="00BA1551"/>
    <w:rsid w:val="00E33468"/>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D0F7F2"/>
  <w15:chartTrackingRefBased/>
  <w15:docId w15:val="{53804DB8-F584-40ED-9E6F-F14BFE45D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C33"/>
  </w:style>
  <w:style w:type="paragraph" w:styleId="Heading1">
    <w:name w:val="heading 1"/>
    <w:basedOn w:val="Normal"/>
    <w:next w:val="Normal"/>
    <w:link w:val="Heading1Char"/>
    <w:uiPriority w:val="9"/>
    <w:qFormat/>
    <w:rsid w:val="00660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C3B7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3B78"/>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6C3B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6C3B7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C3B78"/>
    <w:rPr>
      <w:rFonts w:ascii="Arial" w:eastAsia="Times New Roman" w:hAnsi="Arial" w:cs="Arial"/>
      <w:vanish/>
      <w:kern w:val="0"/>
      <w:sz w:val="16"/>
      <w:szCs w:val="16"/>
      <w:lang w:eastAsia="en-GB"/>
      <w14:ligatures w14:val="none"/>
    </w:rPr>
  </w:style>
  <w:style w:type="paragraph" w:styleId="FootnoteText">
    <w:name w:val="footnote text"/>
    <w:basedOn w:val="Normal"/>
    <w:link w:val="FootnoteTextChar"/>
    <w:uiPriority w:val="99"/>
    <w:unhideWhenUsed/>
    <w:rsid w:val="00AF1E75"/>
    <w:pPr>
      <w:spacing w:after="0" w:line="240" w:lineRule="auto"/>
    </w:pPr>
    <w:rPr>
      <w:sz w:val="20"/>
      <w:szCs w:val="20"/>
    </w:rPr>
  </w:style>
  <w:style w:type="character" w:customStyle="1" w:styleId="FootnoteTextChar">
    <w:name w:val="Footnote Text Char"/>
    <w:basedOn w:val="DefaultParagraphFont"/>
    <w:link w:val="FootnoteText"/>
    <w:uiPriority w:val="99"/>
    <w:rsid w:val="00AF1E75"/>
    <w:rPr>
      <w:sz w:val="20"/>
      <w:szCs w:val="20"/>
    </w:rPr>
  </w:style>
  <w:style w:type="character" w:styleId="FootnoteReference">
    <w:name w:val="footnote reference"/>
    <w:basedOn w:val="DefaultParagraphFont"/>
    <w:uiPriority w:val="99"/>
    <w:semiHidden/>
    <w:unhideWhenUsed/>
    <w:rsid w:val="00AF1E75"/>
    <w:rPr>
      <w:vertAlign w:val="superscript"/>
    </w:rPr>
  </w:style>
  <w:style w:type="paragraph" w:styleId="ListParagraph">
    <w:name w:val="List Paragraph"/>
    <w:basedOn w:val="Normal"/>
    <w:uiPriority w:val="34"/>
    <w:qFormat/>
    <w:rsid w:val="006B0811"/>
    <w:pPr>
      <w:ind w:left="720"/>
      <w:contextualSpacing/>
    </w:pPr>
  </w:style>
  <w:style w:type="paragraph" w:customStyle="1" w:styleId="a-carousel-card">
    <w:name w:val="a-carousel-card"/>
    <w:basedOn w:val="Normal"/>
    <w:rsid w:val="007B2A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60E1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660E1A"/>
    <w:rPr>
      <w:color w:val="0000FF"/>
      <w:u w:val="single"/>
    </w:rPr>
  </w:style>
  <w:style w:type="character" w:customStyle="1" w:styleId="cs1-lock-registration">
    <w:name w:val="cs1-lock-registration"/>
    <w:basedOn w:val="DefaultParagraphFont"/>
    <w:rsid w:val="00660E1A"/>
  </w:style>
  <w:style w:type="character" w:styleId="HTMLCite">
    <w:name w:val="HTML Cite"/>
    <w:basedOn w:val="DefaultParagraphFont"/>
    <w:uiPriority w:val="99"/>
    <w:semiHidden/>
    <w:unhideWhenUsed/>
    <w:rsid w:val="00324291"/>
    <w:rPr>
      <w:i/>
      <w:iCs/>
    </w:rPr>
  </w:style>
  <w:style w:type="character" w:customStyle="1" w:styleId="cs1-lock-limited">
    <w:name w:val="cs1-lock-limited"/>
    <w:basedOn w:val="DefaultParagraphFont"/>
    <w:rsid w:val="00324291"/>
  </w:style>
  <w:style w:type="character" w:styleId="Strong">
    <w:name w:val="Strong"/>
    <w:basedOn w:val="DefaultParagraphFont"/>
    <w:uiPriority w:val="22"/>
    <w:qFormat/>
    <w:rsid w:val="009C30E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934">
      <w:bodyDiv w:val="1"/>
      <w:marLeft w:val="0"/>
      <w:marRight w:val="0"/>
      <w:marTop w:val="0"/>
      <w:marBottom w:val="0"/>
      <w:divBdr>
        <w:top w:val="none" w:sz="0" w:space="0" w:color="auto"/>
        <w:left w:val="none" w:sz="0" w:space="0" w:color="auto"/>
        <w:bottom w:val="none" w:sz="0" w:space="0" w:color="auto"/>
        <w:right w:val="none" w:sz="0" w:space="0" w:color="auto"/>
      </w:divBdr>
    </w:div>
    <w:div w:id="551430601">
      <w:bodyDiv w:val="1"/>
      <w:marLeft w:val="0"/>
      <w:marRight w:val="0"/>
      <w:marTop w:val="0"/>
      <w:marBottom w:val="0"/>
      <w:divBdr>
        <w:top w:val="none" w:sz="0" w:space="0" w:color="auto"/>
        <w:left w:val="none" w:sz="0" w:space="0" w:color="auto"/>
        <w:bottom w:val="none" w:sz="0" w:space="0" w:color="auto"/>
        <w:right w:val="none" w:sz="0" w:space="0" w:color="auto"/>
      </w:divBdr>
      <w:divsChild>
        <w:div w:id="2117947623">
          <w:marLeft w:val="0"/>
          <w:marRight w:val="0"/>
          <w:marTop w:val="0"/>
          <w:marBottom w:val="0"/>
          <w:divBdr>
            <w:top w:val="none" w:sz="0" w:space="0" w:color="auto"/>
            <w:left w:val="none" w:sz="0" w:space="0" w:color="auto"/>
            <w:bottom w:val="none" w:sz="0" w:space="0" w:color="auto"/>
            <w:right w:val="none" w:sz="0" w:space="0" w:color="auto"/>
          </w:divBdr>
        </w:div>
        <w:div w:id="1227958412">
          <w:marLeft w:val="0"/>
          <w:marRight w:val="0"/>
          <w:marTop w:val="0"/>
          <w:marBottom w:val="0"/>
          <w:divBdr>
            <w:top w:val="none" w:sz="0" w:space="0" w:color="auto"/>
            <w:left w:val="none" w:sz="0" w:space="0" w:color="auto"/>
            <w:bottom w:val="none" w:sz="0" w:space="0" w:color="auto"/>
            <w:right w:val="none" w:sz="0" w:space="0" w:color="auto"/>
          </w:divBdr>
          <w:divsChild>
            <w:div w:id="133695672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899941592">
      <w:bodyDiv w:val="1"/>
      <w:marLeft w:val="0"/>
      <w:marRight w:val="0"/>
      <w:marTop w:val="0"/>
      <w:marBottom w:val="0"/>
      <w:divBdr>
        <w:top w:val="none" w:sz="0" w:space="0" w:color="auto"/>
        <w:left w:val="none" w:sz="0" w:space="0" w:color="auto"/>
        <w:bottom w:val="none" w:sz="0" w:space="0" w:color="auto"/>
        <w:right w:val="none" w:sz="0" w:space="0" w:color="auto"/>
      </w:divBdr>
    </w:div>
    <w:div w:id="1055275674">
      <w:bodyDiv w:val="1"/>
      <w:marLeft w:val="0"/>
      <w:marRight w:val="0"/>
      <w:marTop w:val="0"/>
      <w:marBottom w:val="0"/>
      <w:divBdr>
        <w:top w:val="none" w:sz="0" w:space="0" w:color="auto"/>
        <w:left w:val="none" w:sz="0" w:space="0" w:color="auto"/>
        <w:bottom w:val="none" w:sz="0" w:space="0" w:color="auto"/>
        <w:right w:val="none" w:sz="0" w:space="0" w:color="auto"/>
      </w:divBdr>
      <w:divsChild>
        <w:div w:id="471798251">
          <w:marLeft w:val="0"/>
          <w:marRight w:val="0"/>
          <w:marTop w:val="0"/>
          <w:marBottom w:val="0"/>
          <w:divBdr>
            <w:top w:val="single" w:sz="2" w:space="0" w:color="D9D9E3"/>
            <w:left w:val="single" w:sz="2" w:space="0" w:color="D9D9E3"/>
            <w:bottom w:val="single" w:sz="2" w:space="0" w:color="D9D9E3"/>
            <w:right w:val="single" w:sz="2" w:space="0" w:color="D9D9E3"/>
          </w:divBdr>
          <w:divsChild>
            <w:div w:id="120805973">
              <w:marLeft w:val="0"/>
              <w:marRight w:val="0"/>
              <w:marTop w:val="0"/>
              <w:marBottom w:val="0"/>
              <w:divBdr>
                <w:top w:val="single" w:sz="2" w:space="0" w:color="D9D9E3"/>
                <w:left w:val="single" w:sz="2" w:space="0" w:color="D9D9E3"/>
                <w:bottom w:val="single" w:sz="2" w:space="0" w:color="D9D9E3"/>
                <w:right w:val="single" w:sz="2" w:space="0" w:color="D9D9E3"/>
              </w:divBdr>
              <w:divsChild>
                <w:div w:id="531503403">
                  <w:marLeft w:val="0"/>
                  <w:marRight w:val="0"/>
                  <w:marTop w:val="0"/>
                  <w:marBottom w:val="0"/>
                  <w:divBdr>
                    <w:top w:val="single" w:sz="2" w:space="0" w:color="D9D9E3"/>
                    <w:left w:val="single" w:sz="2" w:space="0" w:color="D9D9E3"/>
                    <w:bottom w:val="single" w:sz="2" w:space="0" w:color="D9D9E3"/>
                    <w:right w:val="single" w:sz="2" w:space="0" w:color="D9D9E3"/>
                  </w:divBdr>
                  <w:divsChild>
                    <w:div w:id="1915309489">
                      <w:marLeft w:val="0"/>
                      <w:marRight w:val="0"/>
                      <w:marTop w:val="0"/>
                      <w:marBottom w:val="0"/>
                      <w:divBdr>
                        <w:top w:val="single" w:sz="2" w:space="0" w:color="D9D9E3"/>
                        <w:left w:val="single" w:sz="2" w:space="0" w:color="D9D9E3"/>
                        <w:bottom w:val="single" w:sz="2" w:space="0" w:color="D9D9E3"/>
                        <w:right w:val="single" w:sz="2" w:space="0" w:color="D9D9E3"/>
                      </w:divBdr>
                      <w:divsChild>
                        <w:div w:id="1126506785">
                          <w:marLeft w:val="0"/>
                          <w:marRight w:val="0"/>
                          <w:marTop w:val="0"/>
                          <w:marBottom w:val="0"/>
                          <w:divBdr>
                            <w:top w:val="none" w:sz="0" w:space="0" w:color="auto"/>
                            <w:left w:val="none" w:sz="0" w:space="0" w:color="auto"/>
                            <w:bottom w:val="none" w:sz="0" w:space="0" w:color="auto"/>
                            <w:right w:val="none" w:sz="0" w:space="0" w:color="auto"/>
                          </w:divBdr>
                          <w:divsChild>
                            <w:div w:id="618102047">
                              <w:marLeft w:val="0"/>
                              <w:marRight w:val="0"/>
                              <w:marTop w:val="100"/>
                              <w:marBottom w:val="100"/>
                              <w:divBdr>
                                <w:top w:val="single" w:sz="2" w:space="0" w:color="D9D9E3"/>
                                <w:left w:val="single" w:sz="2" w:space="0" w:color="D9D9E3"/>
                                <w:bottom w:val="single" w:sz="2" w:space="0" w:color="D9D9E3"/>
                                <w:right w:val="single" w:sz="2" w:space="0" w:color="D9D9E3"/>
                              </w:divBdr>
                              <w:divsChild>
                                <w:div w:id="967395057">
                                  <w:marLeft w:val="0"/>
                                  <w:marRight w:val="0"/>
                                  <w:marTop w:val="0"/>
                                  <w:marBottom w:val="0"/>
                                  <w:divBdr>
                                    <w:top w:val="single" w:sz="2" w:space="0" w:color="D9D9E3"/>
                                    <w:left w:val="single" w:sz="2" w:space="0" w:color="D9D9E3"/>
                                    <w:bottom w:val="single" w:sz="2" w:space="0" w:color="D9D9E3"/>
                                    <w:right w:val="single" w:sz="2" w:space="0" w:color="D9D9E3"/>
                                  </w:divBdr>
                                  <w:divsChild>
                                    <w:div w:id="540089631">
                                      <w:marLeft w:val="0"/>
                                      <w:marRight w:val="0"/>
                                      <w:marTop w:val="0"/>
                                      <w:marBottom w:val="0"/>
                                      <w:divBdr>
                                        <w:top w:val="single" w:sz="2" w:space="0" w:color="D9D9E3"/>
                                        <w:left w:val="single" w:sz="2" w:space="0" w:color="D9D9E3"/>
                                        <w:bottom w:val="single" w:sz="2" w:space="0" w:color="D9D9E3"/>
                                        <w:right w:val="single" w:sz="2" w:space="0" w:color="D9D9E3"/>
                                      </w:divBdr>
                                      <w:divsChild>
                                        <w:div w:id="729499570">
                                          <w:marLeft w:val="0"/>
                                          <w:marRight w:val="0"/>
                                          <w:marTop w:val="0"/>
                                          <w:marBottom w:val="0"/>
                                          <w:divBdr>
                                            <w:top w:val="single" w:sz="2" w:space="0" w:color="D9D9E3"/>
                                            <w:left w:val="single" w:sz="2" w:space="0" w:color="D9D9E3"/>
                                            <w:bottom w:val="single" w:sz="2" w:space="0" w:color="D9D9E3"/>
                                            <w:right w:val="single" w:sz="2" w:space="0" w:color="D9D9E3"/>
                                          </w:divBdr>
                                          <w:divsChild>
                                            <w:div w:id="522131726">
                                              <w:marLeft w:val="0"/>
                                              <w:marRight w:val="0"/>
                                              <w:marTop w:val="0"/>
                                              <w:marBottom w:val="0"/>
                                              <w:divBdr>
                                                <w:top w:val="single" w:sz="2" w:space="0" w:color="D9D9E3"/>
                                                <w:left w:val="single" w:sz="2" w:space="0" w:color="D9D9E3"/>
                                                <w:bottom w:val="single" w:sz="2" w:space="0" w:color="D9D9E3"/>
                                                <w:right w:val="single" w:sz="2" w:space="0" w:color="D9D9E3"/>
                                              </w:divBdr>
                                              <w:divsChild>
                                                <w:div w:id="925724487">
                                                  <w:marLeft w:val="0"/>
                                                  <w:marRight w:val="0"/>
                                                  <w:marTop w:val="0"/>
                                                  <w:marBottom w:val="0"/>
                                                  <w:divBdr>
                                                    <w:top w:val="single" w:sz="2" w:space="0" w:color="D9D9E3"/>
                                                    <w:left w:val="single" w:sz="2" w:space="0" w:color="D9D9E3"/>
                                                    <w:bottom w:val="single" w:sz="2" w:space="0" w:color="D9D9E3"/>
                                                    <w:right w:val="single" w:sz="2" w:space="0" w:color="D9D9E3"/>
                                                  </w:divBdr>
                                                  <w:divsChild>
                                                    <w:div w:id="1952853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0967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ac.uk/manuscriptsandspecialcollections/learning/medievalwomen/theme3/propertyownership.aspx" TargetMode="External"/><Relationship Id="rId3" Type="http://schemas.openxmlformats.org/officeDocument/2006/relationships/settings" Target="settings.xml"/><Relationship Id="rId7" Type="http://schemas.openxmlformats.org/officeDocument/2006/relationships/hyperlink" Target="https://www.bbc.co.uk/history/historic_figures/eleanor_of_aquitain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licmedievalist.com/she-persis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7</Pages>
  <Words>2235</Words>
  <Characters>11801</Characters>
  <Application>Microsoft Office Word</Application>
  <DocSecurity>0</DocSecurity>
  <Lines>193</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2</cp:revision>
  <dcterms:created xsi:type="dcterms:W3CDTF">2023-11-17T19:04:00Z</dcterms:created>
  <dcterms:modified xsi:type="dcterms:W3CDTF">2023-11-17T20:53:00Z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db30fdfd-5de3-40e5-938c-421137691ad0</vt:lpwstr>
  </property>
</Properties>
</file>