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PlainTable4"/>
        <w:tblpPr w:leftFromText="180" w:rightFromText="180" w:vertAnchor="text" w:horzAnchor="page" w:tblpX="841" w:tblpY="10467"/>
        <w:tblW w:w="9499" w:type="dxa"/>
        <w:tblLook w:val="04A0" w:firstRow="1" w:lastRow="0" w:firstColumn="1" w:lastColumn="0" w:noHBand="0" w:noVBand="1"/>
      </w:tblPr>
      <w:tblGrid>
        <w:gridCol w:w="9499"/>
      </w:tblGrid>
      <w:tr w:rsidR="000F1DCE" w14:paraId="3E1BB863" w14:textId="77777777" w:rsidTr="00CB4A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9" w:type="dxa"/>
            <w:vAlign w:val="bottom"/>
          </w:tcPr>
          <w:p w14:paraId="19E34005" w14:textId="7D5D2407" w:rsidR="000F1DCE" w:rsidRPr="00616989" w:rsidRDefault="000F1DCE" w:rsidP="00CB4A4D">
            <w:pPr>
              <w:spacing w:after="200"/>
              <w:rPr>
                <w:smallCaps/>
              </w:rPr>
            </w:pPr>
          </w:p>
        </w:tc>
      </w:tr>
      <w:tr w:rsidR="000F1DCE" w14:paraId="139BD254" w14:textId="77777777" w:rsidTr="00CB4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9" w:type="dxa"/>
            <w:shd w:val="clear" w:color="auto" w:fill="auto"/>
          </w:tcPr>
          <w:p w14:paraId="487D8D20" w14:textId="68511222" w:rsidR="000F1DCE" w:rsidRPr="00616989" w:rsidRDefault="009F2733" w:rsidP="00CB4A4D">
            <w:pPr>
              <w:spacing w:after="200"/>
              <w:rPr>
                <w:smallCaps/>
              </w:rPr>
            </w:pPr>
            <w:r w:rsidRPr="00616989">
              <w:rPr>
                <w:smallCaps/>
                <w:noProof/>
                <w:lang w:bidi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5CF8024" wp14:editId="6D455E72">
                      <wp:simplePos x="0" y="0"/>
                      <wp:positionH relativeFrom="column">
                        <wp:posOffset>3321685</wp:posOffset>
                      </wp:positionH>
                      <wp:positionV relativeFrom="paragraph">
                        <wp:posOffset>39711</wp:posOffset>
                      </wp:positionV>
                      <wp:extent cx="3391469" cy="2183130"/>
                      <wp:effectExtent l="0" t="0" r="0" b="7620"/>
                      <wp:wrapNone/>
                      <wp:docPr id="1978031269" name="Text Box 1978031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91469" cy="2183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3B37DAD" w14:textId="77777777" w:rsidR="00C90DCF" w:rsidRPr="009F2733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  <w:r w:rsidRPr="009F2733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Lecturer/Module Leader:</w:t>
                                  </w:r>
                                </w:p>
                                <w:p w14:paraId="11A6B361" w14:textId="05ECADF7" w:rsid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val="pl-PL" w:bidi="en-GB"/>
                                    </w:rPr>
                                  </w:pPr>
                                  <w:r w:rsidRPr="00C90DCF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val="pl-PL" w:bidi="en-GB"/>
                                    </w:rPr>
                                    <w:t>Dr Rita Ukachi-Lois</w:t>
                                  </w:r>
                                  <w:r w:rsidRPr="00C90DCF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val="pl-PL" w:bidi="en-GB"/>
                                    </w:rPr>
                                    <w:t xml:space="preserve"> </w:t>
                                  </w:r>
                                  <w:r w:rsidRPr="00C90DCF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val="pl-PL" w:bidi="en-GB"/>
                                    </w:rPr>
                                    <w:t>Zainab Atta</w:t>
                                  </w:r>
                                </w:p>
                                <w:p w14:paraId="4B9FE13C" w14:textId="77777777" w:rsidR="00C90DCF" w:rsidRP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val="pl-PL" w:bidi="en-GB"/>
                                    </w:rPr>
                                  </w:pPr>
                                </w:p>
                                <w:p w14:paraId="4ECA1932" w14:textId="77777777" w:rsidR="009F2733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  <w:r w:rsidRPr="009F2733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Assignment Title:</w:t>
                                  </w:r>
                                </w:p>
                                <w:p w14:paraId="702C191C" w14:textId="765667E2" w:rsidR="00C90DCF" w:rsidRP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  <w:r w:rsidRPr="00C90DCF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Component 1: Coursework:</w:t>
                                  </w:r>
                                  <w:r w:rsidR="009F2733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 xml:space="preserve"> </w:t>
                                  </w:r>
                                  <w:r w:rsidRPr="00C90DCF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Individual Report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CF80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78031269" o:spid="_x0000_s1026" type="#_x0000_t202" style="position:absolute;left:0;text-align:left;margin-left:261.55pt;margin-top:3.15pt;width:267.05pt;height:17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" filled="f" stroked="f">
                      <v:textbox>
                        <w:txbxContent>
                          <w:p w14:paraId="63B37DAD" w14:textId="77777777" w:rsidR="00C90DCF" w:rsidRPr="009F2733" w:rsidRDefault="00C90DCF" w:rsidP="00C90DCF">
                            <w:pPr>
                              <w:pStyle w:val="Subtitle"/>
                              <w:spacing w:after="0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  <w:r w:rsidRPr="009F2733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Lecturer/Module Leader:</w:t>
                            </w:r>
                          </w:p>
                          <w:p w14:paraId="11A6B361" w14:textId="05ECADF7" w:rsid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color w:val="FFFFFF" w:themeColor="background1"/>
                                <w:sz w:val="32"/>
                                <w:szCs w:val="32"/>
                                <w:lang w:val="pl-PL" w:bidi="en-GB"/>
                              </w:rPr>
                            </w:pPr>
                            <w:r w:rsidRPr="00C90DCF">
                              <w:rPr>
                                <w:color w:val="FFFFFF" w:themeColor="background1"/>
                                <w:sz w:val="32"/>
                                <w:szCs w:val="32"/>
                                <w:lang w:val="pl-PL" w:bidi="en-GB"/>
                              </w:rPr>
                              <w:t>Dr Rita Ukachi-Lois</w:t>
                            </w:r>
                            <w:r w:rsidRPr="00C90DCF">
                              <w:rPr>
                                <w:color w:val="FFFFFF" w:themeColor="background1"/>
                                <w:sz w:val="32"/>
                                <w:szCs w:val="32"/>
                                <w:lang w:val="pl-PL" w:bidi="en-GB"/>
                              </w:rPr>
                              <w:t xml:space="preserve"> </w:t>
                            </w:r>
                            <w:r w:rsidRPr="00C90DCF">
                              <w:rPr>
                                <w:color w:val="FFFFFF" w:themeColor="background1"/>
                                <w:sz w:val="32"/>
                                <w:szCs w:val="32"/>
                                <w:lang w:val="pl-PL" w:bidi="en-GB"/>
                              </w:rPr>
                              <w:t>Zainab Atta</w:t>
                            </w:r>
                          </w:p>
                          <w:p w14:paraId="4B9FE13C" w14:textId="77777777" w:rsidR="00C90DCF" w:rsidRP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color w:val="FFFFFF" w:themeColor="background1"/>
                                <w:sz w:val="32"/>
                                <w:szCs w:val="32"/>
                                <w:lang w:val="pl-PL" w:bidi="en-GB"/>
                              </w:rPr>
                            </w:pPr>
                          </w:p>
                          <w:p w14:paraId="4ECA1932" w14:textId="77777777" w:rsidR="009F2733" w:rsidRDefault="00C90DCF" w:rsidP="00C90DCF">
                            <w:pPr>
                              <w:pStyle w:val="Subtitle"/>
                              <w:spacing w:after="0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  <w:r w:rsidRPr="009F2733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Assignment Title:</w:t>
                            </w:r>
                          </w:p>
                          <w:p w14:paraId="702C191C" w14:textId="765667E2" w:rsidR="00C90DCF" w:rsidRP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  <w:r w:rsidRPr="00C90DCF"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Component 1: Coursework:</w:t>
                            </w:r>
                            <w:r w:rsidR="009F2733"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 xml:space="preserve"> </w:t>
                            </w:r>
                            <w:r w:rsidRPr="00C90DCF"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Individual Report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0DCF" w:rsidRPr="00616989">
              <w:rPr>
                <w:smallCaps/>
                <w:noProof/>
                <w:lang w:bidi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0B55B8F" wp14:editId="49D76CE3">
                      <wp:simplePos x="0" y="0"/>
                      <wp:positionH relativeFrom="column">
                        <wp:posOffset>-335849</wp:posOffset>
                      </wp:positionH>
                      <wp:positionV relativeFrom="paragraph">
                        <wp:posOffset>-692</wp:posOffset>
                      </wp:positionV>
                      <wp:extent cx="3500480" cy="2183130"/>
                      <wp:effectExtent l="0" t="0" r="0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00480" cy="2183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1F00A6" w14:textId="77777777" w:rsidR="00C90DCF" w:rsidRP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  <w:r w:rsidRPr="00C90DC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Programme:</w:t>
                                  </w:r>
                                </w:p>
                                <w:p w14:paraId="62B5DE55" w14:textId="558799AA" w:rsid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  <w:r w:rsidRPr="00C90DCF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BA (Hons) Business Management</w:t>
                                  </w:r>
                                </w:p>
                                <w:p w14:paraId="26580A57" w14:textId="77777777" w:rsid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</w:p>
                                <w:p w14:paraId="6F6028F2" w14:textId="1A918320" w:rsidR="00C90DCF" w:rsidRP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  <w:r w:rsidRPr="00C90DC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Module:</w:t>
                                  </w:r>
                                </w:p>
                                <w:p w14:paraId="2CC452D4" w14:textId="4CFBB51E" w:rsid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  <w:r w:rsidRPr="00C90DCF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Management Accounting for Managers</w:t>
                                  </w:r>
                                </w:p>
                                <w:p w14:paraId="0F4BA668" w14:textId="761F6075" w:rsidR="000F1DCE" w:rsidRPr="00C90DCF" w:rsidRDefault="00C90DCF" w:rsidP="00C90DCF">
                                  <w:pPr>
                                    <w:pStyle w:val="Subtitle"/>
                                    <w:spacing w:after="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br/>
                                  </w:r>
                                  <w:r w:rsidRPr="009F2733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>Module code:</w:t>
                                  </w:r>
                                  <w:r w:rsidRPr="00C90DCF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lang w:bidi="en-GB"/>
                                    </w:rPr>
                                    <w:t xml:space="preserve"> LCBB5010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B55B8F" id="Text Box 13" o:spid="_x0000_s1027" type="#_x0000_t202" style="position:absolute;left:0;text-align:left;margin-left:-26.45pt;margin-top:-.05pt;width:275.65pt;height:17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" filled="f" stroked="f">
                      <v:textbox>
                        <w:txbxContent>
                          <w:p w14:paraId="4E1F00A6" w14:textId="77777777" w:rsidR="00C90DCF" w:rsidRP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  <w:r w:rsidRPr="00C90DCF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Programme:</w:t>
                            </w:r>
                          </w:p>
                          <w:p w14:paraId="62B5DE55" w14:textId="558799AA" w:rsid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  <w:r w:rsidRPr="00C90DCF"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BA (Hons) Business Management</w:t>
                            </w:r>
                          </w:p>
                          <w:p w14:paraId="26580A57" w14:textId="77777777" w:rsid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</w:p>
                          <w:p w14:paraId="6F6028F2" w14:textId="1A918320" w:rsidR="00C90DCF" w:rsidRP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  <w:r w:rsidRPr="00C90DCF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Module:</w:t>
                            </w:r>
                          </w:p>
                          <w:p w14:paraId="2CC452D4" w14:textId="4CFBB51E" w:rsid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  <w:r w:rsidRPr="00C90DCF"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Management Accounting for Managers</w:t>
                            </w:r>
                          </w:p>
                          <w:p w14:paraId="0F4BA668" w14:textId="761F6075" w:rsidR="000F1DCE" w:rsidRPr="00C90DCF" w:rsidRDefault="00C90DCF" w:rsidP="00C90DCF">
                            <w:pPr>
                              <w:pStyle w:val="Subtitle"/>
                              <w:spacing w:after="0"/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br/>
                            </w:r>
                            <w:r w:rsidRPr="009F2733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>Module code:</w:t>
                            </w:r>
                            <w:r w:rsidRPr="00C90DCF">
                              <w:rPr>
                                <w:color w:val="FFFFFF" w:themeColor="background1"/>
                                <w:sz w:val="32"/>
                                <w:szCs w:val="32"/>
                                <w:lang w:bidi="en-GB"/>
                              </w:rPr>
                              <w:t xml:space="preserve"> LCBB5010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Style w:val="PlainTable4"/>
        <w:tblpPr w:leftFromText="180" w:rightFromText="180" w:vertAnchor="text" w:horzAnchor="margin" w:tblpY="-669"/>
        <w:tblW w:w="9499" w:type="dxa"/>
        <w:tblLook w:val="04A0" w:firstRow="1" w:lastRow="0" w:firstColumn="1" w:lastColumn="0" w:noHBand="0" w:noVBand="1"/>
      </w:tblPr>
      <w:tblGrid>
        <w:gridCol w:w="9499"/>
      </w:tblGrid>
      <w:tr w:rsidR="00CB4A4D" w14:paraId="53AE1105" w14:textId="77777777" w:rsidTr="00CB4A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9" w:type="dxa"/>
          </w:tcPr>
          <w:p w14:paraId="5BE0A1DA" w14:textId="656815E1" w:rsidR="00CB4A4D" w:rsidRPr="00616989" w:rsidRDefault="00CB4A4D" w:rsidP="00CB4A4D">
            <w:pPr>
              <w:spacing w:after="200"/>
              <w:rPr>
                <w:smallCaps/>
              </w:rPr>
            </w:pPr>
          </w:p>
        </w:tc>
      </w:tr>
    </w:tbl>
    <w:sdt>
      <w:sdtPr>
        <w:id w:val="805429490"/>
        <w:docPartObj>
          <w:docPartGallery w:val="Cover Pages"/>
          <w:docPartUnique/>
        </w:docPartObj>
      </w:sdtPr>
      <w:sdtEndPr>
        <w:rPr>
          <w:sz w:val="26"/>
          <w:szCs w:val="26"/>
        </w:rPr>
      </w:sdtEndPr>
      <w:sdtContent>
        <w:p w14:paraId="57CFCB13" w14:textId="7161FC60" w:rsidR="00CB4A4D" w:rsidRPr="00182A81" w:rsidRDefault="00C90DCF" w:rsidP="00182A81">
          <w:r>
            <w:rPr>
              <w:noProof/>
              <w:lang w:bidi="en-GB"/>
            </w:rPr>
            <w:drawing>
              <wp:anchor distT="0" distB="0" distL="114300" distR="114300" simplePos="0" relativeHeight="251663360" behindDoc="0" locked="0" layoutInCell="1" allowOverlap="1" wp14:anchorId="13A4762D" wp14:editId="49F813A9">
                <wp:simplePos x="0" y="0"/>
                <wp:positionH relativeFrom="column">
                  <wp:posOffset>4210202</wp:posOffset>
                </wp:positionH>
                <wp:positionV relativeFrom="paragraph">
                  <wp:posOffset>-784680</wp:posOffset>
                </wp:positionV>
                <wp:extent cx="2279176" cy="764126"/>
                <wp:effectExtent l="0" t="0" r="6985" b="0"/>
                <wp:wrapNone/>
                <wp:docPr id="280283115" name="Picture 1" descr="A black background with white 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0283115" name="Picture 1" descr="A black background with white text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9176" cy="7641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616989">
            <w:rPr>
              <w:smallCaps/>
              <w:noProof/>
              <w:lang w:bidi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327074A" wp14:editId="6E0C7F0B">
                    <wp:simplePos x="0" y="0"/>
                    <wp:positionH relativeFrom="column">
                      <wp:posOffset>-771099</wp:posOffset>
                    </wp:positionH>
                    <wp:positionV relativeFrom="paragraph">
                      <wp:posOffset>-825690</wp:posOffset>
                    </wp:positionV>
                    <wp:extent cx="6250675" cy="2024062"/>
                    <wp:effectExtent l="0" t="0" r="0" b="0"/>
                    <wp:wrapNone/>
                    <wp:docPr id="16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50675" cy="20240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7CA142" w14:textId="3625FE4A" w:rsidR="00CB4A4D" w:rsidRPr="00CB4A4D" w:rsidRDefault="009F2733" w:rsidP="00CB4A4D">
                                <w:pPr>
                                  <w:pStyle w:val="Subtitle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bidi="en-GB"/>
                                  </w:rPr>
                                  <w:br/>
                                </w:r>
                                <w:r w:rsidR="00C90DCF">
                                  <w:rPr>
                                    <w:color w:val="FFFFFF" w:themeColor="background1"/>
                                    <w:lang w:bidi="en-GB"/>
                                  </w:rPr>
                                  <w:t>Andrzej Paw 2323030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 w14:anchorId="3327074A" id="Text Box 16" o:spid="_x0000_s1028" type="#_x0000_t202" style="position:absolute;left:0;text-align:left;margin-left:-60.7pt;margin-top:-65pt;width:492.2pt;height:159.3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" filled="f" stroked="f">
                    <v:textbox>
                      <w:txbxContent>
                        <w:p w14:paraId="5E7CA142" w14:textId="3625FE4A" w:rsidR="00CB4A4D" w:rsidRPr="00CB4A4D" w:rsidRDefault="009F2733" w:rsidP="00CB4A4D">
                          <w:pPr>
                            <w:pStyle w:val="Subtitle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  <w:lang w:bidi="en-GB"/>
                            </w:rPr>
                            <w:br/>
                          </w:r>
                          <w:r w:rsidR="00C90DCF">
                            <w:rPr>
                              <w:color w:val="FFFFFF" w:themeColor="background1"/>
                              <w:lang w:bidi="en-GB"/>
                            </w:rPr>
                            <w:t>Andrzej Paw 2323030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CB4A4D" w:rsidRPr="00182A81">
            <w:rPr>
              <w:noProof/>
              <w:lang w:bidi="en-GB"/>
            </w:rPr>
            <w:drawing>
              <wp:anchor distT="0" distB="0" distL="114300" distR="114300" simplePos="0" relativeHeight="251658240" behindDoc="1" locked="0" layoutInCell="1" allowOverlap="1" wp14:anchorId="341090F5" wp14:editId="1F2FF544">
                <wp:simplePos x="0" y="0"/>
                <wp:positionH relativeFrom="column">
                  <wp:posOffset>-898525</wp:posOffset>
                </wp:positionH>
                <wp:positionV relativeFrom="paragraph">
                  <wp:posOffset>155421</wp:posOffset>
                </wp:positionV>
                <wp:extent cx="7776544" cy="5186855"/>
                <wp:effectExtent l="0" t="0" r="0" b="0"/>
                <wp:wrapNone/>
                <wp:docPr id="6" name="Picture 6" descr="table hands report" title="table hands repo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 for report.jpg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76544" cy="51868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CB4A4D" w:rsidRPr="00182A81">
            <w:rPr>
              <w:noProof/>
              <w:lang w:bidi="en-GB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6072AC13" wp14:editId="2A40363C">
                    <wp:simplePos x="0" y="0"/>
                    <wp:positionH relativeFrom="column">
                      <wp:posOffset>-898634</wp:posOffset>
                    </wp:positionH>
                    <wp:positionV relativeFrom="paragraph">
                      <wp:posOffset>-961696</wp:posOffset>
                    </wp:positionV>
                    <wp:extent cx="7776210" cy="1119352"/>
                    <wp:effectExtent l="0" t="0" r="0" b="5080"/>
                    <wp:wrapNone/>
                    <wp:docPr id="10" name="Rectangle 10" descr="rectang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6210" cy="1119352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A9E3E24" id="Rectangle 10" o:spid="_x0000_s1026" alt="rectangle" style="position:absolute;margin-left:-70.75pt;margin-top:-75.7pt;width:612.3pt;height:88.1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" fillcolor="#008890 [3204]" stroked="f" strokeweight="1pt"/>
                </w:pict>
              </mc:Fallback>
            </mc:AlternateContent>
          </w:r>
        </w:p>
        <w:p w14:paraId="59AE8512" w14:textId="793C1C3F" w:rsidR="00FD71E8" w:rsidRPr="00182A81" w:rsidRDefault="00182A81" w:rsidP="00182A81">
          <w:r w:rsidRPr="00616989">
            <w:rPr>
              <w:smallCaps/>
              <w:noProof/>
              <w:lang w:bidi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F02C12E" wp14:editId="3E21EE57">
                    <wp:simplePos x="0" y="0"/>
                    <wp:positionH relativeFrom="column">
                      <wp:posOffset>-312420</wp:posOffset>
                    </wp:positionH>
                    <wp:positionV relativeFrom="paragraph">
                      <wp:posOffset>5043000</wp:posOffset>
                    </wp:positionV>
                    <wp:extent cx="6556917" cy="1368905"/>
                    <wp:effectExtent l="0" t="0" r="0" b="3175"/>
                    <wp:wrapNone/>
                    <wp:docPr id="12" name="Text Box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6917" cy="1368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16ED5C" w14:textId="273F64FF" w:rsidR="000F1DCE" w:rsidRPr="00182A81" w:rsidRDefault="00182A81" w:rsidP="00182A81">
                                <w:pPr>
                                  <w:pStyle w:val="Title"/>
                                  <w:jc w:val="left"/>
                                  <w:rPr>
                                    <w:b w:val="0"/>
                                    <w:color w:val="FFFFFF" w:themeColor="background1"/>
                                    <w:sz w:val="50"/>
                                    <w:szCs w:val="50"/>
                                  </w:rPr>
                                </w:pPr>
                                <w:r w:rsidRPr="00182A81">
                                  <w:rPr>
                                    <w:sz w:val="50"/>
                                    <w:szCs w:val="50"/>
                                    <w:lang w:bidi="en-GB"/>
                                  </w:rPr>
                                  <w:t>An Evaluation of Management Accounting Tools</w:t>
                                </w:r>
                                <w:r>
                                  <w:rPr>
                                    <w:sz w:val="50"/>
                                    <w:szCs w:val="50"/>
                                    <w:lang w:bidi="en-GB"/>
                                  </w:rPr>
                                  <w:br/>
                                </w:r>
                                <w:r w:rsidRPr="00182A81">
                                  <w:rPr>
                                    <w:sz w:val="50"/>
                                    <w:szCs w:val="50"/>
                                    <w:lang w:bidi="en-GB"/>
                                  </w:rPr>
                                  <w:t>in Supporting Financial Decision-Making</w:t>
                                </w:r>
                                <w:r w:rsidRPr="00182A81">
                                  <w:rPr>
                                    <w:bCs w:val="0"/>
                                    <w:sz w:val="50"/>
                                    <w:szCs w:val="50"/>
                                    <w:lang w:bidi="en-GB"/>
                                  </w:rPr>
                                  <w:br/>
                                </w:r>
                                <w:r w:rsidRPr="00182A81">
                                  <w:rPr>
                                    <w:sz w:val="50"/>
                                    <w:szCs w:val="50"/>
                                    <w:lang w:bidi="en-GB"/>
                                  </w:rPr>
                                  <w:t>at</w:t>
                                </w:r>
                                <w:r w:rsidRPr="00182A81">
                                  <w:rPr>
                                    <w:bCs w:val="0"/>
                                    <w:sz w:val="50"/>
                                    <w:szCs w:val="50"/>
                                    <w:lang w:bidi="en-GB"/>
                                  </w:rPr>
                                  <w:t xml:space="preserve"> </w:t>
                                </w:r>
                                <w:r w:rsidRPr="00182A81">
                                  <w:rPr>
                                    <w:sz w:val="50"/>
                                    <w:szCs w:val="50"/>
                                    <w:lang w:bidi="en-GB"/>
                                  </w:rPr>
                                  <w:t>Rolls-Royce Holdings plc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F02C12E" id="Text Box 12" o:spid="_x0000_s1029" type="#_x0000_t202" style="position:absolute;left:0;text-align:left;margin-left:-24.6pt;margin-top:397.1pt;width:516.3pt;height:107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" filled="f" stroked="f">
                    <v:textbox>
                      <w:txbxContent>
                        <w:p w14:paraId="1816ED5C" w14:textId="273F64FF" w:rsidR="000F1DCE" w:rsidRPr="00182A81" w:rsidRDefault="00182A81" w:rsidP="00182A81">
                          <w:pPr>
                            <w:pStyle w:val="Title"/>
                            <w:jc w:val="left"/>
                            <w:rPr>
                              <w:b w:val="0"/>
                              <w:color w:val="FFFFFF" w:themeColor="background1"/>
                              <w:sz w:val="50"/>
                              <w:szCs w:val="50"/>
                            </w:rPr>
                          </w:pPr>
                          <w:r w:rsidRPr="00182A81">
                            <w:rPr>
                              <w:sz w:val="50"/>
                              <w:szCs w:val="50"/>
                              <w:lang w:bidi="en-GB"/>
                            </w:rPr>
                            <w:t>An Evaluation of Management Accounting Tools</w:t>
                          </w:r>
                          <w:r>
                            <w:rPr>
                              <w:sz w:val="50"/>
                              <w:szCs w:val="50"/>
                              <w:lang w:bidi="en-GB"/>
                            </w:rPr>
                            <w:br/>
                          </w:r>
                          <w:r w:rsidRPr="00182A81">
                            <w:rPr>
                              <w:sz w:val="50"/>
                              <w:szCs w:val="50"/>
                              <w:lang w:bidi="en-GB"/>
                            </w:rPr>
                            <w:t>in Supporting Financial Decision-Making</w:t>
                          </w:r>
                          <w:r w:rsidRPr="00182A81">
                            <w:rPr>
                              <w:bCs w:val="0"/>
                              <w:sz w:val="50"/>
                              <w:szCs w:val="50"/>
                              <w:lang w:bidi="en-GB"/>
                            </w:rPr>
                            <w:br/>
                          </w:r>
                          <w:r w:rsidRPr="00182A81">
                            <w:rPr>
                              <w:sz w:val="50"/>
                              <w:szCs w:val="50"/>
                              <w:lang w:bidi="en-GB"/>
                            </w:rPr>
                            <w:t>at</w:t>
                          </w:r>
                          <w:r w:rsidRPr="00182A81">
                            <w:rPr>
                              <w:bCs w:val="0"/>
                              <w:sz w:val="50"/>
                              <w:szCs w:val="50"/>
                              <w:lang w:bidi="en-GB"/>
                            </w:rPr>
                            <w:t xml:space="preserve"> </w:t>
                          </w:r>
                          <w:r w:rsidRPr="00182A81">
                            <w:rPr>
                              <w:sz w:val="50"/>
                              <w:szCs w:val="50"/>
                              <w:lang w:bidi="en-GB"/>
                            </w:rPr>
                            <w:t>Rolls-Royce Holdings plc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CB4A4D" w:rsidRPr="00182A81">
            <w:rPr>
              <w:noProof/>
              <w:lang w:bidi="en-GB"/>
            </w:rPr>
            <mc:AlternateContent>
              <mc:Choice Requires="wps">
                <w:drawing>
                  <wp:anchor distT="0" distB="0" distL="114300" distR="114300" simplePos="0" relativeHeight="251657215" behindDoc="1" locked="0" layoutInCell="1" allowOverlap="1" wp14:anchorId="7C6D73C2" wp14:editId="0DFEE320">
                    <wp:simplePos x="0" y="0"/>
                    <wp:positionH relativeFrom="column">
                      <wp:posOffset>-914400</wp:posOffset>
                    </wp:positionH>
                    <wp:positionV relativeFrom="paragraph">
                      <wp:posOffset>4871719</wp:posOffset>
                    </wp:positionV>
                    <wp:extent cx="7776210" cy="4429125"/>
                    <wp:effectExtent l="0" t="0" r="0" b="9525"/>
                    <wp:wrapNone/>
                    <wp:docPr id="8" name="Rectangle 8" descr="rectang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6210" cy="442912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B5713E9" id="Rectangle 8" o:spid="_x0000_s1026" alt="rectangle" style="position:absolute;margin-left:-1in;margin-top:383.6pt;width:612.3pt;height:348.75pt;z-index:-25165926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" fillcolor="#404040 [2429]" stroked="f" strokeweight="1pt"/>
                </w:pict>
              </mc:Fallback>
            </mc:AlternateContent>
          </w:r>
          <w:r w:rsidR="00D73345" w:rsidRPr="00182A81">
            <w:rPr>
              <w:lang w:bidi="en-GB"/>
            </w:rPr>
            <w:t xml:space="preserve"> </w:t>
          </w:r>
          <w:r w:rsidR="00616989" w:rsidRPr="00182A81">
            <w:rPr>
              <w:lang w:bidi="en-GB"/>
            </w:rPr>
            <w:br w:type="page"/>
          </w:r>
        </w:p>
        <w:tbl>
          <w:tblPr>
            <w:tblStyle w:val="PlainTable4"/>
            <w:tblpPr w:leftFromText="180" w:rightFromText="180" w:vertAnchor="text" w:horzAnchor="margin" w:tblpXSpec="center" w:tblpY="-12904"/>
            <w:tblW w:w="10519" w:type="dxa"/>
            <w:tblLook w:val="04A0" w:firstRow="1" w:lastRow="0" w:firstColumn="1" w:lastColumn="0" w:noHBand="0" w:noVBand="1"/>
          </w:tblPr>
          <w:tblGrid>
            <w:gridCol w:w="10519"/>
          </w:tblGrid>
          <w:tr w:rsidR="000F1DCE" w:rsidRPr="00182A81" w14:paraId="3F7DD8D8" w14:textId="77777777" w:rsidTr="000F1DC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16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519" w:type="dxa"/>
                <w:vAlign w:val="bottom"/>
              </w:tcPr>
              <w:p w14:paraId="1733F655" w14:textId="152EB1F1" w:rsidR="000F1DCE" w:rsidRPr="00182A81" w:rsidRDefault="00182A81" w:rsidP="00182A81">
                <w:pPr>
                  <w:pStyle w:val="Heading8"/>
                  <w:jc w:val="left"/>
                  <w:rPr>
                    <w:b w:val="0"/>
                    <w:bCs w:val="0"/>
                    <w:lang w:bidi="en-GB"/>
                  </w:rPr>
                </w:pPr>
                <w:r w:rsidRPr="00182A81">
                  <w:rPr>
                    <w:lang w:bidi="en-GB"/>
                  </w:rPr>
                  <w:lastRenderedPageBreak/>
                  <w:t xml:space="preserve">An Evaluation of Management Accounting </w:t>
                </w:r>
                <w:r>
                  <w:rPr>
                    <w:lang w:bidi="en-GB"/>
                  </w:rPr>
                  <w:t xml:space="preserve">Tools </w:t>
                </w:r>
                <w:r w:rsidRPr="00182A81">
                  <w:rPr>
                    <w:lang w:bidi="en-GB"/>
                  </w:rPr>
                  <w:t>in Supporting Financial Decision-Making</w:t>
                </w:r>
                <w:r>
                  <w:rPr>
                    <w:lang w:bidi="en-GB"/>
                  </w:rPr>
                  <w:t xml:space="preserve"> </w:t>
                </w:r>
                <w:r w:rsidRPr="00182A81">
                  <w:rPr>
                    <w:lang w:bidi="en-GB"/>
                  </w:rPr>
                  <w:t>at</w:t>
                </w:r>
                <w:r>
                  <w:rPr>
                    <w:bCs w:val="0"/>
                    <w:lang w:bidi="en-GB"/>
                  </w:rPr>
                  <w:t xml:space="preserve"> </w:t>
                </w:r>
                <w:r w:rsidRPr="00182A81">
                  <w:rPr>
                    <w:lang w:bidi="en-GB"/>
                  </w:rPr>
                  <w:t>Rolls-Royce Holdings plc</w:t>
                </w:r>
              </w:p>
            </w:tc>
          </w:tr>
          <w:tr w:rsidR="000F1DCE" w:rsidRPr="00182A81" w14:paraId="039637C5" w14:textId="77777777" w:rsidTr="000F1DCE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63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519" w:type="dxa"/>
                <w:shd w:val="clear" w:color="auto" w:fill="auto"/>
              </w:tcPr>
              <w:p w14:paraId="1C5BAA05" w14:textId="06186A3F" w:rsidR="000F1DCE" w:rsidRPr="00182A81" w:rsidRDefault="000F1DCE" w:rsidP="00182A81">
                <w:r w:rsidRPr="00182A81">
                  <w:rPr>
                    <w:noProof/>
                    <w:lang w:bidi="en-GB"/>
                  </w:rPr>
                  <mc:AlternateContent>
                    <mc:Choice Requires="wps">
                      <w:drawing>
                        <wp:inline distT="0" distB="0" distL="0" distR="0" wp14:anchorId="065BE9AB" wp14:editId="0F1FEA97">
                          <wp:extent cx="3990652" cy="95534"/>
                          <wp:effectExtent l="0" t="0" r="0" b="0"/>
                          <wp:docPr id="3" name="Rectangle 3" descr="rectangle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3990652" cy="9553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rect w14:anchorId="1B33ABD1" id="Rectangle 3" o:spid="_x0000_s1026" alt="rectangle" style="width:314.2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" fillcolor="#d8d8d8 [2732]" stroked="f" strokeweight="1pt">
                          <w10:anchorlock/>
                        </v:rect>
                      </w:pict>
                    </mc:Fallback>
                  </mc:AlternateContent>
                </w:r>
              </w:p>
            </w:tc>
          </w:tr>
        </w:tbl>
        <w:sdt>
          <w:sdtPr>
            <w:id w:val="-1390180736"/>
            <w:docPartObj>
              <w:docPartGallery w:val="Table of Contents"/>
              <w:docPartUnique/>
            </w:docPartObj>
          </w:sdtPr>
          <w:sdtEndPr>
            <w:rPr>
              <w:rFonts w:ascii="Calibri" w:eastAsiaTheme="minorHAnsi" w:hAnsi="Calibri" w:cs="Times New Roman"/>
              <w:b/>
              <w:bCs/>
              <w:color w:val="000000" w:themeColor="text1"/>
              <w:sz w:val="24"/>
              <w:szCs w:val="20"/>
              <w:lang w:eastAsia="en-US"/>
            </w:rPr>
          </w:sdtEndPr>
          <w:sdtContent>
            <w:p w14:paraId="3B0B84A3" w14:textId="1D801AD6" w:rsidR="00182A81" w:rsidRDefault="00182A81">
              <w:pPr>
                <w:pStyle w:val="TOCHeading"/>
              </w:pPr>
              <w:r>
                <w:t>Contents</w:t>
              </w:r>
            </w:p>
            <w:p w14:paraId="53910018" w14:textId="63EC594E" w:rsidR="00C90DCF" w:rsidRPr="00C90DCF" w:rsidRDefault="00182A81">
              <w:pPr>
                <w:pStyle w:val="TOC1"/>
                <w:rPr>
                  <w:rFonts w:asciiTheme="minorHAnsi" w:eastAsiaTheme="minorEastAsia" w:hAnsiTheme="minorHAnsi" w:cstheme="minorBidi"/>
                  <w:b/>
                  <w:bCs/>
                  <w:smallCaps w:val="0"/>
                  <w:color w:val="004348" w:themeColor="accent1" w:themeShade="80"/>
                  <w:kern w:val="2"/>
                  <w:szCs w:val="24"/>
                  <w:lang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14704085" w:history="1">
                <w:r w:rsidR="00C90DCF" w:rsidRPr="00C90DCF">
                  <w:rPr>
                    <w:rStyle w:val="Hyperlink"/>
                    <w:b/>
                    <w:bCs/>
                    <w:color w:val="004348" w:themeColor="accent1" w:themeShade="80"/>
                  </w:rPr>
                  <w:t>Introduction</w:t>
                </w:r>
                <w:r w:rsidR="00C90DCF" w:rsidRPr="00C90DCF">
                  <w:rPr>
                    <w:b/>
                    <w:bCs/>
                    <w:webHidden/>
                    <w:color w:val="004348" w:themeColor="accent1" w:themeShade="80"/>
                  </w:rPr>
                  <w:tab/>
                </w:r>
                <w:r w:rsidR="00C90DCF"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begin"/>
                </w:r>
                <w:r w:rsidR="00C90DCF" w:rsidRPr="00C90DCF">
                  <w:rPr>
                    <w:b/>
                    <w:bCs/>
                    <w:webHidden/>
                    <w:color w:val="004348" w:themeColor="accent1" w:themeShade="80"/>
                  </w:rPr>
                  <w:instrText xml:space="preserve"> PAGEREF _Toc214704085 \h </w:instrText>
                </w:r>
                <w:r w:rsidR="00C90DCF" w:rsidRPr="00C90DCF">
                  <w:rPr>
                    <w:b/>
                    <w:bCs/>
                    <w:webHidden/>
                    <w:color w:val="004348" w:themeColor="accent1" w:themeShade="80"/>
                  </w:rPr>
                </w:r>
                <w:r w:rsidR="00C90DCF"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separate"/>
                </w:r>
                <w:r w:rsidR="00C90DCF" w:rsidRPr="00C90DCF">
                  <w:rPr>
                    <w:b/>
                    <w:bCs/>
                    <w:webHidden/>
                    <w:color w:val="004348" w:themeColor="accent1" w:themeShade="80"/>
                  </w:rPr>
                  <w:t>2</w:t>
                </w:r>
                <w:r w:rsidR="00C90DCF"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end"/>
                </w:r>
              </w:hyperlink>
            </w:p>
            <w:p w14:paraId="7CBD8AD5" w14:textId="74A8E603" w:rsidR="00C90DCF" w:rsidRPr="00C90DCF" w:rsidRDefault="00C90DCF">
              <w:pPr>
                <w:pStyle w:val="TOC1"/>
                <w:rPr>
                  <w:rFonts w:asciiTheme="minorHAnsi" w:eastAsiaTheme="minorEastAsia" w:hAnsiTheme="minorHAnsi" w:cstheme="minorBidi"/>
                  <w:b/>
                  <w:bCs/>
                  <w:smallCaps w:val="0"/>
                  <w:color w:val="004348" w:themeColor="accent1" w:themeShade="80"/>
                  <w:kern w:val="2"/>
                  <w:szCs w:val="24"/>
                  <w:lang w:eastAsia="en-GB"/>
                  <w14:ligatures w14:val="standardContextual"/>
                </w:rPr>
              </w:pPr>
              <w:hyperlink w:anchor="_Toc214704086" w:history="1">
                <w:r w:rsidRPr="00C90DCF">
                  <w:rPr>
                    <w:rStyle w:val="Hyperlink"/>
                    <w:b/>
                    <w:bCs/>
                    <w:color w:val="004348" w:themeColor="accent1" w:themeShade="80"/>
                  </w:rPr>
                  <w:t>Cost Analysis and Business Model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ab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begin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instrText xml:space="preserve"> PAGEREF _Toc214704086 \h </w:instrTex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separate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>2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end"/>
                </w:r>
              </w:hyperlink>
            </w:p>
            <w:p w14:paraId="0E83FFB9" w14:textId="503885DB" w:rsidR="00C90DCF" w:rsidRPr="00C90DCF" w:rsidRDefault="00C90DCF">
              <w:pPr>
                <w:pStyle w:val="TOC1"/>
                <w:rPr>
                  <w:rFonts w:asciiTheme="minorHAnsi" w:eastAsiaTheme="minorEastAsia" w:hAnsiTheme="minorHAnsi" w:cstheme="minorBidi"/>
                  <w:b/>
                  <w:bCs/>
                  <w:smallCaps w:val="0"/>
                  <w:color w:val="004348" w:themeColor="accent1" w:themeShade="80"/>
                  <w:kern w:val="2"/>
                  <w:szCs w:val="24"/>
                  <w:lang w:eastAsia="en-GB"/>
                  <w14:ligatures w14:val="standardContextual"/>
                </w:rPr>
              </w:pPr>
              <w:hyperlink w:anchor="_Toc214704087" w:history="1">
                <w:r w:rsidRPr="00C90DCF">
                  <w:rPr>
                    <w:rStyle w:val="Hyperlink"/>
                    <w:b/>
                    <w:bCs/>
                    <w:color w:val="004348" w:themeColor="accent1" w:themeShade="80"/>
                  </w:rPr>
                  <w:t>Budgeting and Financial Planning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ab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begin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instrText xml:space="preserve"> PAGEREF _Toc214704087 \h </w:instrTex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separate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>3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end"/>
                </w:r>
              </w:hyperlink>
            </w:p>
            <w:p w14:paraId="78F616DF" w14:textId="37699B67" w:rsidR="00C90DCF" w:rsidRPr="00C90DCF" w:rsidRDefault="00C90DCF">
              <w:pPr>
                <w:pStyle w:val="TOC1"/>
                <w:rPr>
                  <w:rFonts w:asciiTheme="minorHAnsi" w:eastAsiaTheme="minorEastAsia" w:hAnsiTheme="minorHAnsi" w:cstheme="minorBidi"/>
                  <w:b/>
                  <w:bCs/>
                  <w:smallCaps w:val="0"/>
                  <w:color w:val="004348" w:themeColor="accent1" w:themeShade="80"/>
                  <w:kern w:val="2"/>
                  <w:szCs w:val="24"/>
                  <w:lang w:eastAsia="en-GB"/>
                  <w14:ligatures w14:val="standardContextual"/>
                </w:rPr>
              </w:pPr>
              <w:hyperlink w:anchor="_Toc214704088" w:history="1">
                <w:r w:rsidRPr="00C90DCF">
                  <w:rPr>
                    <w:rStyle w:val="Hyperlink"/>
                    <w:b/>
                    <w:bCs/>
                    <w:color w:val="004348" w:themeColor="accent1" w:themeShade="80"/>
                  </w:rPr>
                  <w:t>Performance Measurement and Decision-Making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ab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begin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instrText xml:space="preserve"> PAGEREF _Toc214704088 \h </w:instrTex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separate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>4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end"/>
                </w:r>
              </w:hyperlink>
            </w:p>
            <w:p w14:paraId="13D871D5" w14:textId="458FCD85" w:rsidR="00C90DCF" w:rsidRPr="00C90DCF" w:rsidRDefault="00C90DCF">
              <w:pPr>
                <w:pStyle w:val="TOC1"/>
                <w:rPr>
                  <w:rFonts w:asciiTheme="minorHAnsi" w:eastAsiaTheme="minorEastAsia" w:hAnsiTheme="minorHAnsi" w:cstheme="minorBidi"/>
                  <w:b/>
                  <w:bCs/>
                  <w:smallCaps w:val="0"/>
                  <w:color w:val="004348" w:themeColor="accent1" w:themeShade="80"/>
                  <w:kern w:val="2"/>
                  <w:szCs w:val="24"/>
                  <w:lang w:eastAsia="en-GB"/>
                  <w14:ligatures w14:val="standardContextual"/>
                </w:rPr>
              </w:pPr>
              <w:hyperlink w:anchor="_Toc214704089" w:history="1">
                <w:r w:rsidRPr="00C90DCF">
                  <w:rPr>
                    <w:rStyle w:val="Hyperlink"/>
                    <w:b/>
                    <w:bCs/>
                    <w:color w:val="004348" w:themeColor="accent1" w:themeShade="80"/>
                  </w:rPr>
                  <w:t>Sustainability and Ethical Considerations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ab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begin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instrText xml:space="preserve"> PAGEREF _Toc214704089 \h </w:instrTex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separate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>6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end"/>
                </w:r>
              </w:hyperlink>
            </w:p>
            <w:p w14:paraId="7193C5ED" w14:textId="0E3D1518" w:rsidR="00C90DCF" w:rsidRPr="00C90DCF" w:rsidRDefault="00C90DCF">
              <w:pPr>
                <w:pStyle w:val="TOC1"/>
                <w:rPr>
                  <w:rFonts w:asciiTheme="minorHAnsi" w:eastAsiaTheme="minorEastAsia" w:hAnsiTheme="minorHAnsi" w:cstheme="minorBidi"/>
                  <w:b/>
                  <w:bCs/>
                  <w:smallCaps w:val="0"/>
                  <w:color w:val="004348" w:themeColor="accent1" w:themeShade="80"/>
                  <w:kern w:val="2"/>
                  <w:szCs w:val="24"/>
                  <w:lang w:eastAsia="en-GB"/>
                  <w14:ligatures w14:val="standardContextual"/>
                </w:rPr>
              </w:pPr>
              <w:hyperlink w:anchor="_Toc214704090" w:history="1">
                <w:r w:rsidRPr="00C90DCF">
                  <w:rPr>
                    <w:rStyle w:val="Hyperlink"/>
                    <w:b/>
                    <w:bCs/>
                    <w:color w:val="004348" w:themeColor="accent1" w:themeShade="80"/>
                  </w:rPr>
                  <w:t>Conclusion and Recommendations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ab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begin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instrText xml:space="preserve"> PAGEREF _Toc214704090 \h </w:instrTex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separate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>7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end"/>
                </w:r>
              </w:hyperlink>
            </w:p>
            <w:p w14:paraId="4D1D1539" w14:textId="4FDAA503" w:rsidR="00C90DCF" w:rsidRPr="00C90DCF" w:rsidRDefault="00C90DCF">
              <w:pPr>
                <w:pStyle w:val="TOC1"/>
                <w:rPr>
                  <w:rFonts w:asciiTheme="minorHAnsi" w:eastAsiaTheme="minorEastAsia" w:hAnsiTheme="minorHAnsi" w:cstheme="minorBidi"/>
                  <w:b/>
                  <w:bCs/>
                  <w:smallCaps w:val="0"/>
                  <w:color w:val="004348" w:themeColor="accent1" w:themeShade="80"/>
                  <w:kern w:val="2"/>
                  <w:szCs w:val="24"/>
                  <w:lang w:eastAsia="en-GB"/>
                  <w14:ligatures w14:val="standardContextual"/>
                </w:rPr>
              </w:pPr>
              <w:hyperlink w:anchor="_Toc214704091" w:history="1">
                <w:r w:rsidRPr="00C90DCF">
                  <w:rPr>
                    <w:rStyle w:val="Hyperlink"/>
                    <w:b/>
                    <w:bCs/>
                    <w:color w:val="004348" w:themeColor="accent1" w:themeShade="80"/>
                  </w:rPr>
                  <w:t>References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ab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begin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instrText xml:space="preserve"> PAGEREF _Toc214704091 \h </w:instrTex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separate"/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t>8</w:t>
                </w:r>
                <w:r w:rsidRPr="00C90DCF">
                  <w:rPr>
                    <w:b/>
                    <w:bCs/>
                    <w:webHidden/>
                    <w:color w:val="004348" w:themeColor="accent1" w:themeShade="80"/>
                  </w:rPr>
                  <w:fldChar w:fldCharType="end"/>
                </w:r>
              </w:hyperlink>
            </w:p>
            <w:p w14:paraId="43EC22B4" w14:textId="6FC41CEC" w:rsidR="00182A81" w:rsidRDefault="00182A81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00287E11" w14:textId="3AA6C029" w:rsidR="00EF635F" w:rsidRDefault="00EF635F">
          <w:r>
            <w:rPr>
              <w:b/>
              <w:bCs/>
            </w:rPr>
            <w:br w:type="page"/>
          </w:r>
        </w:p>
        <w:tbl>
          <w:tblPr>
            <w:tblStyle w:val="PlainTable4"/>
            <w:tblpPr w:leftFromText="180" w:rightFromText="180" w:vertAnchor="text" w:horzAnchor="margin" w:tblpXSpec="center" w:tblpY="-12904"/>
            <w:tblW w:w="10519" w:type="dxa"/>
            <w:tblLook w:val="04A0" w:firstRow="1" w:lastRow="0" w:firstColumn="1" w:lastColumn="0" w:noHBand="0" w:noVBand="1"/>
          </w:tblPr>
          <w:tblGrid>
            <w:gridCol w:w="10519"/>
          </w:tblGrid>
          <w:tr w:rsidR="000F1DCE" w:rsidRPr="006D05B1" w14:paraId="7D256A26" w14:textId="77777777" w:rsidTr="000F1DC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994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519" w:type="dxa"/>
              </w:tcPr>
              <w:p w14:paraId="40251E0F" w14:textId="2ACFC796" w:rsidR="00182A81" w:rsidRPr="006D05B1" w:rsidRDefault="00182A81" w:rsidP="00182A81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72756315" w14:textId="18B8719F" w:rsidR="00182A81" w:rsidRPr="006D05B1" w:rsidRDefault="00182A81" w:rsidP="006D05B1">
                <w:pPr>
                  <w:pStyle w:val="Heading1"/>
                </w:pPr>
                <w:bookmarkStart w:id="0" w:name="_Toc214704085"/>
                <w:r w:rsidRPr="006D05B1">
                  <w:t>Introduction</w:t>
                </w:r>
                <w:bookmarkEnd w:id="0"/>
              </w:p>
              <w:p w14:paraId="56458365" w14:textId="77777777" w:rsidR="00182A81" w:rsidRPr="006D05B1" w:rsidRDefault="00182A81" w:rsidP="00182A81">
                <w:pPr>
                  <w:spacing w:line="276" w:lineRule="auto"/>
                  <w:rPr>
                    <w:b w:val="0"/>
                    <w:bCs w:val="0"/>
                    <w:sz w:val="26"/>
                    <w:szCs w:val="26"/>
                  </w:rPr>
                </w:pPr>
              </w:p>
              <w:p w14:paraId="3DE054D7" w14:textId="7E2B650A" w:rsidR="00182A8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Rolls-Royce Holdings plc, a FTSE 100 aerospace and defence corporation, is a global supplier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of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power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solutions, defensive propulsion systems, and engines for civil aircraft. The corporation,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which operates in more than 100 countries, is vital to the global aviation and military sectors,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especially as it manages the needs of long-term capital investment and post-pandemic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restructuring. Reliable internal information is crucial for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informing strategic and operational decisions due to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the size, technological complexity, and financial intensity of its activities.</w:t>
                </w:r>
              </w:p>
              <w:p w14:paraId="0AA77EAC" w14:textId="77777777" w:rsidR="006D05B1" w:rsidRPr="006D05B1" w:rsidRDefault="006D05B1" w:rsidP="006D05B1">
                <w:pPr>
                  <w:spacing w:line="276" w:lineRule="auto"/>
                  <w:rPr>
                    <w:b w:val="0"/>
                    <w:bCs w:val="0"/>
                    <w:sz w:val="26"/>
                    <w:szCs w:val="26"/>
                  </w:rPr>
                </w:pPr>
              </w:p>
              <w:p w14:paraId="03E27F9D" w14:textId="68466DDC" w:rsidR="00182A81" w:rsidRPr="006D05B1" w:rsidRDefault="00182A81" w:rsidP="006D05B1">
                <w:pPr>
                  <w:spacing w:line="276" w:lineRule="auto"/>
                  <w:rPr>
                    <w:b w:val="0"/>
                    <w:bCs w:val="0"/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This need is directly supported by management accounting. "All forms of accounting, including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management accounting, are concerned with collecting and analysing financial and other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information and then communicating this to those making decisions," stress Atrill and McLaney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(2021, p. 16). This 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>aligns with the needs of a company like Rolls-Royce, where rapid and precise insights are essential for informed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decision-making. In a similar vein, Weygandt, Kimmel, and Aly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(2020, p. 3) highlight the significance of management accounting in such a complex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organisation by stating that it "provides economic and financial information for managers and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other internal users."</w:t>
                </w:r>
              </w:p>
              <w:p w14:paraId="2346501A" w14:textId="57E69D21" w:rsidR="00182A81" w:rsidRPr="006D05B1" w:rsidRDefault="00182A81" w:rsidP="006D05B1">
                <w:pPr>
                  <w:pStyle w:val="Heading1"/>
                </w:pPr>
                <w:bookmarkStart w:id="1" w:name="_Toc214704086"/>
                <w:r w:rsidRPr="006D05B1">
                  <w:t>Cost Analysis and Business Model</w:t>
                </w:r>
                <w:bookmarkEnd w:id="1"/>
              </w:p>
              <w:p w14:paraId="0EEA67B6" w14:textId="77777777" w:rsidR="006D05B1" w:rsidRPr="006D05B1" w:rsidRDefault="006D05B1" w:rsidP="006D05B1">
                <w:pPr>
                  <w:spacing w:line="276" w:lineRule="auto"/>
                  <w:rPr>
                    <w:b w:val="0"/>
                    <w:bCs w:val="0"/>
                  </w:rPr>
                </w:pPr>
              </w:p>
              <w:p w14:paraId="6123C277" w14:textId="4B3C6D2A" w:rsidR="00182A8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Long-term service agreements, engineering-intensive production, and many income streams all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contribute to Rolls-Royce's intricate business strategy. Its primary businesses fall across Civil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Aerospace, Defence, and Power Systems, each contributing differently to income and cost</w:t>
                </w:r>
                <w:r w:rsidR="006D05B1" w:rsidRP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structures. With "13,800 in-service engines and [powering] four out of five of the new generation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widebody engine aircraft," the company's Civil Aerospace segment demonstrates the size of its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installed base (Rolls-Royce Holdings plc, Annual Report 2024, p. 22). This basis supports a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revenue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model that is highly dependent on services, namely engine flying hours and long-term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service agreements (LTSA), which reward performance, dependability, and lifecycle value.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Rolls-Royce reaffirmed this by claiming that "large engine flying hours (EFH) at 103% of 2019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levels" contributed to its LTSA increase (Annual Report 2024, p.18).</w:t>
                </w:r>
              </w:p>
              <w:p w14:paraId="365EA9E4" w14:textId="77777777" w:rsidR="006D05B1" w:rsidRPr="006D05B1" w:rsidRDefault="006D05B1" w:rsidP="006D05B1">
                <w:pPr>
                  <w:spacing w:line="276" w:lineRule="auto"/>
                  <w:rPr>
                    <w:b w:val="0"/>
                    <w:bCs w:val="0"/>
                    <w:sz w:val="26"/>
                    <w:szCs w:val="26"/>
                  </w:rPr>
                </w:pPr>
              </w:p>
              <w:p w14:paraId="212F682E" w14:textId="77777777" w:rsidR="006D05B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Rolls-Royce's cost structures are in line with accepted management accounting theory.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According to Weetman (2013, p. 464), "some costs increase in direct proportion to the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increased level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of activity." We refer to these as variable costs. On the other hand, while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production levels fluctuate, fixed and semi-variable costs stay relatively constant, resulting in a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layered cost structure typical of capital-intensive enterprises. "All manufacturing costs are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regarded as product costs and non-manufacturing costs are treated as period costs," according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to Coombs, Hobbs, and Jenkins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lastRenderedPageBreak/>
                  <w:t>(2005, p. 26), who further differentiate between manufacturing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and non-manufacturing expenditures. For Rolls-Royce, this categorisation is extremely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pertinent as period expenses comprise corporate and administrative tasks, while product costs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include materials, assembly, testing, and engineering personnel.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</w:p>
              <w:p w14:paraId="6BD5F2B3" w14:textId="68A87222" w:rsidR="006D05B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Another cost issue is overheads; according to Seal, Rohde, Garrison, and Noreen (2018, p. 530),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"the detailed analysis of fixed overhead differs considerably from the analysis of variable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overhead, simply because of the difference in the costs involved." Facilities, testbeds, skill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development, and R&amp;D expenditure account for a large portion of Rolls-Royce's fixed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overheads, while varying shop visit numbers and parts consumption under service contracts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result in variable expenses.</w:t>
                </w:r>
              </w:p>
              <w:p w14:paraId="063C60A5" w14:textId="1BC36C24" w:rsidR="006D05B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Each division has a different cost structure and income strategy. While engine manufacturing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offers long-term installed base growth, LTSA and aftermarket services are the main drivers of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civil aerospace income. Supported by multi-year government contracts and nuclear propulsion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capabilities, defence income climbed by “13% to £4.5bn led by submarines which reported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growth of 53%” (Annual Report 2024, p. 26). The demand for data centre power solutions and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sustainable propulsion drove Power Systems' outstanding performance, with "underlying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revenue 4.3bn,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an increase of 11% versus the prior year" (Annual Report 2024, p. 28).</w:t>
                </w:r>
              </w:p>
              <w:p w14:paraId="37EDF2FA" w14:textId="48F5F7DA" w:rsidR="00182A8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All things considered, Rolls-Royce's business strategy combines service-driven revenue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streams with high fixed-cost engineering processes, utilising long-term contracts to stabilise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income while managing fluctuating demand and cost constraints throughout its worldwide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divisions.</w:t>
                </w:r>
              </w:p>
              <w:p w14:paraId="3E8F3664" w14:textId="60E9219E" w:rsidR="00182A81" w:rsidRDefault="00182A81" w:rsidP="006D05B1">
                <w:pPr>
                  <w:pStyle w:val="Heading1"/>
                  <w:rPr>
                    <w:b w:val="0"/>
                    <w:bCs w:val="0"/>
                  </w:rPr>
                </w:pPr>
                <w:bookmarkStart w:id="2" w:name="_Toc214704087"/>
                <w:r w:rsidRPr="006D05B1">
                  <w:t>Budgeting and Financial Planning</w:t>
                </w:r>
                <w:bookmarkEnd w:id="2"/>
              </w:p>
              <w:p w14:paraId="49FDED03" w14:textId="77777777" w:rsidR="006D05B1" w:rsidRPr="006D05B1" w:rsidRDefault="006D05B1" w:rsidP="006D05B1"/>
              <w:p w14:paraId="6118D07D" w14:textId="77777777" w:rsidR="006D05B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A key component of Rolls-Royce's planning, distribution, and management of its 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>financial resources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throughout its international activities is budgeting. "A budget is a financial projection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for the future and is thus a valuable managerial planning aid," according to Langfield-Smith et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al. (2021, p. 12). This supports the notion that in complex enterprises, budgeting offers an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organised basis for decision-making. In a similar vein, Kimmel, Weygandt, and Mitchell (2023,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p. 17) stress that "managerial accounting needs to continue to innovate to provide managers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with the information they need in this rapidly changing world." Budgeting is therefore not merely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 financial instrument but also a strategic requirement that helps planning under uncertainty for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Rolls-Royce, which operates in a highly dynamic aerospace and defence sector.</w:t>
                </w:r>
              </w:p>
              <w:p w14:paraId="242C7DDB" w14:textId="5A4218BB" w:rsidR="006D05B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At Rolls-Royce, divisional planning cycles and budgeting are tightly related. Budgets are used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by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Civil Aerospace to project long-term aftermarket activity, shop visit numbers, and engine flying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hours, all of which have a direct impact on revenue recognition. To oversee long-term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government contracts like the £9 billion submarine program, defence depends on multi-year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budgets. Budgeting is used by Power Systems to plan capacity, assess data centre and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governmental market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lastRenderedPageBreak/>
                  <w:t>demand patterns, and direct investment in lower-carbon technology.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Butterfield (2016, p. 26) noted that "the decision context and type can vary... [yet] these steps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can be applied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 framework for the decision-making process," which is consistent with these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procedures. This single framework is used by Rolls-Royce to make sure that strategic, tactical,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and operational choices are informed by budgets.</w:t>
                </w:r>
              </w:p>
              <w:p w14:paraId="67291BD8" w14:textId="36B39F8F" w:rsidR="006D05B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According to Google Finance statistics, Rolls-Royce recorded operating costs of £1.82 billion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2024, which is a very small +0.06% year-over-year rise. Considering that income increased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by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14.7% throughout the same period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>;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this consistency is noteworthy. Simkin, Worrell, and Savage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(2020, p. 15) state that "most data must be processed into useful information to be useful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or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meaningful." By transforming operational data, such as supply chain performance, shop-visit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cycles, and engine utilisation, into practical budgeting decisions that maintain cost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management even during growth stages, Rolls-Royce exemplifies this idea.</w:t>
                </w:r>
              </w:p>
              <w:p w14:paraId="082D565C" w14:textId="557F4398" w:rsidR="006D05B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This steady trend in operational expenses was mostly caused by internal managerial decisions.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Tighter cost management was made possible by the company's transformation strategy,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commercial optimisation, cost-efficiency efforts, and increased productivity. As Coombs,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Hobbs, and Jenkins (2005, p. 137) caution that "annual budgeting tends to fix a company's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thinking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and response to events when the world is changing," these steps support the notion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that businesses must modify their budgeting procedures to stay adaptable. This risk was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reduced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by Rolls-Royce's adaptable and data-driven budgeting strategy.</w:t>
                </w:r>
              </w:p>
              <w:p w14:paraId="54120B06" w14:textId="77777777" w:rsidR="006D05B1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The outcome was also impacted by external macroeconomic forces. Although supply-chain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difficulties, workforce shortages, and inflation persisted, post-pandemic aviation demand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improved globally, offering more predictability and solid budgetary results.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</w:p>
              <w:p w14:paraId="63B9556C" w14:textId="04CCFDDC" w:rsidR="00182A81" w:rsidRPr="006D05B1" w:rsidRDefault="00182A81" w:rsidP="006D05B1">
                <w:pPr>
                  <w:spacing w:line="276" w:lineRule="auto"/>
                  <w:rPr>
                    <w:b w:val="0"/>
                    <w:bCs w:val="0"/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 conclusion, Rolls-Royce uses budgeting as a strategic tool to maintain financial stability,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achieve operational discipline, and make wise long-term decisions.</w:t>
                </w:r>
              </w:p>
              <w:p w14:paraId="580EFC78" w14:textId="50AB7E5A" w:rsidR="00182A81" w:rsidRDefault="00182A81" w:rsidP="006D05B1">
                <w:pPr>
                  <w:pStyle w:val="Heading1"/>
                  <w:rPr>
                    <w:b w:val="0"/>
                    <w:bCs w:val="0"/>
                  </w:rPr>
                </w:pPr>
                <w:bookmarkStart w:id="3" w:name="_Toc214704088"/>
                <w:r w:rsidRPr="006D05B1">
                  <w:t>Performance Measurement and Decision-Making</w:t>
                </w:r>
                <w:bookmarkEnd w:id="3"/>
              </w:p>
              <w:p w14:paraId="4B93181F" w14:textId="77777777" w:rsidR="006D05B1" w:rsidRPr="006D05B1" w:rsidRDefault="006D05B1" w:rsidP="006D05B1"/>
              <w:p w14:paraId="3A0C9CB3" w14:textId="577C38C1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 a complex engineering company like Rolls-Royce, performance assessment is crucial for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assessing organisational development and directing executive decision-making. "Knowledge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of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industries is important when analysing financial statements," as noted by Pratt and Peters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(2021, p. 15). Rolls-Royce uses both financial and operational metrics to assess performance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across its Civil Aerospace, Defence, and Power Systems businesses. Additionally, in line with</w:t>
                </w:r>
                <w:r w:rsidR="006D05B1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Simkin, Worrell, and Savage's (2020, p. 15) observation that "most data must be processed into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useful information to be useful or meaningful," successful decision-making depends on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transforming operational data into actionable insights.</w:t>
                </w:r>
              </w:p>
              <w:p w14:paraId="0D295112" w14:textId="6B161A65" w:rsidR="00182A81" w:rsidRPr="006D05B1" w:rsidRDefault="00182A81" w:rsidP="006D05B1">
                <w:pPr>
                  <w:spacing w:line="276" w:lineRule="auto"/>
                  <w:rPr>
                    <w:b w:val="0"/>
                    <w:bCs w:val="0"/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lastRenderedPageBreak/>
                  <w:t>Rolls-Royce's performance review is based on five key performance indicators (KPIs). First,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robust demand in widebody engines, defensive propulsion, and data centre-related power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systems supports the underlying revenue increase, which </w:t>
                </w:r>
                <w:proofErr w:type="gramStart"/>
                <w:r w:rsidRPr="006D05B1">
                  <w:rPr>
                    <w:b w:val="0"/>
                    <w:bCs w:val="0"/>
                    <w:sz w:val="26"/>
                    <w:szCs w:val="26"/>
                  </w:rPr>
                  <w:t>is a reflection of</w:t>
                </w:r>
                <w:proofErr w:type="gramEnd"/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financial progress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across all divisions. Second, operating profit and margins serve as a gauge of productivity and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profitability. In 2024, Defence attained a margin of 14.2%, while Power Systems increased to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13.1%, demonstrating better commercial optimisation and efficient cost control.</w:t>
                </w:r>
              </w:p>
              <w:p w14:paraId="72BE1B8C" w14:textId="77777777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Third, free cash flow, also known as trade cash flow, shows strong liquidity; in 2024, Defence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reported £591 million, while Power Systems reported £452 million. Fourth, because they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directly affect aftermarket income, big engine flying hours, which increased 17% to surpass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2019 levels, are an important non-financial KPI. Lastly, long-term demand and strategic posture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 international markets are highlighted by order intake, such as Defence's £13.3 billion and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Power Systems' 19% annual growth.</w:t>
                </w:r>
              </w:p>
              <w:p w14:paraId="4ADF10F6" w14:textId="5967F7BA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Together, these KPIs influence the organisation's wide strategy choices. In order to maintain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long-term service agreements, Rolls-Royce has increased maintenance capacity in Derby,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proofErr w:type="spellStart"/>
                <w:r w:rsidRPr="006D05B1">
                  <w:rPr>
                    <w:b w:val="0"/>
                    <w:bCs w:val="0"/>
                    <w:sz w:val="26"/>
                    <w:szCs w:val="26"/>
                  </w:rPr>
                  <w:t>Dahlewitz</w:t>
                </w:r>
                <w:proofErr w:type="spellEnd"/>
                <w:r w:rsidRPr="006D05B1">
                  <w:rPr>
                    <w:b w:val="0"/>
                    <w:bCs w:val="0"/>
                    <w:sz w:val="26"/>
                    <w:szCs w:val="26"/>
                  </w:rPr>
                  <w:t>, and Singapore due to an increase in flight hours and shop visits. The company's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commitment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to high-value, long-cycle defence revenues has been strengthened by increased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order intake in the defence sector, particularly the £9 billion UK submarine program. This has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strengthened capacity planning and staff development. Power Systems' investment in battery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energy storage systems and hybrid propulsion technologies was inspired by the growing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demand from data centres and the emergence of sustainable fuel options.</w:t>
                </w:r>
              </w:p>
              <w:p w14:paraId="37CC7762" w14:textId="77777777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Cost-focused decisions have also been influenced by financial KPIs. According to Google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Finance,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stable operational expenses, which increased by just 0.06% annually, indicate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effective internal cost transformation and commercial optimisation. This bolsters the claim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stated by Kimmel,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Weygandt, and Mitchell (2023, p. 17) that in dynamic businesses,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management accounting must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"innovate to provide managers with the information they need."</w:t>
                </w:r>
              </w:p>
              <w:p w14:paraId="698F427E" w14:textId="77777777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Furthermore, Butterfield's (2016) finding that organised decision frameworks guarantee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consistency even when choice circumstances alter is reflected in the balanced approach to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capital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allocation. Rolls-Royce has prioritised investments in high-margin engine programmes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while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divesting lower-value activities such as the lower-power engine range in Power Systems.</w:t>
                </w:r>
              </w:p>
              <w:p w14:paraId="2CF7D58C" w14:textId="3AC82211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All things considered, Rolls-Royce 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>can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monitor performance thoroughly, make 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evidence-based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choices, and match strategic activities with long-term growth, efficiency, and technical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leadership thanks to the combination of financial and operational KPIs.</w:t>
                </w:r>
              </w:p>
              <w:p w14:paraId="29EBF56E" w14:textId="77777777" w:rsidR="00EF635F" w:rsidRDefault="00EF635F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35A789E6" w14:textId="77777777" w:rsidR="00EF635F" w:rsidRPr="00EF635F" w:rsidRDefault="00EF635F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32E78B48" w14:textId="3C993447" w:rsidR="00182A81" w:rsidRDefault="00182A81" w:rsidP="00EF635F">
                <w:pPr>
                  <w:pStyle w:val="Heading1"/>
                  <w:rPr>
                    <w:b w:val="0"/>
                    <w:bCs w:val="0"/>
                  </w:rPr>
                </w:pPr>
                <w:bookmarkStart w:id="4" w:name="_Toc214704089"/>
                <w:r w:rsidRPr="006D05B1">
                  <w:lastRenderedPageBreak/>
                  <w:t>Sustainability and Ethical Considerations</w:t>
                </w:r>
                <w:bookmarkEnd w:id="4"/>
              </w:p>
              <w:p w14:paraId="040142D8" w14:textId="77777777" w:rsidR="00EF635F" w:rsidRPr="00EF635F" w:rsidRDefault="00EF635F" w:rsidP="00EF635F"/>
              <w:p w14:paraId="57461FC2" w14:textId="77777777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Rolls-Royce has made sustainability a strategic priority, influencing both long-term financial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and operational decisions. According to the Annual Report, "there are significant business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growth opportunities to come from Rolls-Royce playing a leading role in the transition to net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zero." The corporation views environmental change as a business opportunity. This viewpoint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shows that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sustainability is viewed as a facilitator of future profitability, competitive advantage,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and stakeholder trust rather than just as compliance. Investments in hydrogen-capable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engines, low-carbon propulsion, sustainable fuels, and battery energy storage systems (BESS)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demonstrate how environmental goals are directly incorporated into capital allocation and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technical advancement.</w:t>
                </w:r>
              </w:p>
              <w:p w14:paraId="0C8AFD6A" w14:textId="77777777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The connection between management accounting and sustainability is supported by scholarly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literature. According to Seal, Rohde, Garrison, and Noreen (2018, p. 15), "environmental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management accounting is not about reporting." In order to make ecologically conscious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decisions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it entails gathering and analysing both financial and physical data. Rolls-Royce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employs this reasoning by closely observing supply-chain performance, energy efficiency,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resource use, and carbon consequences. The growth of HVO-enabled generators in Power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Systems, the strategic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investment in SAF-ready engine platforms, and the assessment of 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long-term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research initiatives in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fields like hydrogen combustion and micro-reactors for clean energy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are all influenced by these data streams.</w:t>
                </w:r>
              </w:p>
              <w:p w14:paraId="7021FF3C" w14:textId="092750B0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Another important factor influencing ethical behaviour is corporate social responsibility.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"Corporate social responsibility means that companies integrate social and environmental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concerns in their business operations and in their interactions with stakeholders," according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to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Weetman (2013, p. 391). By revealing clear sustainability measurements, putting policies in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place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to lessen environmental effects, and integrating ethical conduct into engineering,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procurement, and operating procedures, Rolls-Royce exemplifies CSR alignment.</w:t>
                </w:r>
              </w:p>
              <w:p w14:paraId="47A4630A" w14:textId="77777777" w:rsidR="00C90DC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Additionally,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the company's strategy is guided by CSR principles in delicate industries like defence, where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regulatory approval and legitimacy depend on openness, compliance, and responsible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innovation.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Pricing, supply chain choices, and cost control all take ethics into account.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Most businesses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are aware of the consequences of unethical behaviour and therefore demonstrate their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commitment to high standards of behaviour," according to Atrill and McLaney (2021, p. 32).</w:t>
                </w:r>
              </w:p>
              <w:p w14:paraId="15915209" w14:textId="2F757208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This</w:t>
                </w:r>
                <w:r w:rsidR="00EF635F">
                  <w:rPr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is demonstrated by Rolls-Royce's rigorous controls over defence procurement, fair contractual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procedures with governments, and a resolute rejection of unethical cost-cutting techniques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that might jeopardise safety, quality, or regulatory compliance. In long-term service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agreements, where cost-plus arrangements and performance-based contracts must strike a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balance between profitability and openness and justice, ethical pricing is especially crucial.</w:t>
                </w:r>
              </w:p>
              <w:p w14:paraId="44AC908F" w14:textId="28B88615" w:rsidR="00182A81" w:rsidRPr="006D05B1" w:rsidRDefault="00182A81" w:rsidP="006D05B1">
                <w:pPr>
                  <w:spacing w:line="276" w:lineRule="auto"/>
                  <w:rPr>
                    <w:b w:val="0"/>
                    <w:bCs w:val="0"/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lastRenderedPageBreak/>
                  <w:t>All things considered, Rolls-Royce's sustainability and ethical frameworks show how wel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l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environmental accounting, corporate social responsibility, and ethical governance are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integrated into financial decision-making. The corporation boosts stakeholder confidence and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puts itself in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a competitive position for a decarbonising global economy by integrating academic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ideas with operational activity.</w:t>
                </w:r>
              </w:p>
              <w:p w14:paraId="2B329C96" w14:textId="0559FFD0" w:rsidR="00182A81" w:rsidRDefault="00182A81" w:rsidP="00EF635F">
                <w:pPr>
                  <w:pStyle w:val="Heading1"/>
                  <w:rPr>
                    <w:b w:val="0"/>
                    <w:bCs w:val="0"/>
                  </w:rPr>
                </w:pPr>
                <w:bookmarkStart w:id="5" w:name="_Toc214704090"/>
                <w:r w:rsidRPr="006D05B1">
                  <w:t>Conclusion and Recommendations</w:t>
                </w:r>
                <w:bookmarkEnd w:id="5"/>
              </w:p>
              <w:p w14:paraId="4E63FB5D" w14:textId="77777777" w:rsidR="00EF635F" w:rsidRPr="00EF635F" w:rsidRDefault="00EF635F" w:rsidP="00EF635F"/>
              <w:p w14:paraId="1DF79222" w14:textId="77777777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The integration of management accounting technologies by Rolls-Royce to facilitate financial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decision-making in a highly complex aerospace, military, and power systems environment has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been illustrated in this research. Strong strategic planning is aided by cost structures,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budgeting procedures, and KPI monitoring, while long-term operational decisions are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increasingly influenced by sustainability and ethical issues. </w:t>
                </w:r>
              </w:p>
              <w:p w14:paraId="036306EB" w14:textId="79C0927E" w:rsidR="00EF635F" w:rsidRDefault="00182A81" w:rsidP="006D05B1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According to the report, 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>Rolls-Royce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uses comprehensive financial and environmental data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to direct investments in net-zero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technologies, maximise cost effectiveness, and sustain high performance across divisions. The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organisation's organisational resilience and stakeholder confidence are further supported by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ethical behaviour, CSR values, and transparent reporting.</w:t>
                </w:r>
              </w:p>
              <w:p w14:paraId="4F6233BE" w14:textId="619739AC" w:rsidR="00EF635F" w:rsidRDefault="00182A81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  <w:r w:rsidRPr="006D05B1">
                  <w:rPr>
                    <w:b w:val="0"/>
                    <w:bCs w:val="0"/>
                    <w:sz w:val="26"/>
                    <w:szCs w:val="26"/>
                  </w:rPr>
                  <w:t>Three suggestions are made in light of the results. To get more detailed sustainability statistics,</w:t>
                </w:r>
                <w:r w:rsidR="00EF635F">
                  <w:rPr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Rolls-Royce should first improve its environmental management accounting skills. Second,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br/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to</w:t>
                </w:r>
                <w:r w:rsidR="00EF635F">
                  <w:rPr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promote strategic resilience in erratic markets, the business should improve scenario-based</w:t>
                </w:r>
                <w:r w:rsidR="00EF635F">
                  <w:rPr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budgeting. Lastly, </w:t>
                </w:r>
                <w:r w:rsidR="00EF635F">
                  <w:rPr>
                    <w:b w:val="0"/>
                    <w:bCs w:val="0"/>
                    <w:sz w:val="26"/>
                    <w:szCs w:val="26"/>
                  </w:rPr>
                  <w:t>to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 xml:space="preserve"> guarantee responsible cost control and preserve confidence in</w:t>
                </w:r>
                <w:r w:rsidR="00EF635F">
                  <w:rPr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regulated industries like defence, Rolls-Royce should keep growing ethical supply-chain</w:t>
                </w:r>
                <w:r w:rsidR="00EF635F">
                  <w:rPr>
                    <w:sz w:val="26"/>
                    <w:szCs w:val="26"/>
                  </w:rPr>
                  <w:t xml:space="preserve"> </w:t>
                </w:r>
                <w:r w:rsidRPr="006D05B1">
                  <w:rPr>
                    <w:b w:val="0"/>
                    <w:bCs w:val="0"/>
                    <w:sz w:val="26"/>
                    <w:szCs w:val="26"/>
                  </w:rPr>
                  <w:t>governance.</w:t>
                </w:r>
              </w:p>
              <w:p w14:paraId="00E894DC" w14:textId="77777777" w:rsidR="00EF635F" w:rsidRDefault="00EF635F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1C2E9F9F" w14:textId="77777777" w:rsidR="00EF635F" w:rsidRDefault="00EF635F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13487678" w14:textId="77777777" w:rsidR="00EF635F" w:rsidRDefault="00EF635F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31C42B1B" w14:textId="77777777" w:rsidR="00EF635F" w:rsidRDefault="00EF635F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6DC0E956" w14:textId="77777777" w:rsidR="00EF635F" w:rsidRDefault="00EF635F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39715DA5" w14:textId="77777777" w:rsidR="00EF635F" w:rsidRDefault="00EF635F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3B764902" w14:textId="77777777" w:rsidR="00EF635F" w:rsidRDefault="00EF635F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5CE19064" w14:textId="77777777" w:rsidR="00EF635F" w:rsidRDefault="00EF635F" w:rsidP="00EF635F">
                <w:pPr>
                  <w:spacing w:line="276" w:lineRule="auto"/>
                  <w:rPr>
                    <w:sz w:val="26"/>
                    <w:szCs w:val="26"/>
                  </w:rPr>
                </w:pPr>
              </w:p>
              <w:p w14:paraId="0ACB0299" w14:textId="77777777" w:rsidR="00C90DCF" w:rsidRDefault="00C90DCF" w:rsidP="00EF635F">
                <w:pPr>
                  <w:spacing w:line="276" w:lineRule="auto"/>
                  <w:rPr>
                    <w:b w:val="0"/>
                    <w:bCs w:val="0"/>
                    <w:sz w:val="26"/>
                    <w:szCs w:val="26"/>
                  </w:rPr>
                </w:pPr>
              </w:p>
              <w:p w14:paraId="4FFFEFA3" w14:textId="08785113" w:rsidR="00182A81" w:rsidRPr="00EF635F" w:rsidRDefault="00182A81" w:rsidP="00EF635F">
                <w:pPr>
                  <w:spacing w:line="276" w:lineRule="auto"/>
                  <w:rPr>
                    <w:rStyle w:val="Heading1Char"/>
                  </w:rPr>
                </w:pPr>
                <w:bookmarkStart w:id="6" w:name="_Toc214704091"/>
                <w:r w:rsidRPr="00EF635F">
                  <w:rPr>
                    <w:rStyle w:val="Heading1Char"/>
                  </w:rPr>
                  <w:lastRenderedPageBreak/>
                  <w:t>References</w:t>
                </w:r>
                <w:bookmarkEnd w:id="6"/>
              </w:p>
              <w:p w14:paraId="4A3CFE76" w14:textId="77777777" w:rsidR="00EF635F" w:rsidRPr="00C90DCF" w:rsidRDefault="00EF635F" w:rsidP="00EF635F">
                <w:pPr>
                  <w:rPr>
                    <w:b w:val="0"/>
                    <w:bCs w:val="0"/>
                  </w:rPr>
                </w:pPr>
              </w:p>
              <w:p w14:paraId="4254766D" w14:textId="77777777" w:rsidR="00C90DCF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Atrill, P. and McLaney, E. (2021)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Management Accounting for Decision Makers.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 Pearson</w:t>
                </w:r>
                <w:r w:rsidR="00EF635F" w:rsidRPr="00C90DCF">
                  <w:rPr>
                    <w:b w:val="0"/>
                    <w:bCs w:val="0"/>
                    <w:szCs w:val="24"/>
                  </w:rPr>
                  <w:t xml:space="preserve"> </w:t>
                </w:r>
                <w:r w:rsidRPr="00C90DCF">
                  <w:rPr>
                    <w:b w:val="0"/>
                    <w:bCs w:val="0"/>
                    <w:szCs w:val="24"/>
                  </w:rPr>
                  <w:t>Education Limited.</w:t>
                </w:r>
              </w:p>
              <w:p w14:paraId="3FC9FAE8" w14:textId="4114DB4C" w:rsidR="00182A81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Butterfield, E. (2016)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Managerial Decision-Making and Management Accounting Information.</w:t>
                </w:r>
                <w:r w:rsidR="00C90DCF" w:rsidRPr="00C90DCF">
                  <w:rPr>
                    <w:b w:val="0"/>
                    <w:bCs w:val="0"/>
                    <w:i/>
                    <w:iCs/>
                    <w:szCs w:val="24"/>
                  </w:rPr>
                  <w:t xml:space="preserve">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Master’s Thesis.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 Helsinki Metropolia University of Applied Sciences.</w:t>
                </w:r>
              </w:p>
              <w:p w14:paraId="45FC06CE" w14:textId="1C764CF0" w:rsidR="00182A81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Coombs, H., Hobbs, D. and Jenkins, E. (2005)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Management Accounting: Principles and</w:t>
                </w:r>
                <w:r w:rsidR="00C90DCF" w:rsidRPr="00C90DCF">
                  <w:rPr>
                    <w:b w:val="0"/>
                    <w:bCs w:val="0"/>
                    <w:i/>
                    <w:iCs/>
                    <w:szCs w:val="24"/>
                  </w:rPr>
                  <w:t xml:space="preserve">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Applications.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 Sage Publications.</w:t>
                </w:r>
              </w:p>
              <w:p w14:paraId="73F7F468" w14:textId="52520422" w:rsidR="00182A81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Google Finance (2024)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Rolls-Royce Holdings plc</w:t>
                </w:r>
                <w:r w:rsidR="00C90DCF" w:rsidRPr="00C90DCF">
                  <w:rPr>
                    <w:b w:val="0"/>
                    <w:bCs w:val="0"/>
                    <w:i/>
                    <w:iCs/>
                    <w:szCs w:val="24"/>
                  </w:rPr>
                  <w:t xml:space="preserve"> -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Operating Expenses.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 Available at:</w:t>
                </w:r>
                <w:r w:rsidR="00C90DCF" w:rsidRPr="00C90DCF">
                  <w:rPr>
                    <w:b w:val="0"/>
                    <w:bCs w:val="0"/>
                    <w:szCs w:val="24"/>
                  </w:rPr>
                  <w:t xml:space="preserve"> 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https://www.google.com/finance/ (Accessed: </w:t>
                </w:r>
                <w:r w:rsidR="00C90DCF" w:rsidRPr="00C90DCF">
                  <w:rPr>
                    <w:b w:val="0"/>
                    <w:bCs w:val="0"/>
                    <w:szCs w:val="24"/>
                  </w:rPr>
                  <w:t>21/11/2025)</w:t>
                </w:r>
              </w:p>
              <w:p w14:paraId="21773A4D" w14:textId="77777777" w:rsidR="00C90DCF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Kimmel, P.D., Weygandt, J.J. and Mitchell, J.E. (2023)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Financial Accounting for Managers.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 Wiley.</w:t>
                </w:r>
              </w:p>
              <w:p w14:paraId="2BAFE1C2" w14:textId="5B9CCB25" w:rsidR="00C90DCF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Langfield-Smith, K., Smith, D., Andon, P., Hilton, R. and Thorne, H. (2021)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Management</w:t>
                </w:r>
                <w:r w:rsidR="00C90DCF" w:rsidRPr="00C90DCF">
                  <w:rPr>
                    <w:b w:val="0"/>
                    <w:bCs w:val="0"/>
                    <w:i/>
                    <w:iCs/>
                    <w:szCs w:val="24"/>
                  </w:rPr>
                  <w:t xml:space="preserve">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Accounting</w:t>
                </w:r>
                <w:r w:rsidRPr="00C90DCF">
                  <w:rPr>
                    <w:b w:val="0"/>
                    <w:bCs w:val="0"/>
                    <w:szCs w:val="24"/>
                  </w:rPr>
                  <w:t>. McGraw-Hill Education.</w:t>
                </w:r>
              </w:p>
              <w:p w14:paraId="2DB56A64" w14:textId="77777777" w:rsidR="00C90DCF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Pratt, J. and Peters, M.F. (2021)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Financial Accounting.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 Wiley.</w:t>
                </w:r>
              </w:p>
              <w:p w14:paraId="6C5C1591" w14:textId="77777777" w:rsidR="00C90DCF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Rolls-Royce Holdings plc. (2024)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Annual Report 2024.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 Rolls-Royce Holdings plc.</w:t>
                </w:r>
              </w:p>
              <w:p w14:paraId="7B016A45" w14:textId="77777777" w:rsidR="00C90DCF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>Seal, W., Rohde, C., Garrison, R. and Noreen, E. (2018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). Management Accounting</w:t>
                </w:r>
                <w:r w:rsidRPr="00C90DCF">
                  <w:rPr>
                    <w:b w:val="0"/>
                    <w:bCs w:val="0"/>
                    <w:szCs w:val="24"/>
                  </w:rPr>
                  <w:t>. McGraw-Hill</w:t>
                </w:r>
                <w:r w:rsidR="00C90DCF" w:rsidRPr="00C90DCF">
                  <w:rPr>
                    <w:b w:val="0"/>
                    <w:bCs w:val="0"/>
                    <w:szCs w:val="24"/>
                  </w:rPr>
                  <w:t xml:space="preserve"> </w:t>
                </w:r>
                <w:r w:rsidRPr="00C90DCF">
                  <w:rPr>
                    <w:b w:val="0"/>
                    <w:bCs w:val="0"/>
                    <w:szCs w:val="24"/>
                  </w:rPr>
                  <w:t>Education.</w:t>
                </w:r>
              </w:p>
              <w:p w14:paraId="451DF06D" w14:textId="77777777" w:rsidR="00C90DCF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>Simkin, M.G., Worrell, J.L. and Savage, A. (2020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). Core Concepts of Accounting Information</w:t>
                </w:r>
                <w:r w:rsidR="00C90DCF" w:rsidRPr="00C90DCF">
                  <w:rPr>
                    <w:b w:val="0"/>
                    <w:bCs w:val="0"/>
                    <w:i/>
                    <w:iCs/>
                    <w:szCs w:val="24"/>
                  </w:rPr>
                  <w:t xml:space="preserve">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Systems.</w:t>
                </w:r>
                <w:r w:rsidRPr="00C90DCF">
                  <w:rPr>
                    <w:b w:val="0"/>
                    <w:bCs w:val="0"/>
                    <w:szCs w:val="24"/>
                  </w:rPr>
                  <w:t xml:space="preserve"> Wiley.</w:t>
                </w:r>
              </w:p>
              <w:p w14:paraId="5A56A9CD" w14:textId="77777777" w:rsidR="00C90DCF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>Weetman, P. (2013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). Financial and Management Accounting: An Introduction</w:t>
                </w:r>
                <w:r w:rsidRPr="00C90DCF">
                  <w:rPr>
                    <w:b w:val="0"/>
                    <w:bCs w:val="0"/>
                    <w:szCs w:val="24"/>
                  </w:rPr>
                  <w:t>. Pearson.</w:t>
                </w:r>
              </w:p>
              <w:p w14:paraId="34E62BA7" w14:textId="6BDAE9F9" w:rsidR="000F1DCE" w:rsidRPr="00C90DCF" w:rsidRDefault="00182A81" w:rsidP="00C90DCF">
                <w:pPr>
                  <w:pStyle w:val="ListParagraph"/>
                  <w:numPr>
                    <w:ilvl w:val="0"/>
                    <w:numId w:val="16"/>
                  </w:numPr>
                  <w:jc w:val="left"/>
                  <w:rPr>
                    <w:b w:val="0"/>
                    <w:bCs w:val="0"/>
                    <w:szCs w:val="24"/>
                  </w:rPr>
                </w:pPr>
                <w:r w:rsidRPr="00C90DCF">
                  <w:rPr>
                    <w:b w:val="0"/>
                    <w:bCs w:val="0"/>
                    <w:szCs w:val="24"/>
                  </w:rPr>
                  <w:t xml:space="preserve">Weygandt, J.J., Kimmel, P.D. and Aly, I.M. (2020).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>Managerial Accounting: Tools for Business</w:t>
                </w:r>
                <w:r w:rsidR="00C90DCF" w:rsidRPr="00C90DCF">
                  <w:rPr>
                    <w:b w:val="0"/>
                    <w:bCs w:val="0"/>
                    <w:i/>
                    <w:iCs/>
                    <w:szCs w:val="24"/>
                  </w:rPr>
                  <w:t xml:space="preserve"> </w:t>
                </w:r>
                <w:r w:rsidRPr="00C90DCF">
                  <w:rPr>
                    <w:b w:val="0"/>
                    <w:bCs w:val="0"/>
                    <w:i/>
                    <w:iCs/>
                    <w:szCs w:val="24"/>
                  </w:rPr>
                  <w:t xml:space="preserve">Decision-Making. </w:t>
                </w:r>
                <w:r w:rsidRPr="00C90DCF">
                  <w:rPr>
                    <w:b w:val="0"/>
                    <w:bCs w:val="0"/>
                    <w:szCs w:val="24"/>
                  </w:rPr>
                  <w:t>Wiley.</w:t>
                </w:r>
              </w:p>
            </w:tc>
          </w:tr>
        </w:tbl>
        <w:p w14:paraId="1F6634C2" w14:textId="77777777" w:rsidR="000F1DCE" w:rsidRPr="00182A81" w:rsidRDefault="00000000" w:rsidP="00182A81">
          <w:pPr>
            <w:rPr>
              <w:sz w:val="26"/>
              <w:szCs w:val="26"/>
            </w:rPr>
          </w:pPr>
        </w:p>
      </w:sdtContent>
    </w:sdt>
    <w:sectPr w:rsidR="000F1DCE" w:rsidRPr="00182A81" w:rsidSect="006517B8">
      <w:headerReference w:type="default" r:id="rId10"/>
      <w:footerReference w:type="default" r:id="rId11"/>
      <w:pgSz w:w="11906" w:h="16838" w:code="9"/>
      <w:pgMar w:top="1440" w:right="1440" w:bottom="1440" w:left="1440" w:header="720" w:footer="720" w:gutter="0"/>
      <w:pgNumType w:start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3ACA7" w14:textId="77777777" w:rsidR="0083581D" w:rsidRDefault="0083581D">
      <w:pPr>
        <w:spacing w:after="0" w:line="240" w:lineRule="auto"/>
      </w:pPr>
      <w:r>
        <w:separator/>
      </w:r>
    </w:p>
  </w:endnote>
  <w:endnote w:type="continuationSeparator" w:id="0">
    <w:p w14:paraId="0110156A" w14:textId="77777777" w:rsidR="0083581D" w:rsidRDefault="00835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72E40" w14:textId="77777777" w:rsidR="00AA1F13" w:rsidRDefault="000F1DCE">
    <w:r>
      <w:rPr>
        <w:noProof/>
        <w:lang w:bidi="en-GB"/>
      </w:rPr>
      <mc:AlternateContent>
        <mc:Choice Requires="wps">
          <w:drawing>
            <wp:anchor distT="0" distB="0" distL="114300" distR="114300" simplePos="0" relativeHeight="251668480" behindDoc="0" locked="0" layoutInCell="0" allowOverlap="1" wp14:anchorId="70A3C4B9" wp14:editId="55BEE9A9">
              <wp:simplePos x="0" y="0"/>
              <wp:positionH relativeFrom="leftMargin">
                <wp:posOffset>6890035</wp:posOffset>
              </wp:positionH>
              <wp:positionV relativeFrom="bottomMargin">
                <wp:posOffset>218364</wp:posOffset>
              </wp:positionV>
              <wp:extent cx="520700" cy="520700"/>
              <wp:effectExtent l="0" t="0" r="0" b="0"/>
              <wp:wrapNone/>
              <wp:docPr id="2" name="Oval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roundRect">
                        <a:avLst/>
                      </a:prstGeom>
                      <a:ln w="76200">
                        <a:noFill/>
                      </a:ln>
                    </wps:spPr>
                    <wps:style>
                      <a:lnRef idx="2">
                        <a:schemeClr val="accent1"/>
                      </a:lnRef>
                      <a:fillRef idx="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B11BE2" w14:textId="77777777" w:rsidR="00AA1F13" w:rsidRPr="00C77D65" w:rsidRDefault="00616989">
                          <w:pPr>
                            <w:pStyle w:val="NoSpacing"/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C77D65">
                            <w:rPr>
                              <w:sz w:val="36"/>
                              <w:szCs w:val="36"/>
                              <w:lang w:bidi="en-GB"/>
                            </w:rPr>
                            <w:fldChar w:fldCharType="begin"/>
                          </w:r>
                          <w:r w:rsidRPr="00C77D65">
                            <w:rPr>
                              <w:sz w:val="36"/>
                              <w:szCs w:val="36"/>
                              <w:lang w:bidi="en-GB"/>
                            </w:rPr>
                            <w:instrText xml:space="preserve"> PAGE  \* Arabic  \* MERGEFORMAT </w:instrText>
                          </w:r>
                          <w:r w:rsidRPr="00C77D65">
                            <w:rPr>
                              <w:sz w:val="36"/>
                              <w:szCs w:val="36"/>
                              <w:lang w:bidi="en-GB"/>
                            </w:rPr>
                            <w:fldChar w:fldCharType="separate"/>
                          </w:r>
                          <w:r w:rsidR="00BC5723">
                            <w:rPr>
                              <w:noProof/>
                              <w:sz w:val="36"/>
                              <w:szCs w:val="36"/>
                              <w:lang w:bidi="en-GB"/>
                            </w:rPr>
                            <w:t>1</w:t>
                          </w:r>
                          <w:r w:rsidRPr="00C77D65">
                            <w:rPr>
                              <w:noProof/>
                              <w:sz w:val="36"/>
                              <w:szCs w:val="36"/>
                              <w:lang w:bidi="en-GB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0A3C4B9" id="Oval 19" o:spid="_x0000_s1030" style="position:absolute;left:0;text-align:left;margin-left:542.5pt;margin-top:17.2pt;width:41pt;height:41pt;z-index:2516684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" o:allowincell="f" fillcolor="white [3201]" stroked="f" strokeweight="6pt">
              <v:textbox inset="0,0,0,0">
                <w:txbxContent>
                  <w:p w14:paraId="2FB11BE2" w14:textId="77777777" w:rsidR="00AA1F13" w:rsidRPr="00C77D65" w:rsidRDefault="00616989">
                    <w:pPr>
                      <w:pStyle w:val="NoSpacing"/>
                      <w:jc w:val="center"/>
                      <w:rPr>
                        <w:sz w:val="36"/>
                        <w:szCs w:val="36"/>
                      </w:rPr>
                    </w:pPr>
                    <w:r w:rsidRPr="00C77D65">
                      <w:rPr>
                        <w:sz w:val="36"/>
                        <w:szCs w:val="36"/>
                        <w:lang w:bidi="en-GB"/>
                      </w:rPr>
                      <w:fldChar w:fldCharType="begin"/>
                    </w:r>
                    <w:r w:rsidRPr="00C77D65">
                      <w:rPr>
                        <w:sz w:val="36"/>
                        <w:szCs w:val="36"/>
                        <w:lang w:bidi="en-GB"/>
                      </w:rPr>
                      <w:instrText xml:space="preserve"> PAGE  \* Arabic  \* MERGEFORMAT </w:instrText>
                    </w:r>
                    <w:r w:rsidRPr="00C77D65">
                      <w:rPr>
                        <w:sz w:val="36"/>
                        <w:szCs w:val="36"/>
                        <w:lang w:bidi="en-GB"/>
                      </w:rPr>
                      <w:fldChar w:fldCharType="separate"/>
                    </w:r>
                    <w:r w:rsidR="00BC5723">
                      <w:rPr>
                        <w:noProof/>
                        <w:sz w:val="36"/>
                        <w:szCs w:val="36"/>
                        <w:lang w:bidi="en-GB"/>
                      </w:rPr>
                      <w:t>1</w:t>
                    </w:r>
                    <w:r w:rsidRPr="00C77D65">
                      <w:rPr>
                        <w:noProof/>
                        <w:sz w:val="36"/>
                        <w:szCs w:val="36"/>
                        <w:lang w:bidi="en-GB"/>
                      </w:rPr>
                      <w:fldChar w:fldCharType="end"/>
                    </w:r>
                  </w:p>
                </w:txbxContent>
              </v:textbox>
              <w10:wrap anchorx="margin" anchory="margin"/>
            </v:roundrect>
          </w:pict>
        </mc:Fallback>
      </mc:AlternateContent>
    </w:r>
  </w:p>
  <w:p w14:paraId="256608AC" w14:textId="77777777" w:rsidR="00AA1F13" w:rsidRDefault="00AA1F13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DC5FA" w14:textId="77777777" w:rsidR="0083581D" w:rsidRDefault="0083581D">
      <w:pPr>
        <w:spacing w:after="0" w:line="240" w:lineRule="auto"/>
      </w:pPr>
      <w:r>
        <w:separator/>
      </w:r>
    </w:p>
  </w:footnote>
  <w:footnote w:type="continuationSeparator" w:id="0">
    <w:p w14:paraId="44A02033" w14:textId="77777777" w:rsidR="0083581D" w:rsidRDefault="00835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71372" w14:textId="77777777" w:rsidR="00B143FC" w:rsidRPr="00B143FC" w:rsidRDefault="00B143FC">
    <w:pPr>
      <w:pStyle w:val="Header"/>
    </w:pPr>
    <w:r w:rsidRPr="00B143F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B9B6F702"/>
    <w:lvl w:ilvl="0">
      <w:start w:val="1"/>
      <w:numFmt w:val="bullet"/>
      <w:pStyle w:val="ListBullet5"/>
      <w:lvlText w:val="○"/>
      <w:lvlJc w:val="left"/>
      <w:pPr>
        <w:ind w:left="1800" w:hanging="360"/>
      </w:pPr>
      <w:rPr>
        <w:rFonts w:ascii="Monotype Corsiva" w:hAnsi="Monotype Corsiva" w:hint="default"/>
        <w:color w:val="B7D438" w:themeColor="accent3"/>
      </w:rPr>
    </w:lvl>
  </w:abstractNum>
  <w:abstractNum w:abstractNumId="1" w15:restartNumberingAfterBreak="0">
    <w:nsid w:val="FFFFFF81"/>
    <w:multiLevelType w:val="singleLevel"/>
    <w:tmpl w:val="9A8A1DFA"/>
    <w:lvl w:ilvl="0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/>
        <w:color w:val="B7D438" w:themeColor="accent3"/>
      </w:rPr>
    </w:lvl>
  </w:abstractNum>
  <w:abstractNum w:abstractNumId="2" w15:restartNumberingAfterBreak="0">
    <w:nsid w:val="FFFFFF82"/>
    <w:multiLevelType w:val="singleLevel"/>
    <w:tmpl w:val="AC6E7B80"/>
    <w:lvl w:ilvl="0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/>
        <w:color w:val="23F2FF" w:themeColor="accent1" w:themeTint="99"/>
      </w:rPr>
    </w:lvl>
  </w:abstractNum>
  <w:abstractNum w:abstractNumId="3" w15:restartNumberingAfterBreak="0">
    <w:nsid w:val="FFFFFF83"/>
    <w:multiLevelType w:val="singleLevel"/>
    <w:tmpl w:val="3EFA84BC"/>
    <w:lvl w:ilvl="0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color w:val="008890" w:themeColor="accent1"/>
      </w:rPr>
    </w:lvl>
  </w:abstractNum>
  <w:abstractNum w:abstractNumId="4" w15:restartNumberingAfterBreak="0">
    <w:nsid w:val="FFFFFF89"/>
    <w:multiLevelType w:val="singleLevel"/>
    <w:tmpl w:val="7E249CE2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00656B" w:themeColor="accent1" w:themeShade="BF"/>
      </w:rPr>
    </w:lvl>
  </w:abstractNum>
  <w:abstractNum w:abstractNumId="5" w15:restartNumberingAfterBreak="0">
    <w:nsid w:val="45C5643A"/>
    <w:multiLevelType w:val="hybridMultilevel"/>
    <w:tmpl w:val="B614A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809449">
    <w:abstractNumId w:val="4"/>
  </w:num>
  <w:num w:numId="2" w16cid:durableId="381446575">
    <w:abstractNumId w:val="4"/>
  </w:num>
  <w:num w:numId="3" w16cid:durableId="733504612">
    <w:abstractNumId w:val="3"/>
  </w:num>
  <w:num w:numId="4" w16cid:durableId="342167733">
    <w:abstractNumId w:val="3"/>
  </w:num>
  <w:num w:numId="5" w16cid:durableId="878398418">
    <w:abstractNumId w:val="2"/>
  </w:num>
  <w:num w:numId="6" w16cid:durableId="1070418921">
    <w:abstractNumId w:val="2"/>
  </w:num>
  <w:num w:numId="7" w16cid:durableId="777068656">
    <w:abstractNumId w:val="1"/>
  </w:num>
  <w:num w:numId="8" w16cid:durableId="1464618390">
    <w:abstractNumId w:val="1"/>
  </w:num>
  <w:num w:numId="9" w16cid:durableId="1353385672">
    <w:abstractNumId w:val="0"/>
  </w:num>
  <w:num w:numId="10" w16cid:durableId="1844277808">
    <w:abstractNumId w:val="0"/>
  </w:num>
  <w:num w:numId="11" w16cid:durableId="403337684">
    <w:abstractNumId w:val="4"/>
  </w:num>
  <w:num w:numId="12" w16cid:durableId="166292682">
    <w:abstractNumId w:val="3"/>
  </w:num>
  <w:num w:numId="13" w16cid:durableId="61029118">
    <w:abstractNumId w:val="2"/>
  </w:num>
  <w:num w:numId="14" w16cid:durableId="1336029085">
    <w:abstractNumId w:val="1"/>
  </w:num>
  <w:num w:numId="15" w16cid:durableId="1858470485">
    <w:abstractNumId w:val="0"/>
  </w:num>
  <w:num w:numId="16" w16cid:durableId="20355699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A81"/>
    <w:rsid w:val="00074E8B"/>
    <w:rsid w:val="000F1DCE"/>
    <w:rsid w:val="0016270C"/>
    <w:rsid w:val="00182A81"/>
    <w:rsid w:val="00203C63"/>
    <w:rsid w:val="0033156F"/>
    <w:rsid w:val="003B3056"/>
    <w:rsid w:val="003D2F00"/>
    <w:rsid w:val="004154B5"/>
    <w:rsid w:val="00455FF0"/>
    <w:rsid w:val="004E4D8D"/>
    <w:rsid w:val="0051615D"/>
    <w:rsid w:val="00524BAA"/>
    <w:rsid w:val="005C5BDA"/>
    <w:rsid w:val="005D52A9"/>
    <w:rsid w:val="00616989"/>
    <w:rsid w:val="006517B8"/>
    <w:rsid w:val="006D05B1"/>
    <w:rsid w:val="007B346A"/>
    <w:rsid w:val="0083581D"/>
    <w:rsid w:val="00930775"/>
    <w:rsid w:val="00942CE0"/>
    <w:rsid w:val="00962160"/>
    <w:rsid w:val="009F2733"/>
    <w:rsid w:val="00A362E1"/>
    <w:rsid w:val="00AA1F13"/>
    <w:rsid w:val="00B143FC"/>
    <w:rsid w:val="00B70300"/>
    <w:rsid w:val="00B93FDF"/>
    <w:rsid w:val="00BB0743"/>
    <w:rsid w:val="00BC5723"/>
    <w:rsid w:val="00C34D86"/>
    <w:rsid w:val="00C77D65"/>
    <w:rsid w:val="00C80AFE"/>
    <w:rsid w:val="00C90DCF"/>
    <w:rsid w:val="00CB4A4D"/>
    <w:rsid w:val="00CF3FE0"/>
    <w:rsid w:val="00D73345"/>
    <w:rsid w:val="00DA7C93"/>
    <w:rsid w:val="00DE6F3F"/>
    <w:rsid w:val="00E0736E"/>
    <w:rsid w:val="00E707C0"/>
    <w:rsid w:val="00EF0E81"/>
    <w:rsid w:val="00EF635F"/>
    <w:rsid w:val="00F07B0B"/>
    <w:rsid w:val="00F07EB5"/>
    <w:rsid w:val="00FA7F52"/>
    <w:rsid w:val="00FC7DDE"/>
    <w:rsid w:val="00FD71E8"/>
    <w:rsid w:val="00FF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19F920D"/>
  <w15:docId w15:val="{9B363F98-F053-435D-B7D0-47D633504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6" w:unhideWhenUsed="1" w:qFormat="1"/>
    <w:lsdException w:name="List Bullet 3" w:semiHidden="1" w:uiPriority="36" w:unhideWhenUsed="1" w:qFormat="1"/>
    <w:lsdException w:name="List Bullet 4" w:semiHidden="1" w:uiPriority="36" w:unhideWhenUsed="1" w:qFormat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4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A81"/>
    <w:pPr>
      <w:spacing w:after="160"/>
      <w:jc w:val="both"/>
    </w:pPr>
    <w:rPr>
      <w:rFonts w:ascii="Calibri" w:hAnsi="Calibri" w:cs="Times New Roman"/>
      <w:color w:val="000000" w:themeColor="text1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05B1"/>
    <w:pPr>
      <w:spacing w:before="300" w:after="40" w:line="240" w:lineRule="auto"/>
      <w:outlineLvl w:val="0"/>
    </w:pPr>
    <w:rPr>
      <w:rFonts w:ascii="Franklin Gothic Book" w:hAnsi="Franklin Gothic Book"/>
      <w:color w:val="00656B" w:themeColor="accent1" w:themeShade="BF"/>
      <w:spacing w:val="20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0F1DCE"/>
    <w:pPr>
      <w:spacing w:before="240" w:after="40" w:line="240" w:lineRule="auto"/>
      <w:outlineLvl w:val="1"/>
    </w:pPr>
    <w:rPr>
      <w:rFonts w:ascii="Franklin Gothic Book" w:hAnsi="Franklin Gothic Book"/>
      <w:color w:val="595959" w:themeColor="text1" w:themeTint="A6"/>
      <w:spacing w:val="20"/>
      <w:sz w:val="4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1DCE"/>
    <w:pPr>
      <w:spacing w:before="200" w:after="40" w:line="240" w:lineRule="auto"/>
      <w:outlineLvl w:val="2"/>
    </w:pPr>
    <w:rPr>
      <w:rFonts w:ascii="Franklin Gothic Book" w:hAnsi="Franklin Gothic Book"/>
      <w:color w:val="595959" w:themeColor="text1" w:themeTint="A6"/>
      <w:spacing w:val="20"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spacing w:before="240" w:after="0"/>
      <w:outlineLvl w:val="3"/>
    </w:pPr>
    <w:rPr>
      <w:rFonts w:asciiTheme="majorHAnsi" w:hAnsiTheme="majorHAnsi"/>
      <w:b/>
      <w:color w:val="8CA423" w:themeColor="accent3" w:themeShade="BF"/>
      <w:spacing w:val="20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spacing w:before="200" w:after="0"/>
      <w:outlineLvl w:val="4"/>
    </w:pPr>
    <w:rPr>
      <w:rFonts w:asciiTheme="majorHAnsi" w:hAnsiTheme="majorHAnsi"/>
      <w:b/>
      <w:i/>
      <w:color w:val="8CA423" w:themeColor="accent3" w:themeShade="BF"/>
      <w:spacing w:val="20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spacing w:before="200" w:after="0"/>
      <w:outlineLvl w:val="5"/>
    </w:pPr>
    <w:rPr>
      <w:rFonts w:asciiTheme="majorHAnsi" w:hAnsiTheme="majorHAnsi"/>
      <w:color w:val="5D6D17" w:themeColor="accent3" w:themeShade="7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spacing w:before="200" w:after="0"/>
      <w:outlineLvl w:val="6"/>
    </w:pPr>
    <w:rPr>
      <w:rFonts w:asciiTheme="majorHAnsi" w:hAnsiTheme="majorHAnsi"/>
      <w:i/>
      <w:color w:val="5D6D17" w:themeColor="accent3" w:themeShade="7F"/>
      <w:spacing w:val="1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spacing w:before="200" w:after="0"/>
      <w:outlineLvl w:val="7"/>
    </w:pPr>
    <w:rPr>
      <w:rFonts w:asciiTheme="majorHAnsi" w:hAnsiTheme="majorHAnsi"/>
      <w:color w:val="008890" w:themeColor="accent1"/>
      <w:spacing w:val="1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spacing w:before="200" w:after="0"/>
      <w:outlineLvl w:val="8"/>
    </w:pPr>
    <w:rPr>
      <w:rFonts w:asciiTheme="majorHAnsi" w:hAnsiTheme="majorHAnsi"/>
      <w:i/>
      <w:color w:val="008890" w:themeColor="accent1"/>
      <w:spacing w:val="1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5B1"/>
    <w:rPr>
      <w:rFonts w:ascii="Franklin Gothic Book" w:hAnsi="Franklin Gothic Book" w:cs="Times New Roman"/>
      <w:color w:val="00656B" w:themeColor="accent1" w:themeShade="BF"/>
      <w:spacing w:val="20"/>
      <w:sz w:val="40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F1DCE"/>
    <w:rPr>
      <w:rFonts w:ascii="Franklin Gothic Book" w:hAnsi="Franklin Gothic Book" w:cs="Times New Roman"/>
      <w:color w:val="595959" w:themeColor="text1" w:themeTint="A6"/>
      <w:spacing w:val="20"/>
      <w:sz w:val="44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F1DCE"/>
    <w:rPr>
      <w:rFonts w:ascii="Franklin Gothic Book" w:hAnsi="Franklin Gothic Book" w:cs="Times New Roman"/>
      <w:color w:val="595959" w:themeColor="text1" w:themeTint="A6"/>
      <w:spacing w:val="20"/>
      <w:sz w:val="36"/>
      <w:szCs w:val="24"/>
    </w:rPr>
  </w:style>
  <w:style w:type="paragraph" w:styleId="Title">
    <w:name w:val="Title"/>
    <w:basedOn w:val="Normal"/>
    <w:link w:val="TitleChar"/>
    <w:uiPriority w:val="10"/>
    <w:qFormat/>
    <w:rsid w:val="007B346A"/>
    <w:pPr>
      <w:framePr w:hSpace="180" w:wrap="around" w:vAnchor="text" w:hAnchor="margin" w:y="-429"/>
      <w:spacing w:line="240" w:lineRule="auto"/>
      <w:contextualSpacing/>
    </w:pPr>
    <w:rPr>
      <w:rFonts w:ascii="Franklin Gothic Demi Cond" w:hAnsi="Franklin Gothic Demi Cond"/>
      <w:b/>
      <w:bCs/>
      <w:color w:val="008890" w:themeColor="accent1"/>
      <w:sz w:val="96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7B346A"/>
    <w:rPr>
      <w:rFonts w:ascii="Franklin Gothic Demi Cond" w:hAnsi="Franklin Gothic Demi Cond" w:cs="Times New Roman"/>
      <w:b/>
      <w:bCs/>
      <w:color w:val="008890" w:themeColor="accent1"/>
      <w:sz w:val="96"/>
      <w:szCs w:val="48"/>
    </w:rPr>
  </w:style>
  <w:style w:type="paragraph" w:styleId="Subtitle">
    <w:name w:val="Subtitle"/>
    <w:basedOn w:val="Normal"/>
    <w:link w:val="SubtitleChar"/>
    <w:uiPriority w:val="11"/>
    <w:qFormat/>
    <w:rsid w:val="007B346A"/>
    <w:pPr>
      <w:framePr w:hSpace="180" w:wrap="around" w:vAnchor="text" w:hAnchor="margin" w:y="-429"/>
      <w:spacing w:after="480" w:line="240" w:lineRule="auto"/>
    </w:pPr>
    <w:rPr>
      <w:rFonts w:ascii="Franklin Gothic Book" w:hAnsi="Franklin Gothic Book" w:cstheme="minorHAnsi"/>
      <w:color w:val="7F7F7F" w:themeColor="text1" w:themeTint="80"/>
      <w:sz w:val="4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B346A"/>
    <w:rPr>
      <w:rFonts w:ascii="Franklin Gothic Book" w:hAnsi="Franklin Gothic Book" w:cstheme="minorHAnsi"/>
      <w:color w:val="7F7F7F" w:themeColor="text1" w:themeTint="80"/>
      <w:sz w:val="4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cs="Times New Roman"/>
      <w:color w:val="000000" w:themeColor="text1"/>
      <w:szCs w:val="20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0" w:line="240" w:lineRule="auto"/>
    </w:pPr>
    <w:rPr>
      <w:bCs/>
      <w:smallCaps/>
      <w:color w:val="B3C225" w:themeColor="accent2" w:themeShade="BF"/>
      <w:spacing w:val="1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000000" w:themeColor="text1"/>
      <w:sz w:val="16"/>
      <w:szCs w:val="16"/>
    </w:rPr>
  </w:style>
  <w:style w:type="paragraph" w:styleId="BlockText">
    <w:name w:val="Block Text"/>
    <w:aliases w:val="Block Quote"/>
    <w:uiPriority w:val="40"/>
    <w:pPr>
      <w:pBdr>
        <w:top w:val="single" w:sz="2" w:space="10" w:color="23F2FF" w:themeColor="accent1" w:themeTint="99"/>
        <w:bottom w:val="single" w:sz="24" w:space="10" w:color="23F2FF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7F7F7F" w:themeColor="background1" w:themeShade="7F"/>
      <w:sz w:val="28"/>
      <w:szCs w:val="28"/>
      <w:lang w:eastAsia="ko-KR" w:bidi="hi-IN"/>
    </w:rPr>
  </w:style>
  <w:style w:type="character" w:styleId="BookTitle">
    <w:name w:val="Book Title"/>
    <w:basedOn w:val="DefaultParagraphFont"/>
    <w:uiPriority w:val="33"/>
    <w:qFormat/>
    <w:rPr>
      <w:rFonts w:asciiTheme="majorHAnsi" w:hAnsiTheme="majorHAnsi" w:cs="Times New Roman"/>
      <w:i/>
      <w:color w:val="855D5D" w:themeColor="accent6"/>
      <w:sz w:val="20"/>
      <w:szCs w:val="20"/>
    </w:rPr>
  </w:style>
  <w:style w:type="character" w:styleId="Emphasis">
    <w:name w:val="Emphasis"/>
    <w:uiPriority w:val="20"/>
    <w:qFormat/>
    <w:rPr>
      <w:b/>
      <w:i/>
      <w:color w:val="404040" w:themeColor="text1" w:themeTint="BF"/>
      <w:spacing w:val="2"/>
      <w:w w:val="10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cs="Times New Roman"/>
      <w:color w:val="000000" w:themeColor="text1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hAnsiTheme="majorHAnsi" w:cs="Times New Roman"/>
      <w:b/>
      <w:color w:val="8CA423" w:themeColor="accent3" w:themeShade="BF"/>
      <w:spacing w:val="2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hAnsiTheme="majorHAnsi" w:cs="Times New Roman"/>
      <w:b/>
      <w:i/>
      <w:color w:val="8CA423" w:themeColor="accent3" w:themeShade="BF"/>
      <w:spacing w:val="20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hAnsiTheme="majorHAnsi" w:cs="Times New Roman"/>
      <w:color w:val="5D6D17" w:themeColor="accent3" w:themeShade="7F"/>
      <w:spacing w:val="10"/>
      <w:sz w:val="24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hAnsiTheme="majorHAnsi" w:cs="Times New Roman"/>
      <w:i/>
      <w:color w:val="5D6D17" w:themeColor="accent3" w:themeShade="7F"/>
      <w:spacing w:val="10"/>
      <w:sz w:val="24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hAnsiTheme="majorHAnsi" w:cs="Times New Roman"/>
      <w:color w:val="008890" w:themeColor="accent1"/>
      <w:spacing w:val="1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hAnsiTheme="majorHAnsi" w:cs="Times New Roman"/>
      <w:i/>
      <w:color w:val="008890" w:themeColor="accent1"/>
      <w:spacing w:val="10"/>
      <w:szCs w:val="20"/>
    </w:rPr>
  </w:style>
  <w:style w:type="character" w:styleId="IntenseEmphasis">
    <w:name w:val="Intense Emphasis"/>
    <w:basedOn w:val="DefaultParagraphFont"/>
    <w:uiPriority w:val="21"/>
    <w:qFormat/>
    <w:rPr>
      <w:rFonts w:asciiTheme="minorHAnsi" w:hAnsiTheme="minorHAnsi" w:cs="Times New Roman"/>
      <w:b/>
      <w:i/>
      <w:smallCaps/>
      <w:color w:val="D2DF57" w:themeColor="accent2"/>
      <w:spacing w:val="2"/>
      <w:w w:val="100"/>
      <w:sz w:val="20"/>
      <w:szCs w:val="20"/>
    </w:rPr>
  </w:style>
  <w:style w:type="paragraph" w:styleId="IntenseQuote">
    <w:name w:val="Intense Quote"/>
    <w:basedOn w:val="Normal"/>
    <w:link w:val="IntenseQuoteChar"/>
    <w:uiPriority w:val="30"/>
    <w:qFormat/>
    <w:pPr>
      <w:pBdr>
        <w:top w:val="single" w:sz="36" w:space="10" w:color="23F2FF" w:themeColor="accent1" w:themeTint="99"/>
        <w:left w:val="single" w:sz="24" w:space="10" w:color="008890" w:themeColor="accent1"/>
        <w:bottom w:val="single" w:sz="36" w:space="10" w:color="B7D438" w:themeColor="accent3"/>
        <w:right w:val="single" w:sz="24" w:space="10" w:color="008890" w:themeColor="accent1"/>
      </w:pBdr>
      <w:shd w:val="clear" w:color="auto" w:fill="008890" w:themeFill="accent1"/>
      <w:ind w:left="1440" w:right="1440"/>
      <w:jc w:val="center"/>
    </w:pPr>
    <w:rPr>
      <w:rFonts w:asciiTheme="majorHAnsi" w:hAnsiTheme="majorHAnsi"/>
      <w:i/>
      <w:color w:val="FFFFFF" w:themeColor="background1"/>
      <w:sz w:val="3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hAnsiTheme="majorHAnsi" w:cs="Times New Roman"/>
      <w:i/>
      <w:color w:val="FFFFFF" w:themeColor="background1"/>
      <w:sz w:val="32"/>
      <w:szCs w:val="20"/>
      <w:shd w:val="clear" w:color="auto" w:fill="008890" w:themeFill="accent1"/>
    </w:rPr>
  </w:style>
  <w:style w:type="character" w:styleId="IntenseReference">
    <w:name w:val="Intense Reference"/>
    <w:basedOn w:val="DefaultParagraphFont"/>
    <w:uiPriority w:val="32"/>
    <w:qFormat/>
    <w:rPr>
      <w:rFonts w:cs="Times New Roman"/>
      <w:b/>
      <w:color w:val="008890" w:themeColor="accent1"/>
      <w:sz w:val="22"/>
      <w:szCs w:val="20"/>
      <w:u w:val="single"/>
    </w:rPr>
  </w:style>
  <w:style w:type="paragraph" w:styleId="ListBullet">
    <w:name w:val="List Bullet"/>
    <w:basedOn w:val="Normal"/>
    <w:uiPriority w:val="36"/>
    <w:unhideWhenUsed/>
    <w:qFormat/>
    <w:pPr>
      <w:numPr>
        <w:numId w:val="11"/>
      </w:numPr>
      <w:spacing w:after="0"/>
      <w:contextualSpacing/>
    </w:pPr>
  </w:style>
  <w:style w:type="paragraph" w:styleId="ListBullet2">
    <w:name w:val="List Bullet 2"/>
    <w:basedOn w:val="Normal"/>
    <w:uiPriority w:val="36"/>
    <w:unhideWhenUsed/>
    <w:qFormat/>
    <w:pPr>
      <w:numPr>
        <w:numId w:val="12"/>
      </w:numPr>
      <w:spacing w:after="0"/>
    </w:pPr>
  </w:style>
  <w:style w:type="paragraph" w:styleId="ListBullet3">
    <w:name w:val="List Bullet 3"/>
    <w:basedOn w:val="Normal"/>
    <w:uiPriority w:val="36"/>
    <w:unhideWhenUsed/>
    <w:qFormat/>
    <w:pPr>
      <w:numPr>
        <w:numId w:val="13"/>
      </w:numPr>
      <w:spacing w:after="0"/>
    </w:pPr>
  </w:style>
  <w:style w:type="paragraph" w:styleId="ListBullet4">
    <w:name w:val="List Bullet 4"/>
    <w:basedOn w:val="Normal"/>
    <w:uiPriority w:val="36"/>
    <w:unhideWhenUsed/>
    <w:qFormat/>
    <w:pPr>
      <w:numPr>
        <w:numId w:val="14"/>
      </w:numPr>
      <w:spacing w:after="0"/>
    </w:pPr>
  </w:style>
  <w:style w:type="paragraph" w:styleId="ListBullet5">
    <w:name w:val="List Bullet 5"/>
    <w:basedOn w:val="Normal"/>
    <w:uiPriority w:val="36"/>
    <w:unhideWhenUsed/>
    <w:qFormat/>
    <w:pPr>
      <w:numPr>
        <w:numId w:val="15"/>
      </w:numPr>
      <w:spacing w:after="0"/>
    </w:pPr>
  </w:style>
  <w:style w:type="paragraph" w:styleId="NoSpacing">
    <w:name w:val="No Spacing"/>
    <w:basedOn w:val="Normal"/>
    <w:uiPriority w:val="1"/>
    <w:qFormat/>
    <w:rsid w:val="00C77D65"/>
    <w:pPr>
      <w:spacing w:after="0" w:line="240" w:lineRule="auto"/>
    </w:pPr>
    <w:rPr>
      <w:b/>
      <w:color w:val="004348" w:themeColor="accent1" w:themeShade="8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link w:val="QuoteChar"/>
    <w:uiPriority w:val="29"/>
    <w:qFormat/>
    <w:rPr>
      <w:i/>
      <w:color w:val="7F7F7F" w:themeColor="background1" w:themeShade="7F"/>
    </w:rPr>
  </w:style>
  <w:style w:type="character" w:customStyle="1" w:styleId="QuoteChar">
    <w:name w:val="Quote Char"/>
    <w:basedOn w:val="DefaultParagraphFont"/>
    <w:link w:val="Quote"/>
    <w:uiPriority w:val="29"/>
    <w:rPr>
      <w:rFonts w:cs="Times New Roman"/>
      <w:i/>
      <w:color w:val="7F7F7F" w:themeColor="background1" w:themeShade="7F"/>
      <w:sz w:val="24"/>
      <w:szCs w:val="20"/>
    </w:rPr>
  </w:style>
  <w:style w:type="character" w:styleId="Strong">
    <w:name w:val="Strong"/>
    <w:uiPriority w:val="22"/>
    <w:qFormat/>
    <w:rPr>
      <w:rFonts w:asciiTheme="minorHAnsi" w:hAnsiTheme="minorHAnsi"/>
      <w:b/>
      <w:color w:val="D2DF57" w:themeColor="accent2"/>
    </w:rPr>
  </w:style>
  <w:style w:type="character" w:styleId="SubtleEmphasis">
    <w:name w:val="Subtle Emphasis"/>
    <w:basedOn w:val="DefaultParagraphFont"/>
    <w:uiPriority w:val="19"/>
    <w:qFormat/>
    <w:rPr>
      <w:rFonts w:asciiTheme="minorHAnsi" w:hAnsiTheme="minorHAnsi" w:cs="Times New Roman"/>
      <w:i/>
      <w:color w:val="737373" w:themeColor="text1" w:themeTint="8C"/>
      <w:spacing w:val="2"/>
      <w:w w:val="100"/>
      <w:kern w:val="0"/>
      <w:sz w:val="22"/>
      <w:szCs w:val="24"/>
    </w:rPr>
  </w:style>
  <w:style w:type="character" w:styleId="SubtleReference">
    <w:name w:val="Subtle Reference"/>
    <w:basedOn w:val="DefaultParagraphFont"/>
    <w:uiPriority w:val="31"/>
    <w:qFormat/>
    <w:rPr>
      <w:rFonts w:cs="Times New Roman"/>
      <w:color w:val="737373" w:themeColor="text1" w:themeTint="8C"/>
      <w:sz w:val="22"/>
      <w:szCs w:val="20"/>
      <w:u w:val="single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1">
    <w:name w:val="toc 1"/>
    <w:basedOn w:val="Normal"/>
    <w:next w:val="Normal"/>
    <w:autoRedefine/>
    <w:uiPriority w:val="39"/>
    <w:unhideWhenUsed/>
    <w:qFormat/>
    <w:pPr>
      <w:tabs>
        <w:tab w:val="right" w:leader="dot" w:pos="8630"/>
      </w:tabs>
      <w:spacing w:after="40" w:line="240" w:lineRule="auto"/>
    </w:pPr>
    <w:rPr>
      <w:smallCaps/>
      <w:noProof/>
      <w:color w:val="D2DF57" w:themeColor="accent2"/>
    </w:rPr>
  </w:style>
  <w:style w:type="paragraph" w:styleId="TOC2">
    <w:name w:val="toc 2"/>
    <w:basedOn w:val="Normal"/>
    <w:next w:val="Normal"/>
    <w:autoRedefine/>
    <w:uiPriority w:val="39"/>
    <w:unhideWhenUsed/>
    <w:qFormat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character" w:styleId="Hyperlink">
    <w:name w:val="Hyperlink"/>
    <w:basedOn w:val="DefaultParagraphFont"/>
    <w:uiPriority w:val="99"/>
    <w:unhideWhenUsed/>
    <w:rPr>
      <w:color w:val="CC9900" w:themeColor="hyperlink"/>
      <w:u w:val="single"/>
    </w:rPr>
  </w:style>
  <w:style w:type="table" w:styleId="PlainTable4">
    <w:name w:val="Plain Table 4"/>
    <w:basedOn w:val="TableNormal"/>
    <w:uiPriority w:val="44"/>
    <w:rsid w:val="0061698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182A81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spacing w:val="0"/>
      <w:sz w:val="32"/>
      <w:lang w:eastAsia="en-GB"/>
    </w:rPr>
  </w:style>
  <w:style w:type="paragraph" w:styleId="ListParagraph">
    <w:name w:val="List Paragraph"/>
    <w:basedOn w:val="Normal"/>
    <w:uiPriority w:val="34"/>
    <w:qFormat/>
    <w:rsid w:val="00EF6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dzi\AppData\Roaming\Microsoft\Templates\Report%20(Equity%20theme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Equity">
  <a:themeElements>
    <a:clrScheme name="Custom 227">
      <a:dk1>
        <a:sysClr val="windowText" lastClr="000000"/>
      </a:dk1>
      <a:lt1>
        <a:sysClr val="window" lastClr="FFFFFF"/>
      </a:lt1>
      <a:dk2>
        <a:srgbClr val="013D3D"/>
      </a:dk2>
      <a:lt2>
        <a:srgbClr val="E9E5DC"/>
      </a:lt2>
      <a:accent1>
        <a:srgbClr val="008890"/>
      </a:accent1>
      <a:accent2>
        <a:srgbClr val="D2DF57"/>
      </a:accent2>
      <a:accent3>
        <a:srgbClr val="B7D438"/>
      </a:accent3>
      <a:accent4>
        <a:srgbClr val="92C03E"/>
      </a:accent4>
      <a:accent5>
        <a:srgbClr val="A9D6D7"/>
      </a:accent5>
      <a:accent6>
        <a:srgbClr val="855D5D"/>
      </a:accent6>
      <a:hlink>
        <a:srgbClr val="CC9900"/>
      </a:hlink>
      <a:folHlink>
        <a:srgbClr val="96A9A9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F4A28-2263-41C0-8BF7-FFA10CDB9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(Equity theme)</Template>
  <TotalTime>0</TotalTime>
  <Pages>9</Pages>
  <Words>2444</Words>
  <Characters>15868</Characters>
  <Application>Microsoft Office Word</Application>
  <DocSecurity>0</DocSecurity>
  <Lines>255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Andrzej Paw</dc:creator>
  <cp:keywords/>
  <dc:description/>
  <cp:lastModifiedBy>Klaudia Budzinska (2323029)</cp:lastModifiedBy>
  <cp:revision>2</cp:revision>
  <dcterms:created xsi:type="dcterms:W3CDTF">2025-11-22T11:48:00Z</dcterms:created>
  <dcterms:modified xsi:type="dcterms:W3CDTF">2025-11-22T11:48:00Z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db972e42-83c2-4e74-ab2a-6d1c6e2f409d</vt:lpwstr>
  </property>
</Properties>
</file>