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951B06" w14:textId="4D21041A" w:rsidR="0034754C" w:rsidRPr="0034754C" w:rsidRDefault="0034754C">
      <w:pPr>
        <w:rPr>
          <w:b/>
          <w:bCs/>
          <w:sz w:val="36"/>
          <w:szCs w:val="32"/>
        </w:rPr>
      </w:pPr>
      <w:r w:rsidRPr="0034754C">
        <w:rPr>
          <w:noProof/>
          <w:sz w:val="36"/>
          <w:szCs w:val="32"/>
        </w:rPr>
        <w:drawing>
          <wp:inline distT="0" distB="0" distL="0" distR="0" wp14:anchorId="06A72A86" wp14:editId="4D3DEDD4">
            <wp:extent cx="5943600" cy="796925"/>
            <wp:effectExtent l="0" t="0" r="0" b="3175"/>
            <wp:docPr id="3796116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611668" name=""/>
                    <pic:cNvPicPr/>
                  </pic:nvPicPr>
                  <pic:blipFill>
                    <a:blip r:embed="rId6"/>
                    <a:stretch>
                      <a:fillRect/>
                    </a:stretch>
                  </pic:blipFill>
                  <pic:spPr>
                    <a:xfrm>
                      <a:off x="0" y="0"/>
                      <a:ext cx="5943600" cy="796925"/>
                    </a:xfrm>
                    <a:prstGeom prst="rect">
                      <a:avLst/>
                    </a:prstGeom>
                  </pic:spPr>
                </pic:pic>
              </a:graphicData>
            </a:graphic>
          </wp:inline>
        </w:drawing>
      </w:r>
    </w:p>
    <w:p w14:paraId="530C8154" w14:textId="52B652A0" w:rsidR="0034754C" w:rsidRPr="0034754C" w:rsidRDefault="0034754C" w:rsidP="59C1E349">
      <w:pPr>
        <w:rPr>
          <w:b/>
          <w:bCs/>
          <w:sz w:val="36"/>
          <w:szCs w:val="36"/>
        </w:rPr>
      </w:pPr>
    </w:p>
    <w:p w14:paraId="4F6CD064" w14:textId="4765C437" w:rsidR="0034754C" w:rsidRPr="0034754C" w:rsidRDefault="738079EE" w:rsidP="00F64E5C">
      <w:pPr>
        <w:jc w:val="center"/>
        <w:rPr>
          <w:b/>
          <w:bCs/>
          <w:sz w:val="36"/>
          <w:szCs w:val="36"/>
        </w:rPr>
      </w:pPr>
      <w:r w:rsidRPr="59C1E349">
        <w:rPr>
          <w:b/>
          <w:bCs/>
          <w:sz w:val="36"/>
          <w:szCs w:val="36"/>
        </w:rPr>
        <w:t xml:space="preserve">Module Name: </w:t>
      </w:r>
      <w:r w:rsidR="00C40CCD">
        <w:rPr>
          <w:b/>
          <w:bCs/>
          <w:sz w:val="36"/>
          <w:szCs w:val="36"/>
        </w:rPr>
        <w:t xml:space="preserve">   </w:t>
      </w:r>
      <w:r w:rsidR="00F64E5C" w:rsidRPr="59C1E349">
        <w:rPr>
          <w:b/>
          <w:bCs/>
          <w:sz w:val="36"/>
          <w:szCs w:val="36"/>
        </w:rPr>
        <w:t>Protecting and Supporting Families i</w:t>
      </w:r>
      <w:r w:rsidR="00F64E5C">
        <w:rPr>
          <w:b/>
          <w:bCs/>
          <w:sz w:val="36"/>
          <w:szCs w:val="36"/>
        </w:rPr>
        <w:t>n</w:t>
      </w:r>
      <w:r w:rsidR="00C40CCD">
        <w:rPr>
          <w:b/>
          <w:bCs/>
          <w:sz w:val="36"/>
          <w:szCs w:val="36"/>
        </w:rPr>
        <w:t xml:space="preserve"> </w:t>
      </w:r>
      <w:r w:rsidR="00F64E5C" w:rsidRPr="59C1E349">
        <w:rPr>
          <w:b/>
          <w:bCs/>
          <w:sz w:val="36"/>
          <w:szCs w:val="36"/>
        </w:rPr>
        <w:t xml:space="preserve">Health and </w:t>
      </w:r>
      <w:r w:rsidR="00F64E5C">
        <w:rPr>
          <w:b/>
          <w:bCs/>
          <w:sz w:val="36"/>
          <w:szCs w:val="36"/>
        </w:rPr>
        <w:t>Care</w:t>
      </w:r>
    </w:p>
    <w:p w14:paraId="46C38DAA" w14:textId="73A93F88" w:rsidR="0034754C" w:rsidRPr="0034754C" w:rsidRDefault="0034754C">
      <w:pPr>
        <w:rPr>
          <w:b/>
          <w:bCs/>
          <w:sz w:val="36"/>
          <w:szCs w:val="32"/>
        </w:rPr>
      </w:pPr>
      <w:r w:rsidRPr="0034754C">
        <w:rPr>
          <w:b/>
          <w:bCs/>
          <w:sz w:val="36"/>
          <w:szCs w:val="32"/>
        </w:rPr>
        <w:t xml:space="preserve">Module code: </w:t>
      </w:r>
      <w:r w:rsidR="00C40CCD">
        <w:rPr>
          <w:b/>
          <w:bCs/>
          <w:sz w:val="36"/>
          <w:szCs w:val="32"/>
        </w:rPr>
        <w:t xml:space="preserve">       </w:t>
      </w:r>
      <w:r w:rsidRPr="0034754C">
        <w:rPr>
          <w:b/>
          <w:bCs/>
          <w:sz w:val="36"/>
          <w:szCs w:val="32"/>
        </w:rPr>
        <w:t>BMHP5021</w:t>
      </w:r>
    </w:p>
    <w:p w14:paraId="007E6CE7" w14:textId="2F6062CD" w:rsidR="15B72D25" w:rsidRDefault="15B72D25" w:rsidP="59C1E349">
      <w:pPr>
        <w:rPr>
          <w:b/>
          <w:bCs/>
          <w:sz w:val="36"/>
          <w:szCs w:val="36"/>
        </w:rPr>
      </w:pPr>
      <w:r w:rsidRPr="59C1E349">
        <w:rPr>
          <w:b/>
          <w:bCs/>
          <w:sz w:val="36"/>
          <w:szCs w:val="36"/>
        </w:rPr>
        <w:t xml:space="preserve">Assignment </w:t>
      </w:r>
      <w:r w:rsidR="1710F90C" w:rsidRPr="59C1E349">
        <w:rPr>
          <w:b/>
          <w:bCs/>
          <w:sz w:val="36"/>
          <w:szCs w:val="36"/>
        </w:rPr>
        <w:t>Title:</w:t>
      </w:r>
      <w:r w:rsidR="3AAB1553" w:rsidRPr="59C1E349">
        <w:rPr>
          <w:b/>
          <w:bCs/>
          <w:sz w:val="36"/>
          <w:szCs w:val="36"/>
        </w:rPr>
        <w:t xml:space="preserve"> Compon</w:t>
      </w:r>
      <w:r w:rsidR="5395C99D" w:rsidRPr="59C1E349">
        <w:rPr>
          <w:b/>
          <w:bCs/>
          <w:sz w:val="36"/>
          <w:szCs w:val="36"/>
        </w:rPr>
        <w:t>ent 2</w:t>
      </w:r>
    </w:p>
    <w:p w14:paraId="7993875A" w14:textId="6D6EC2B5" w:rsidR="2E422384" w:rsidRDefault="2E422384" w:rsidP="59C1E349">
      <w:pPr>
        <w:rPr>
          <w:b/>
          <w:bCs/>
          <w:sz w:val="36"/>
          <w:szCs w:val="36"/>
        </w:rPr>
      </w:pPr>
      <w:r w:rsidRPr="59C1E349">
        <w:rPr>
          <w:b/>
          <w:bCs/>
          <w:sz w:val="36"/>
          <w:szCs w:val="36"/>
        </w:rPr>
        <w:t xml:space="preserve">Student </w:t>
      </w:r>
      <w:r w:rsidR="58B8475C" w:rsidRPr="59C1E349">
        <w:rPr>
          <w:b/>
          <w:bCs/>
          <w:sz w:val="36"/>
          <w:szCs w:val="36"/>
        </w:rPr>
        <w:t>Name:</w:t>
      </w:r>
      <w:r w:rsidR="1AF1A01C" w:rsidRPr="59C1E349">
        <w:rPr>
          <w:b/>
          <w:bCs/>
          <w:sz w:val="36"/>
          <w:szCs w:val="36"/>
        </w:rPr>
        <w:t xml:space="preserve"> </w:t>
      </w:r>
      <w:r w:rsidR="00C40CCD">
        <w:rPr>
          <w:b/>
          <w:bCs/>
          <w:sz w:val="36"/>
          <w:szCs w:val="36"/>
        </w:rPr>
        <w:t xml:space="preserve">     </w:t>
      </w:r>
      <w:r w:rsidR="41A7B12B" w:rsidRPr="59C1E349">
        <w:rPr>
          <w:b/>
          <w:bCs/>
          <w:sz w:val="36"/>
          <w:szCs w:val="36"/>
        </w:rPr>
        <w:t>Patricia Anucha</w:t>
      </w:r>
    </w:p>
    <w:p w14:paraId="291F5E84" w14:textId="376E603C" w:rsidR="1AF1A01C" w:rsidRDefault="1AF1A01C" w:rsidP="59C1E349">
      <w:pPr>
        <w:rPr>
          <w:b/>
          <w:bCs/>
          <w:sz w:val="36"/>
          <w:szCs w:val="36"/>
        </w:rPr>
      </w:pPr>
      <w:r w:rsidRPr="59C1E349">
        <w:rPr>
          <w:b/>
          <w:bCs/>
          <w:sz w:val="36"/>
          <w:szCs w:val="36"/>
        </w:rPr>
        <w:t xml:space="preserve">Student   </w:t>
      </w:r>
      <w:r w:rsidR="3A91E199" w:rsidRPr="59C1E349">
        <w:rPr>
          <w:b/>
          <w:bCs/>
          <w:sz w:val="36"/>
          <w:szCs w:val="36"/>
        </w:rPr>
        <w:t>ID:</w:t>
      </w:r>
      <w:r w:rsidRPr="59C1E349">
        <w:rPr>
          <w:b/>
          <w:bCs/>
          <w:sz w:val="36"/>
          <w:szCs w:val="36"/>
        </w:rPr>
        <w:t xml:space="preserve">    </w:t>
      </w:r>
      <w:r w:rsidR="00E61859">
        <w:rPr>
          <w:b/>
          <w:bCs/>
          <w:sz w:val="36"/>
          <w:szCs w:val="36"/>
        </w:rPr>
        <w:t xml:space="preserve">      </w:t>
      </w:r>
      <w:r w:rsidRPr="59C1E349">
        <w:rPr>
          <w:b/>
          <w:bCs/>
          <w:sz w:val="36"/>
          <w:szCs w:val="36"/>
        </w:rPr>
        <w:t>241255</w:t>
      </w:r>
      <w:r w:rsidR="2DEBDE1A" w:rsidRPr="59C1E349">
        <w:rPr>
          <w:b/>
          <w:bCs/>
          <w:sz w:val="36"/>
          <w:szCs w:val="36"/>
        </w:rPr>
        <w:t>2</w:t>
      </w:r>
    </w:p>
    <w:p w14:paraId="22766064" w14:textId="289FDCD4" w:rsidR="2DEBDE1A" w:rsidRDefault="2DEBDE1A" w:rsidP="59C1E349">
      <w:pPr>
        <w:rPr>
          <w:b/>
          <w:bCs/>
          <w:sz w:val="36"/>
          <w:szCs w:val="36"/>
        </w:rPr>
      </w:pPr>
      <w:r w:rsidRPr="59C1E349">
        <w:rPr>
          <w:b/>
          <w:bCs/>
          <w:sz w:val="36"/>
          <w:szCs w:val="36"/>
        </w:rPr>
        <w:t xml:space="preserve">Lecture </w:t>
      </w:r>
      <w:r w:rsidR="3BB9D977" w:rsidRPr="59C1E349">
        <w:rPr>
          <w:b/>
          <w:bCs/>
          <w:sz w:val="36"/>
          <w:szCs w:val="36"/>
        </w:rPr>
        <w:t>Name:</w:t>
      </w:r>
      <w:r w:rsidRPr="59C1E349">
        <w:rPr>
          <w:b/>
          <w:bCs/>
          <w:sz w:val="36"/>
          <w:szCs w:val="36"/>
        </w:rPr>
        <w:t xml:space="preserve">  </w:t>
      </w:r>
      <w:r w:rsidR="00E61859">
        <w:rPr>
          <w:b/>
          <w:bCs/>
          <w:sz w:val="36"/>
          <w:szCs w:val="36"/>
        </w:rPr>
        <w:t xml:space="preserve">    </w:t>
      </w:r>
      <w:r w:rsidR="2C45B9A9" w:rsidRPr="59C1E349">
        <w:rPr>
          <w:b/>
          <w:bCs/>
          <w:sz w:val="36"/>
          <w:szCs w:val="36"/>
        </w:rPr>
        <w:t>Dr Amanda</w:t>
      </w:r>
      <w:r w:rsidRPr="59C1E349">
        <w:rPr>
          <w:b/>
          <w:bCs/>
          <w:sz w:val="36"/>
          <w:szCs w:val="36"/>
        </w:rPr>
        <w:t xml:space="preserve"> Jo</w:t>
      </w:r>
      <w:r w:rsidR="204CDA9A" w:rsidRPr="59C1E349">
        <w:rPr>
          <w:b/>
          <w:bCs/>
          <w:sz w:val="36"/>
          <w:szCs w:val="36"/>
        </w:rPr>
        <w:t>nes</w:t>
      </w:r>
    </w:p>
    <w:p w14:paraId="7B81711B" w14:textId="17E76E4F" w:rsidR="001700B8" w:rsidRDefault="001700B8">
      <w:pPr>
        <w:rPr>
          <w:b/>
          <w:bCs/>
        </w:rPr>
      </w:pPr>
    </w:p>
    <w:p w14:paraId="17CB4C89" w14:textId="7849A066" w:rsidR="00A9122B" w:rsidRDefault="00443AA6">
      <w:pPr>
        <w:rPr>
          <w:rFonts w:eastAsiaTheme="majorEastAsia" w:cstheme="majorBidi"/>
          <w:b/>
          <w:sz w:val="28"/>
          <w:szCs w:val="32"/>
        </w:rPr>
      </w:pPr>
      <w:r>
        <w:rPr>
          <w:noProof/>
        </w:rPr>
        <w:lastRenderedPageBreak/>
        <w:drawing>
          <wp:inline distT="0" distB="0" distL="0" distR="0" wp14:anchorId="2052E7E8" wp14:editId="279773FE">
            <wp:extent cx="5943600" cy="4365625"/>
            <wp:effectExtent l="0" t="0" r="0" b="0"/>
            <wp:docPr id="112992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99231" name=""/>
                    <pic:cNvPicPr/>
                  </pic:nvPicPr>
                  <pic:blipFill>
                    <a:blip r:embed="rId7"/>
                    <a:stretch>
                      <a:fillRect/>
                    </a:stretch>
                  </pic:blipFill>
                  <pic:spPr>
                    <a:xfrm>
                      <a:off x="0" y="0"/>
                      <a:ext cx="5943600" cy="4365625"/>
                    </a:xfrm>
                    <a:prstGeom prst="rect">
                      <a:avLst/>
                    </a:prstGeom>
                  </pic:spPr>
                </pic:pic>
              </a:graphicData>
            </a:graphic>
          </wp:inline>
        </w:drawing>
      </w:r>
      <w:r>
        <w:t xml:space="preserve"> </w:t>
      </w:r>
      <w:r w:rsidR="00A9122B">
        <w:br w:type="page"/>
      </w:r>
    </w:p>
    <w:p w14:paraId="578DA021" w14:textId="21A0257F" w:rsidR="00D14365" w:rsidRPr="00D14365" w:rsidRDefault="00D14365" w:rsidP="00D14365">
      <w:pPr>
        <w:pStyle w:val="Heading1"/>
      </w:pPr>
      <w:bookmarkStart w:id="0" w:name="_Toc227292604"/>
      <w:r w:rsidRPr="00D14365">
        <w:lastRenderedPageBreak/>
        <w:t>1. Introduction</w:t>
      </w:r>
      <w:bookmarkEnd w:id="0"/>
    </w:p>
    <w:p w14:paraId="6F44FCC2" w14:textId="079758FF" w:rsidR="00D14365" w:rsidRPr="00D14365" w:rsidRDefault="00D14365" w:rsidP="00D14365">
      <w:r>
        <w:t xml:space="preserve">Early Help is a safeguarding model in the UK. It recognises family needs </w:t>
      </w:r>
      <w:r w:rsidR="00C0475D">
        <w:t xml:space="preserve">throughout </w:t>
      </w:r>
      <w:r>
        <w:t xml:space="preserve">an early development stage. Local authorities provide early help via </w:t>
      </w:r>
      <w:r w:rsidR="00043A73">
        <w:t>nationally available online information</w:t>
      </w:r>
      <w:r>
        <w:t xml:space="preserve">. Families </w:t>
      </w:r>
      <w:r w:rsidR="00090B27">
        <w:t xml:space="preserve">primarily access support services </w:t>
      </w:r>
      <w:r>
        <w:t xml:space="preserve">by regularly visiting online council websites. This report reviews three local authority websites in England. It interprets the websites of Leeds City Council, Norfolk County Council and Southwark Council. It measures the clarity, accessibility and effectiveness of Early Help information systems. It directly applies the principles of the Working Together to Safeguard Children (2023) guidance. This report makes a close comparison of </w:t>
      </w:r>
      <w:r w:rsidR="5695FFA9">
        <w:t xml:space="preserve">the </w:t>
      </w:r>
      <w:r>
        <w:t xml:space="preserve">communication techniques employed on the three websites. It pinpoints </w:t>
      </w:r>
      <w:r w:rsidR="11192228">
        <w:t xml:space="preserve">the </w:t>
      </w:r>
      <w:r>
        <w:t>strengths and weaknesses of early help signposting systems. It assesses the effectiveness of families in their comprehension of the existing support services on the Internet. It ends up with the best authority offering the most effective digital accessibility in general. Early Help is very important in protecting children and families</w:t>
      </w:r>
      <w:r w:rsidR="00002B70">
        <w:t xml:space="preserve"> (Wilkinson et al., 2023)</w:t>
      </w:r>
      <w:r>
        <w:t xml:space="preserve">. It averts the further development of needs into statutory intervention and crisis. It promotes the early detection of risk in the family and context. It empowers prevention-based practice within health and social care systems in the country. The first points of access to families are the local authority websites. They give the necessary directions on where one can get early help and support services in the area. They determine the rate at which families </w:t>
      </w:r>
      <w:r w:rsidR="66375104">
        <w:t>can</w:t>
      </w:r>
      <w:r>
        <w:t xml:space="preserve"> interact with the support systems. They dictate the availability of protective channels for vulnerable service users at hand.</w:t>
      </w:r>
    </w:p>
    <w:p w14:paraId="44A19876" w14:textId="77777777" w:rsidR="00D14365" w:rsidRPr="00D14365" w:rsidRDefault="00D14365" w:rsidP="00D14365">
      <w:pPr>
        <w:pStyle w:val="Heading1"/>
      </w:pPr>
      <w:bookmarkStart w:id="1" w:name="_Toc227292605"/>
      <w:r w:rsidRPr="00D14365">
        <w:t>2. Explanation of the Early Help System</w:t>
      </w:r>
      <w:bookmarkEnd w:id="1"/>
    </w:p>
    <w:p w14:paraId="0662B59F" w14:textId="545E5BB2" w:rsidR="00D14365" w:rsidRPr="00D14365" w:rsidRDefault="00D14365" w:rsidP="59C1E349">
      <w:r>
        <w:t xml:space="preserve">Early Help offers early support to children and families. It minimises risks when issues have not grown within the system of statutory interventions to a considerable extent. According to the Early Help System Guide, Early Help is defined as a </w:t>
      </w:r>
      <w:r w:rsidR="00E82E31">
        <w:t>coordinated</w:t>
      </w:r>
      <w:r>
        <w:t xml:space="preserve"> intervention. It aids children, youths and families undergoing early assessment procedures. Early Help incorporates various services within health and social care regimes. It provides parenting programmes in enhancing family relationship stability and functioning. It offers mental health assistance for emotional </w:t>
      </w:r>
      <w:r w:rsidR="7B27002B">
        <w:t>well-being</w:t>
      </w:r>
      <w:r>
        <w:t xml:space="preserve"> and resilience building</w:t>
      </w:r>
      <w:r w:rsidR="000376AE">
        <w:t xml:space="preserve"> (Deahl, 2024)</w:t>
      </w:r>
      <w:r>
        <w:t xml:space="preserve">. It provides housing and financial services to needy households in distress. It endorses early intervention education in schools and childcare facilities in the </w:t>
      </w:r>
      <w:r>
        <w:lastRenderedPageBreak/>
        <w:t xml:space="preserve">locality. Early Help </w:t>
      </w:r>
      <w:r w:rsidR="32E439FC">
        <w:t>always encourages prevention by early recognition of family challenges</w:t>
      </w:r>
      <w:r>
        <w:t xml:space="preserve">. It urges agencies to act before the safeguarding issues grow much higher. It enhances the performance of children using effective multi-agency intervention strategies. It lowers the need for statutory child protection services by local authorities. Early Help works with the families as a voluntary engagement model. It guarantees that the families are supported without the application of </w:t>
      </w:r>
      <w:r w:rsidR="0095143F">
        <w:t xml:space="preserve">compulsory </w:t>
      </w:r>
      <w:r>
        <w:t xml:space="preserve">statutory intervention processes that are compulsory. It </w:t>
      </w:r>
      <w:r w:rsidR="009F10EF">
        <w:t>always establishes confidence between the families and the local authority support structures</w:t>
      </w:r>
      <w:r w:rsidR="00011F6A">
        <w:t xml:space="preserve"> (Claussen </w:t>
      </w:r>
      <w:r w:rsidR="00011F6A" w:rsidRPr="59C1E349">
        <w:rPr>
          <w:i/>
          <w:iCs/>
        </w:rPr>
        <w:t>et al.</w:t>
      </w:r>
      <w:r w:rsidR="00011F6A">
        <w:t>, 2024)</w:t>
      </w:r>
      <w:r>
        <w:t xml:space="preserve">. It fosters long-term </w:t>
      </w:r>
      <w:r w:rsidR="0095143F">
        <w:t>well-being</w:t>
      </w:r>
      <w:r>
        <w:t xml:space="preserve"> by providing professional support in its early stages continuously. Early Help enhances protection systems through prevention and early intervention. It makes sure that the children have better safety, stability, and developmental results. It is compatible with the national policy frameworks of child protection. It encourages the collaborative work of agencies in all sectors of service.</w:t>
      </w:r>
    </w:p>
    <w:p w14:paraId="13DE4492" w14:textId="77777777" w:rsidR="00D14365" w:rsidRPr="00D14365" w:rsidRDefault="00D14365" w:rsidP="00D14365">
      <w:pPr>
        <w:pStyle w:val="Heading1"/>
      </w:pPr>
      <w:bookmarkStart w:id="2" w:name="_Toc227292606"/>
      <w:r w:rsidRPr="00D14365">
        <w:t>3. Multi-Agency Working (Explanation)</w:t>
      </w:r>
      <w:bookmarkEnd w:id="2"/>
    </w:p>
    <w:p w14:paraId="50F9442B" w14:textId="547E045C" w:rsidR="00D14365" w:rsidRPr="00D14365" w:rsidRDefault="00D14365" w:rsidP="00D14365">
      <w:r>
        <w:t xml:space="preserve">Multi-agency working entails the close working between the safeguarding organisations and professional services. It guarantees integrated actions to multifaceted family requirements in various sectors. The concept of multi-agency collaboration works well with the principles of Working Together to Safeguard Children. It focuses on collective responsibility to </w:t>
      </w:r>
      <w:r w:rsidR="46B421B5">
        <w:t>always safeguard children and youths</w:t>
      </w:r>
      <w:r>
        <w:t>. The multi-agency teams comprise health professionals, social workers and educators. They have police services and voluntary sector organisations, too, locally. All these agencies are providers of knowledge of specialists for the protection of decision-making processes</w:t>
      </w:r>
      <w:r w:rsidR="0018151C">
        <w:t xml:space="preserve"> (</w:t>
      </w:r>
      <w:r w:rsidR="2A78433B">
        <w:t>Harkle</w:t>
      </w:r>
      <w:r w:rsidR="0018151C">
        <w:t xml:space="preserve"> </w:t>
      </w:r>
      <w:r w:rsidR="0018151C" w:rsidRPr="59C1E349">
        <w:rPr>
          <w:i/>
          <w:iCs/>
        </w:rPr>
        <w:t>et al.</w:t>
      </w:r>
      <w:r w:rsidR="0018151C">
        <w:t>, 2025)</w:t>
      </w:r>
      <w:r>
        <w:t xml:space="preserve">. They exchange information to aid proper determination of the requirements of the family. The working of multi-agencies enhances the processes of early help assessment and intervention planning. It facilitates early help assessments by information sharing and coordination systems. It makes sure that risks are detected early by effective communication systems among professionals. It enhances a protective decision-making by way of joint professional judgement and analysis. The multi-agency cooperation enhances uniformity in family assistance across the services nationwide. It minimises </w:t>
      </w:r>
      <w:r w:rsidR="006E59EF">
        <w:t xml:space="preserve">the </w:t>
      </w:r>
      <w:r>
        <w:t xml:space="preserve">overlapping of assessments among various professional organisations involved. It </w:t>
      </w:r>
      <w:r>
        <w:lastRenderedPageBreak/>
        <w:t>enhances productivity in the delivery of services to vulnerable families in the area. It guarantees that the responsibilities are equally distributed among all the agencies. The benefits of multi-agency working are improved outcomes in terms of integrated service responses to children</w:t>
      </w:r>
      <w:r w:rsidR="009E2305">
        <w:t xml:space="preserve"> (Davidson </w:t>
      </w:r>
      <w:r w:rsidR="009E2305" w:rsidRPr="59C1E349">
        <w:rPr>
          <w:i/>
          <w:iCs/>
        </w:rPr>
        <w:t>et al.</w:t>
      </w:r>
      <w:r w:rsidR="009E2305">
        <w:t>, 2024)</w:t>
      </w:r>
      <w:r>
        <w:t xml:space="preserve">. It endorses </w:t>
      </w:r>
      <w:r w:rsidR="00347D3F">
        <w:t xml:space="preserve">a </w:t>
      </w:r>
      <w:r>
        <w:t xml:space="preserve">comprehensive evaluation of family requirements in various areas. It guarantees </w:t>
      </w:r>
      <w:r w:rsidR="00401531">
        <w:t>coordinated</w:t>
      </w:r>
      <w:r>
        <w:t xml:space="preserve"> planning among professionals </w:t>
      </w:r>
      <w:r w:rsidR="00347D3F">
        <w:t>who</w:t>
      </w:r>
      <w:r>
        <w:t xml:space="preserve"> are involved in the protection of </w:t>
      </w:r>
      <w:r w:rsidR="004634E7">
        <w:t xml:space="preserve">the </w:t>
      </w:r>
      <w:r w:rsidR="00401531">
        <w:t>environment</w:t>
      </w:r>
      <w:r>
        <w:t>. It increases confidence between services and families that obtain early help.</w:t>
      </w:r>
    </w:p>
    <w:p w14:paraId="05B90921" w14:textId="77777777" w:rsidR="00D14365" w:rsidRPr="00D14365" w:rsidRDefault="00D14365" w:rsidP="00D14365">
      <w:pPr>
        <w:pStyle w:val="Heading1"/>
      </w:pPr>
      <w:bookmarkStart w:id="3" w:name="_Toc227292607"/>
      <w:r w:rsidRPr="00D14365">
        <w:t>4. Website Evaluations</w:t>
      </w:r>
      <w:bookmarkEnd w:id="3"/>
    </w:p>
    <w:p w14:paraId="269FF2DC" w14:textId="77777777" w:rsidR="00D14365" w:rsidRPr="00D14365" w:rsidRDefault="00D14365" w:rsidP="00D14365">
      <w:pPr>
        <w:pStyle w:val="Heading2"/>
      </w:pPr>
      <w:bookmarkStart w:id="4" w:name="_Toc227292608"/>
      <w:r w:rsidRPr="00D14365">
        <w:t>4.1 Leeds City Council Website</w:t>
      </w:r>
      <w:bookmarkEnd w:id="4"/>
    </w:p>
    <w:p w14:paraId="61349A6B" w14:textId="77777777" w:rsidR="00D14365" w:rsidRPr="00D14365" w:rsidRDefault="00D14365" w:rsidP="00D14365">
      <w:r w:rsidRPr="00D14365">
        <w:t>Leeds City Council has information on Early Help in a clear manner on specific webpages. It organises Early Help well within family services and safeguarding sections. It is an accessible source of information to parents, carers and professionals alike.</w:t>
      </w:r>
    </w:p>
    <w:p w14:paraId="3A14D310" w14:textId="3DDEE0F9" w:rsidR="00D14365" w:rsidRPr="00D14365" w:rsidRDefault="00D14365" w:rsidP="00D14365">
      <w:pPr>
        <w:numPr>
          <w:ilvl w:val="0"/>
          <w:numId w:val="12"/>
        </w:numPr>
      </w:pPr>
      <w:r w:rsidRPr="59C1E349">
        <w:rPr>
          <w:b/>
          <w:bCs/>
        </w:rPr>
        <w:t xml:space="preserve">Strengths: </w:t>
      </w:r>
      <w:r>
        <w:t xml:space="preserve">Leeds City Council describes early help in straightforward, accessible language. It offers direct signposting to family hubs within the city. It makes the referral forms easily and quickly accessible </w:t>
      </w:r>
      <w:r w:rsidR="5027DA03">
        <w:t>to</w:t>
      </w:r>
      <w:r>
        <w:t xml:space="preserve"> the families. It encourages the multi-agency work in education and health services locally. It helps families by giving them organised instructions and straightforward routes.</w:t>
      </w:r>
    </w:p>
    <w:p w14:paraId="4BF1DEA2" w14:textId="1BF9F758" w:rsidR="00D14365" w:rsidRPr="00D14365" w:rsidRDefault="00D14365" w:rsidP="00D14365">
      <w:pPr>
        <w:numPr>
          <w:ilvl w:val="0"/>
          <w:numId w:val="12"/>
        </w:numPr>
      </w:pPr>
      <w:r w:rsidRPr="00D14365">
        <w:rPr>
          <w:b/>
          <w:bCs/>
        </w:rPr>
        <w:t xml:space="preserve">Weaknesses: </w:t>
      </w:r>
      <w:r w:rsidRPr="00D14365">
        <w:t>Leeds City Council has an unnecessary separation of some services into various webpages. It presents navigational difficulties to the first-time users of the site that require instant help</w:t>
      </w:r>
      <w:r w:rsidR="00570704" w:rsidRPr="00570704">
        <w:t xml:space="preserve"> (Bosmans </w:t>
      </w:r>
      <w:r w:rsidR="00570704" w:rsidRPr="00570704">
        <w:rPr>
          <w:i/>
          <w:iCs/>
        </w:rPr>
        <w:t>et al.</w:t>
      </w:r>
      <w:r w:rsidR="00570704" w:rsidRPr="00570704">
        <w:t>, 2026)</w:t>
      </w:r>
      <w:r w:rsidRPr="00D14365">
        <w:t>. It offers minimal interactive aids in interacting with the users. It is full of text explanations, which are less visual to users.</w:t>
      </w:r>
    </w:p>
    <w:p w14:paraId="18F6D42E" w14:textId="0E4569A3" w:rsidR="00D14365" w:rsidRPr="00D14365" w:rsidRDefault="00D14365" w:rsidP="00D14365">
      <w:pPr>
        <w:rPr>
          <w:u w:val="single"/>
        </w:rPr>
      </w:pPr>
      <w:r w:rsidRPr="00D14365">
        <w:rPr>
          <w:b/>
          <w:bCs/>
          <w:u w:val="single"/>
        </w:rPr>
        <w:t>Analysis</w:t>
      </w:r>
    </w:p>
    <w:p w14:paraId="5036AEB1" w14:textId="190AF342" w:rsidR="00D14365" w:rsidRPr="00D14365" w:rsidRDefault="00D14365" w:rsidP="00D14365">
      <w:r w:rsidRPr="00D14365">
        <w:t xml:space="preserve">Leeds City Council offers organised early help data to families. It makes it clear by maintaining digital safeguarding information pathways in a well-organised manner. It enhances accessibility by the provision of direct service referral options online </w:t>
      </w:r>
      <w:r w:rsidR="005169B7">
        <w:t>clearly</w:t>
      </w:r>
      <w:r w:rsidRPr="00D14365">
        <w:t xml:space="preserve">. It needs to be enhanced in the simplification of navigation and design systems of digital integration. Leeds is well-aligned with the national expectations of the Early Help system. </w:t>
      </w:r>
      <w:r w:rsidRPr="00D14365">
        <w:lastRenderedPageBreak/>
        <w:t>It assists families using convenient and feasible online protection courses. It also enhances the involvement by having a clear service communication and guidance framework.</w:t>
      </w:r>
    </w:p>
    <w:p w14:paraId="5CD8AF2A" w14:textId="77777777" w:rsidR="00D14365" w:rsidRPr="00D14365" w:rsidRDefault="00D14365" w:rsidP="00D14365">
      <w:pPr>
        <w:pStyle w:val="Heading2"/>
      </w:pPr>
      <w:bookmarkStart w:id="5" w:name="_Toc227292609"/>
      <w:r w:rsidRPr="00D14365">
        <w:t>4.2 Norfolk County Council Website</w:t>
      </w:r>
      <w:bookmarkEnd w:id="5"/>
    </w:p>
    <w:p w14:paraId="7FC4C98D" w14:textId="148E668F" w:rsidR="00D14365" w:rsidRPr="00D14365" w:rsidRDefault="00D14365" w:rsidP="00D14365">
      <w:r>
        <w:t xml:space="preserve">The Early Help offered by Norfolk County Council to families is presented clearly on </w:t>
      </w:r>
      <w:r w:rsidR="7B7A4350">
        <w:t xml:space="preserve">the </w:t>
      </w:r>
      <w:r>
        <w:t xml:space="preserve">family support webpages. It introduces early help </w:t>
      </w:r>
      <w:r w:rsidR="3745167B">
        <w:t>in</w:t>
      </w:r>
      <w:r>
        <w:t xml:space="preserve"> family focus and community support. It pro</w:t>
      </w:r>
      <w:r w:rsidR="7A1C28C1">
        <w:t>tects</w:t>
      </w:r>
      <w:r>
        <w:t xml:space="preserve"> information </w:t>
      </w:r>
      <w:r w:rsidR="18D7D9EC">
        <w:t>for</w:t>
      </w:r>
      <w:r>
        <w:t xml:space="preserve"> families and professionals in the services.</w:t>
      </w:r>
    </w:p>
    <w:p w14:paraId="3B752A9F" w14:textId="77777777" w:rsidR="00D14365" w:rsidRPr="00D14365" w:rsidRDefault="00D14365" w:rsidP="00D14365">
      <w:pPr>
        <w:numPr>
          <w:ilvl w:val="0"/>
          <w:numId w:val="13"/>
        </w:numPr>
      </w:pPr>
      <w:r w:rsidRPr="00D14365">
        <w:rPr>
          <w:b/>
          <w:bCs/>
        </w:rPr>
        <w:t xml:space="preserve">Strengths: </w:t>
      </w:r>
      <w:r w:rsidRPr="00D14365">
        <w:t>Norfolk County Council describes early help in a structured format in detail. It advocates family hubs as points of access to support services. It incorporates both education and social care support in the local communities. It gives explicit professional advice in the areas of safeguarding and referrals.</w:t>
      </w:r>
    </w:p>
    <w:p w14:paraId="18F0EE1B" w14:textId="2A715A73" w:rsidR="00D14365" w:rsidRPr="00D14365" w:rsidRDefault="00D14365" w:rsidP="00D14365">
      <w:pPr>
        <w:numPr>
          <w:ilvl w:val="0"/>
          <w:numId w:val="13"/>
        </w:numPr>
      </w:pPr>
      <w:r w:rsidRPr="59C1E349">
        <w:rPr>
          <w:b/>
          <w:bCs/>
        </w:rPr>
        <w:t xml:space="preserve">Weaknesses: </w:t>
      </w:r>
      <w:r>
        <w:t xml:space="preserve">Norfolk County Council diminishes the visibility of Early Help on </w:t>
      </w:r>
      <w:r w:rsidR="7890485E">
        <w:t xml:space="preserve">the </w:t>
      </w:r>
      <w:r>
        <w:t xml:space="preserve">homepage structure to a great extent. It makes users go through numerous pages to access relevant information. It poses a challenge to families that are not used to </w:t>
      </w:r>
      <w:r w:rsidR="1820E344">
        <w:t xml:space="preserve">the </w:t>
      </w:r>
      <w:r>
        <w:t xml:space="preserve">local </w:t>
      </w:r>
      <w:r w:rsidR="00570704">
        <w:t>authority’s</w:t>
      </w:r>
      <w:r>
        <w:t xml:space="preserve"> systems in general</w:t>
      </w:r>
      <w:r w:rsidR="00525143">
        <w:t xml:space="preserve"> (Kirakosyan and Veuillet-Combier, 2024)</w:t>
      </w:r>
      <w:r>
        <w:t>. It restricts first-time users who are in dire need of assistance.</w:t>
      </w:r>
    </w:p>
    <w:p w14:paraId="6DEB3B34" w14:textId="77777777" w:rsidR="00D14365" w:rsidRPr="00D14365" w:rsidRDefault="00D14365" w:rsidP="00D14365">
      <w:pPr>
        <w:rPr>
          <w:u w:val="single"/>
        </w:rPr>
      </w:pPr>
      <w:r w:rsidRPr="00D14365">
        <w:rPr>
          <w:b/>
          <w:bCs/>
          <w:u w:val="single"/>
        </w:rPr>
        <w:t>Analysis</w:t>
      </w:r>
    </w:p>
    <w:p w14:paraId="744B18F9" w14:textId="77777777" w:rsidR="00D14365" w:rsidRPr="00D14365" w:rsidRDefault="00D14365" w:rsidP="00D14365">
      <w:r w:rsidRPr="00D14365">
        <w:t>Norfolk County Council has made good use of its provision of comprehensive Early Help information to professionals. It has good service specification and poor accessibility by families. It aids in protecting knowledge with orchestrated yet intricate digital routes. It is in dire need of better home page visibility and easier navigation design systems.</w:t>
      </w:r>
    </w:p>
    <w:p w14:paraId="0009F5A2" w14:textId="77777777" w:rsidR="00D14365" w:rsidRPr="00D14365" w:rsidRDefault="00D14365" w:rsidP="00D14365">
      <w:r w:rsidRPr="00D14365">
        <w:t>Norfolk has a good content quality but poor user experience design in general. It can be detrimental to families who are vulnerable and in need of immediate early help. It needs enhancements in online communication policy and accessibility.</w:t>
      </w:r>
    </w:p>
    <w:p w14:paraId="1920EDFE" w14:textId="77777777" w:rsidR="00D14365" w:rsidRPr="00D14365" w:rsidRDefault="00D14365" w:rsidP="00D14365">
      <w:pPr>
        <w:pStyle w:val="Heading2"/>
      </w:pPr>
      <w:bookmarkStart w:id="6" w:name="_Toc227292610"/>
      <w:r w:rsidRPr="00D14365">
        <w:lastRenderedPageBreak/>
        <w:t>4.3 Southwark Council Website</w:t>
      </w:r>
      <w:bookmarkEnd w:id="6"/>
    </w:p>
    <w:p w14:paraId="1F56EE36" w14:textId="77777777" w:rsidR="00D14365" w:rsidRPr="00D14365" w:rsidRDefault="00D14365" w:rsidP="00D14365">
      <w:r w:rsidRPr="00D14365">
        <w:t>Southwark Council provides its Early Help in the form of prevention and family support services in a straightforward way. It integrates early help online in safeguarding and early intervention. It offers systematic guidance to professionals and protects practitioners especially.</w:t>
      </w:r>
    </w:p>
    <w:p w14:paraId="64FD52F1" w14:textId="77777777" w:rsidR="00D14365" w:rsidRPr="00D14365" w:rsidRDefault="00D14365" w:rsidP="00D14365">
      <w:pPr>
        <w:numPr>
          <w:ilvl w:val="0"/>
          <w:numId w:val="14"/>
        </w:numPr>
      </w:pPr>
      <w:r w:rsidRPr="00D14365">
        <w:rPr>
          <w:b/>
          <w:bCs/>
        </w:rPr>
        <w:t xml:space="preserve">Strengths: </w:t>
      </w:r>
      <w:r w:rsidRPr="00D14365">
        <w:t>Southwark Council is effective in its prevention with the help of Early Help support frameworks. It describes in systematic, professional detail the early help assessment processes. It incorporates health visiting and education services into the safeguarding pathways in an effective manner. It facilitates the working across services in a multi-agency manner.</w:t>
      </w:r>
    </w:p>
    <w:p w14:paraId="6563E08F" w14:textId="6EE69429" w:rsidR="00D14365" w:rsidRPr="00D14365" w:rsidRDefault="00D14365" w:rsidP="00D14365">
      <w:pPr>
        <w:numPr>
          <w:ilvl w:val="0"/>
          <w:numId w:val="14"/>
        </w:numPr>
      </w:pPr>
      <w:r w:rsidRPr="59C1E349">
        <w:rPr>
          <w:b/>
          <w:bCs/>
        </w:rPr>
        <w:t xml:space="preserve">Weaknesses: </w:t>
      </w:r>
      <w:r>
        <w:t xml:space="preserve">The professional terminology applied by Southwark Council </w:t>
      </w:r>
      <w:r w:rsidR="1A1C0D6C">
        <w:t>largely restricts family knowledge</w:t>
      </w:r>
      <w:r>
        <w:t xml:space="preserve">. It minimises the accessibility to non-professional users who </w:t>
      </w:r>
      <w:r w:rsidR="3DE49449">
        <w:t>need</w:t>
      </w:r>
      <w:r>
        <w:t xml:space="preserve"> information about support online</w:t>
      </w:r>
      <w:r w:rsidR="00B8608F">
        <w:t xml:space="preserve"> (Unseld </w:t>
      </w:r>
      <w:r w:rsidR="00B8608F" w:rsidRPr="59C1E349">
        <w:rPr>
          <w:i/>
          <w:iCs/>
        </w:rPr>
        <w:t>et al.</w:t>
      </w:r>
      <w:r w:rsidR="00B8608F">
        <w:t>, 2023)</w:t>
      </w:r>
      <w:r>
        <w:t>. It restricts interactive guidance tools to families that need urgent assistance. It puts more emphasis on practitioners than direct family engagement systems.</w:t>
      </w:r>
    </w:p>
    <w:p w14:paraId="43AAB533" w14:textId="3BC1731E" w:rsidR="00D14365" w:rsidRPr="00D14365" w:rsidRDefault="00D14365" w:rsidP="00D14365">
      <w:pPr>
        <w:rPr>
          <w:u w:val="single"/>
        </w:rPr>
      </w:pPr>
      <w:r w:rsidRPr="00D14365">
        <w:rPr>
          <w:b/>
          <w:bCs/>
          <w:u w:val="single"/>
        </w:rPr>
        <w:t>Analysis</w:t>
      </w:r>
    </w:p>
    <w:p w14:paraId="06F64AE9" w14:textId="77777777" w:rsidR="00D14365" w:rsidRDefault="00D14365" w:rsidP="00D14365">
      <w:r w:rsidRPr="00D14365">
        <w:t>Southwark Council offers a robust safeguarding framework in the professional use. It undergirds Early Help with procedural and assessment guidance systems. It makes it less accessible because of the complicated language and professional orientation. It needs streamlining to better connect with the family and comprehend it in general. Southwark has a high level of policy alignment and poor public communication design. It puts the interest of professionals first before direct accessibility over the internet by family. It has been found to work with practitioners but not with families.</w:t>
      </w:r>
    </w:p>
    <w:p w14:paraId="064CFDBC" w14:textId="77777777" w:rsidR="00E61859" w:rsidRDefault="00E61859" w:rsidP="00D14365"/>
    <w:p w14:paraId="1595AE66" w14:textId="77777777" w:rsidR="00E61859" w:rsidRPr="00D14365" w:rsidRDefault="00E61859" w:rsidP="00D14365"/>
    <w:p w14:paraId="32568081" w14:textId="77777777" w:rsidR="00394B11" w:rsidRPr="00394B11" w:rsidRDefault="00394B11" w:rsidP="00D14365">
      <w:pPr>
        <w:pStyle w:val="Heading1"/>
      </w:pPr>
      <w:bookmarkStart w:id="7" w:name="_Toc227292611"/>
      <w:r w:rsidRPr="00394B11">
        <w:lastRenderedPageBreak/>
        <w:t>5. Comparative Analysis</w:t>
      </w:r>
      <w:bookmarkEnd w:id="7"/>
    </w:p>
    <w:tbl>
      <w:tblPr>
        <w:tblStyle w:val="PlainTable1"/>
        <w:tblW w:w="9176" w:type="dxa"/>
        <w:tblLook w:val="04A0" w:firstRow="1" w:lastRow="0" w:firstColumn="1" w:lastColumn="0" w:noHBand="0" w:noVBand="1"/>
      </w:tblPr>
      <w:tblGrid>
        <w:gridCol w:w="4221"/>
        <w:gridCol w:w="1223"/>
        <w:gridCol w:w="1628"/>
        <w:gridCol w:w="2104"/>
      </w:tblGrid>
      <w:tr w:rsidR="00394B11" w:rsidRPr="00394B11" w14:paraId="63D3C7D9" w14:textId="77777777" w:rsidTr="00394B11">
        <w:trPr>
          <w:cnfStyle w:val="100000000000" w:firstRow="1" w:lastRow="0" w:firstColumn="0" w:lastColumn="0" w:oddVBand="0" w:evenVBand="0" w:oddHBand="0" w:evenHBand="0" w:firstRowFirstColumn="0" w:firstRowLastColumn="0" w:lastRowFirstColumn="0" w:lastRowLastColumn="0"/>
          <w:trHeight w:val="768"/>
        </w:trPr>
        <w:tc>
          <w:tcPr>
            <w:cnfStyle w:val="001000000000" w:firstRow="0" w:lastRow="0" w:firstColumn="1" w:lastColumn="0" w:oddVBand="0" w:evenVBand="0" w:oddHBand="0" w:evenHBand="0" w:firstRowFirstColumn="0" w:firstRowLastColumn="0" w:lastRowFirstColumn="0" w:lastRowLastColumn="0"/>
            <w:tcW w:w="0" w:type="auto"/>
            <w:hideMark/>
          </w:tcPr>
          <w:p w14:paraId="3B8C91B5" w14:textId="77777777" w:rsidR="00394B11" w:rsidRPr="00394B11" w:rsidRDefault="00394B11" w:rsidP="00394B11">
            <w:pPr>
              <w:spacing w:after="240" w:line="360" w:lineRule="auto"/>
              <w:jc w:val="center"/>
            </w:pPr>
            <w:r w:rsidRPr="00394B11">
              <w:t>Criteria</w:t>
            </w:r>
          </w:p>
        </w:tc>
        <w:tc>
          <w:tcPr>
            <w:tcW w:w="0" w:type="auto"/>
            <w:hideMark/>
          </w:tcPr>
          <w:p w14:paraId="1ABE931D" w14:textId="77777777" w:rsidR="00394B11" w:rsidRPr="00394B11" w:rsidRDefault="00394B11" w:rsidP="00394B11">
            <w:pPr>
              <w:spacing w:after="240" w:line="360" w:lineRule="auto"/>
              <w:jc w:val="center"/>
              <w:cnfStyle w:val="100000000000" w:firstRow="1" w:lastRow="0" w:firstColumn="0" w:lastColumn="0" w:oddVBand="0" w:evenVBand="0" w:oddHBand="0" w:evenHBand="0" w:firstRowFirstColumn="0" w:firstRowLastColumn="0" w:lastRowFirstColumn="0" w:lastRowLastColumn="0"/>
            </w:pPr>
            <w:r w:rsidRPr="00394B11">
              <w:t>Leeds</w:t>
            </w:r>
          </w:p>
        </w:tc>
        <w:tc>
          <w:tcPr>
            <w:tcW w:w="0" w:type="auto"/>
            <w:hideMark/>
          </w:tcPr>
          <w:p w14:paraId="1C1E8885" w14:textId="77777777" w:rsidR="00394B11" w:rsidRPr="00394B11" w:rsidRDefault="00394B11" w:rsidP="00394B11">
            <w:pPr>
              <w:spacing w:after="240" w:line="360" w:lineRule="auto"/>
              <w:jc w:val="center"/>
              <w:cnfStyle w:val="100000000000" w:firstRow="1" w:lastRow="0" w:firstColumn="0" w:lastColumn="0" w:oddVBand="0" w:evenVBand="0" w:oddHBand="0" w:evenHBand="0" w:firstRowFirstColumn="0" w:firstRowLastColumn="0" w:lastRowFirstColumn="0" w:lastRowLastColumn="0"/>
            </w:pPr>
            <w:r w:rsidRPr="00394B11">
              <w:t>Norfolk</w:t>
            </w:r>
          </w:p>
        </w:tc>
        <w:tc>
          <w:tcPr>
            <w:tcW w:w="0" w:type="auto"/>
            <w:hideMark/>
          </w:tcPr>
          <w:p w14:paraId="5A6806A5" w14:textId="77777777" w:rsidR="00394B11" w:rsidRPr="00394B11" w:rsidRDefault="00394B11" w:rsidP="00394B11">
            <w:pPr>
              <w:spacing w:after="240" w:line="360" w:lineRule="auto"/>
              <w:jc w:val="center"/>
              <w:cnfStyle w:val="100000000000" w:firstRow="1" w:lastRow="0" w:firstColumn="0" w:lastColumn="0" w:oddVBand="0" w:evenVBand="0" w:oddHBand="0" w:evenHBand="0" w:firstRowFirstColumn="0" w:firstRowLastColumn="0" w:lastRowFirstColumn="0" w:lastRowLastColumn="0"/>
            </w:pPr>
            <w:r w:rsidRPr="00394B11">
              <w:t>Southwark</w:t>
            </w:r>
          </w:p>
        </w:tc>
      </w:tr>
      <w:tr w:rsidR="00394B11" w:rsidRPr="00394B11" w14:paraId="31034674" w14:textId="77777777" w:rsidTr="00394B11">
        <w:trPr>
          <w:cnfStyle w:val="000000100000" w:firstRow="0" w:lastRow="0" w:firstColumn="0" w:lastColumn="0" w:oddVBand="0" w:evenVBand="0" w:oddHBand="1" w:evenHBand="0" w:firstRowFirstColumn="0" w:firstRowLastColumn="0" w:lastRowFirstColumn="0" w:lastRowLastColumn="0"/>
          <w:trHeight w:val="768"/>
        </w:trPr>
        <w:tc>
          <w:tcPr>
            <w:cnfStyle w:val="001000000000" w:firstRow="0" w:lastRow="0" w:firstColumn="1" w:lastColumn="0" w:oddVBand="0" w:evenVBand="0" w:oddHBand="0" w:evenHBand="0" w:firstRowFirstColumn="0" w:firstRowLastColumn="0" w:lastRowFirstColumn="0" w:lastRowLastColumn="0"/>
            <w:tcW w:w="0" w:type="auto"/>
            <w:hideMark/>
          </w:tcPr>
          <w:p w14:paraId="4EA6BCDA" w14:textId="77777777" w:rsidR="00394B11" w:rsidRPr="00394B11" w:rsidRDefault="00394B11" w:rsidP="00394B11">
            <w:pPr>
              <w:spacing w:after="240" w:line="360" w:lineRule="auto"/>
            </w:pPr>
            <w:r w:rsidRPr="00394B11">
              <w:t>Accessibility</w:t>
            </w:r>
          </w:p>
        </w:tc>
        <w:tc>
          <w:tcPr>
            <w:tcW w:w="0" w:type="auto"/>
            <w:hideMark/>
          </w:tcPr>
          <w:p w14:paraId="6DA7DC0C" w14:textId="77777777" w:rsidR="00394B11" w:rsidRPr="00394B11" w:rsidRDefault="00394B11" w:rsidP="00394B11">
            <w:pPr>
              <w:spacing w:after="240" w:line="360" w:lineRule="auto"/>
              <w:jc w:val="center"/>
              <w:cnfStyle w:val="000000100000" w:firstRow="0" w:lastRow="0" w:firstColumn="0" w:lastColumn="0" w:oddVBand="0" w:evenVBand="0" w:oddHBand="1" w:evenHBand="0" w:firstRowFirstColumn="0" w:firstRowLastColumn="0" w:lastRowFirstColumn="0" w:lastRowLastColumn="0"/>
            </w:pPr>
            <w:r w:rsidRPr="00394B11">
              <w:t>High</w:t>
            </w:r>
          </w:p>
        </w:tc>
        <w:tc>
          <w:tcPr>
            <w:tcW w:w="0" w:type="auto"/>
            <w:hideMark/>
          </w:tcPr>
          <w:p w14:paraId="5BB1A4EE" w14:textId="77777777" w:rsidR="00394B11" w:rsidRPr="00394B11" w:rsidRDefault="00394B11" w:rsidP="00394B11">
            <w:pPr>
              <w:spacing w:after="240" w:line="360" w:lineRule="auto"/>
              <w:jc w:val="center"/>
              <w:cnfStyle w:val="000000100000" w:firstRow="0" w:lastRow="0" w:firstColumn="0" w:lastColumn="0" w:oddVBand="0" w:evenVBand="0" w:oddHBand="1" w:evenHBand="0" w:firstRowFirstColumn="0" w:firstRowLastColumn="0" w:lastRowFirstColumn="0" w:lastRowLastColumn="0"/>
            </w:pPr>
            <w:r w:rsidRPr="00394B11">
              <w:t>Medium</w:t>
            </w:r>
          </w:p>
        </w:tc>
        <w:tc>
          <w:tcPr>
            <w:tcW w:w="0" w:type="auto"/>
            <w:hideMark/>
          </w:tcPr>
          <w:p w14:paraId="49111FF1" w14:textId="77777777" w:rsidR="00394B11" w:rsidRPr="00394B11" w:rsidRDefault="00394B11" w:rsidP="00394B11">
            <w:pPr>
              <w:spacing w:after="240" w:line="360" w:lineRule="auto"/>
              <w:jc w:val="center"/>
              <w:cnfStyle w:val="000000100000" w:firstRow="0" w:lastRow="0" w:firstColumn="0" w:lastColumn="0" w:oddVBand="0" w:evenVBand="0" w:oddHBand="1" w:evenHBand="0" w:firstRowFirstColumn="0" w:firstRowLastColumn="0" w:lastRowFirstColumn="0" w:lastRowLastColumn="0"/>
            </w:pPr>
            <w:r w:rsidRPr="00394B11">
              <w:t>Medium-Low</w:t>
            </w:r>
          </w:p>
        </w:tc>
      </w:tr>
      <w:tr w:rsidR="00394B11" w:rsidRPr="00394B11" w14:paraId="38828785" w14:textId="77777777" w:rsidTr="00394B11">
        <w:trPr>
          <w:trHeight w:val="768"/>
        </w:trPr>
        <w:tc>
          <w:tcPr>
            <w:cnfStyle w:val="001000000000" w:firstRow="0" w:lastRow="0" w:firstColumn="1" w:lastColumn="0" w:oddVBand="0" w:evenVBand="0" w:oddHBand="0" w:evenHBand="0" w:firstRowFirstColumn="0" w:firstRowLastColumn="0" w:lastRowFirstColumn="0" w:lastRowLastColumn="0"/>
            <w:tcW w:w="0" w:type="auto"/>
            <w:hideMark/>
          </w:tcPr>
          <w:p w14:paraId="65B2AB2D" w14:textId="77777777" w:rsidR="00394B11" w:rsidRPr="00394B11" w:rsidRDefault="00394B11" w:rsidP="00394B11">
            <w:pPr>
              <w:spacing w:after="240" w:line="360" w:lineRule="auto"/>
            </w:pPr>
            <w:r w:rsidRPr="00394B11">
              <w:t>Clarity of Information</w:t>
            </w:r>
          </w:p>
        </w:tc>
        <w:tc>
          <w:tcPr>
            <w:tcW w:w="0" w:type="auto"/>
            <w:hideMark/>
          </w:tcPr>
          <w:p w14:paraId="125DD1CA" w14:textId="77777777" w:rsidR="00394B11" w:rsidRPr="00394B11" w:rsidRDefault="00394B11" w:rsidP="00394B11">
            <w:pPr>
              <w:spacing w:after="240" w:line="360" w:lineRule="auto"/>
              <w:jc w:val="center"/>
              <w:cnfStyle w:val="000000000000" w:firstRow="0" w:lastRow="0" w:firstColumn="0" w:lastColumn="0" w:oddVBand="0" w:evenVBand="0" w:oddHBand="0" w:evenHBand="0" w:firstRowFirstColumn="0" w:firstRowLastColumn="0" w:lastRowFirstColumn="0" w:lastRowLastColumn="0"/>
            </w:pPr>
            <w:r w:rsidRPr="00394B11">
              <w:t>High</w:t>
            </w:r>
          </w:p>
        </w:tc>
        <w:tc>
          <w:tcPr>
            <w:tcW w:w="0" w:type="auto"/>
            <w:hideMark/>
          </w:tcPr>
          <w:p w14:paraId="3445F033" w14:textId="77777777" w:rsidR="00394B11" w:rsidRPr="00394B11" w:rsidRDefault="00394B11" w:rsidP="00394B11">
            <w:pPr>
              <w:spacing w:after="240" w:line="360" w:lineRule="auto"/>
              <w:jc w:val="center"/>
              <w:cnfStyle w:val="000000000000" w:firstRow="0" w:lastRow="0" w:firstColumn="0" w:lastColumn="0" w:oddVBand="0" w:evenVBand="0" w:oddHBand="0" w:evenHBand="0" w:firstRowFirstColumn="0" w:firstRowLastColumn="0" w:lastRowFirstColumn="0" w:lastRowLastColumn="0"/>
            </w:pPr>
            <w:r w:rsidRPr="00394B11">
              <w:t>Medium</w:t>
            </w:r>
          </w:p>
        </w:tc>
        <w:tc>
          <w:tcPr>
            <w:tcW w:w="0" w:type="auto"/>
            <w:hideMark/>
          </w:tcPr>
          <w:p w14:paraId="7A1CA8BE" w14:textId="77777777" w:rsidR="00394B11" w:rsidRPr="00394B11" w:rsidRDefault="00394B11" w:rsidP="00394B11">
            <w:pPr>
              <w:spacing w:after="240" w:line="360" w:lineRule="auto"/>
              <w:jc w:val="center"/>
              <w:cnfStyle w:val="000000000000" w:firstRow="0" w:lastRow="0" w:firstColumn="0" w:lastColumn="0" w:oddVBand="0" w:evenVBand="0" w:oddHBand="0" w:evenHBand="0" w:firstRowFirstColumn="0" w:firstRowLastColumn="0" w:lastRowFirstColumn="0" w:lastRowLastColumn="0"/>
            </w:pPr>
            <w:r w:rsidRPr="00394B11">
              <w:t>Medium</w:t>
            </w:r>
          </w:p>
        </w:tc>
      </w:tr>
      <w:tr w:rsidR="00394B11" w:rsidRPr="00394B11" w14:paraId="60217381" w14:textId="77777777" w:rsidTr="00394B11">
        <w:trPr>
          <w:cnfStyle w:val="000000100000" w:firstRow="0" w:lastRow="0" w:firstColumn="0" w:lastColumn="0" w:oddVBand="0" w:evenVBand="0" w:oddHBand="1" w:evenHBand="0" w:firstRowFirstColumn="0" w:firstRowLastColumn="0" w:lastRowFirstColumn="0" w:lastRowLastColumn="0"/>
          <w:trHeight w:val="768"/>
        </w:trPr>
        <w:tc>
          <w:tcPr>
            <w:cnfStyle w:val="001000000000" w:firstRow="0" w:lastRow="0" w:firstColumn="1" w:lastColumn="0" w:oddVBand="0" w:evenVBand="0" w:oddHBand="0" w:evenHBand="0" w:firstRowFirstColumn="0" w:firstRowLastColumn="0" w:lastRowFirstColumn="0" w:lastRowLastColumn="0"/>
            <w:tcW w:w="0" w:type="auto"/>
            <w:hideMark/>
          </w:tcPr>
          <w:p w14:paraId="0295D4F5" w14:textId="77777777" w:rsidR="00394B11" w:rsidRPr="00394B11" w:rsidRDefault="00394B11" w:rsidP="00394B11">
            <w:pPr>
              <w:spacing w:after="240" w:line="360" w:lineRule="auto"/>
            </w:pPr>
            <w:r w:rsidRPr="00394B11">
              <w:t>Family-Friendly Language</w:t>
            </w:r>
          </w:p>
        </w:tc>
        <w:tc>
          <w:tcPr>
            <w:tcW w:w="0" w:type="auto"/>
            <w:hideMark/>
          </w:tcPr>
          <w:p w14:paraId="49177419" w14:textId="77777777" w:rsidR="00394B11" w:rsidRPr="00394B11" w:rsidRDefault="00394B11" w:rsidP="00394B11">
            <w:pPr>
              <w:spacing w:after="240" w:line="360" w:lineRule="auto"/>
              <w:jc w:val="center"/>
              <w:cnfStyle w:val="000000100000" w:firstRow="0" w:lastRow="0" w:firstColumn="0" w:lastColumn="0" w:oddVBand="0" w:evenVBand="0" w:oddHBand="1" w:evenHBand="0" w:firstRowFirstColumn="0" w:firstRowLastColumn="0" w:lastRowFirstColumn="0" w:lastRowLastColumn="0"/>
            </w:pPr>
            <w:r w:rsidRPr="00394B11">
              <w:t>High</w:t>
            </w:r>
          </w:p>
        </w:tc>
        <w:tc>
          <w:tcPr>
            <w:tcW w:w="0" w:type="auto"/>
            <w:hideMark/>
          </w:tcPr>
          <w:p w14:paraId="23CDCCA9" w14:textId="77777777" w:rsidR="00394B11" w:rsidRPr="00394B11" w:rsidRDefault="00394B11" w:rsidP="00394B11">
            <w:pPr>
              <w:spacing w:after="240" w:line="360" w:lineRule="auto"/>
              <w:jc w:val="center"/>
              <w:cnfStyle w:val="000000100000" w:firstRow="0" w:lastRow="0" w:firstColumn="0" w:lastColumn="0" w:oddVBand="0" w:evenVBand="0" w:oddHBand="1" w:evenHBand="0" w:firstRowFirstColumn="0" w:firstRowLastColumn="0" w:lastRowFirstColumn="0" w:lastRowLastColumn="0"/>
            </w:pPr>
            <w:r w:rsidRPr="00394B11">
              <w:t>Medium</w:t>
            </w:r>
          </w:p>
        </w:tc>
        <w:tc>
          <w:tcPr>
            <w:tcW w:w="0" w:type="auto"/>
            <w:hideMark/>
          </w:tcPr>
          <w:p w14:paraId="29313741" w14:textId="77777777" w:rsidR="00394B11" w:rsidRPr="00394B11" w:rsidRDefault="00394B11" w:rsidP="00394B11">
            <w:pPr>
              <w:spacing w:after="240" w:line="360" w:lineRule="auto"/>
              <w:jc w:val="center"/>
              <w:cnfStyle w:val="000000100000" w:firstRow="0" w:lastRow="0" w:firstColumn="0" w:lastColumn="0" w:oddVBand="0" w:evenVBand="0" w:oddHBand="1" w:evenHBand="0" w:firstRowFirstColumn="0" w:firstRowLastColumn="0" w:lastRowFirstColumn="0" w:lastRowLastColumn="0"/>
            </w:pPr>
            <w:r w:rsidRPr="00394B11">
              <w:t>Low</w:t>
            </w:r>
          </w:p>
        </w:tc>
      </w:tr>
      <w:tr w:rsidR="00394B11" w:rsidRPr="00394B11" w14:paraId="35DBCA09" w14:textId="77777777" w:rsidTr="00394B11">
        <w:trPr>
          <w:trHeight w:val="768"/>
        </w:trPr>
        <w:tc>
          <w:tcPr>
            <w:cnfStyle w:val="001000000000" w:firstRow="0" w:lastRow="0" w:firstColumn="1" w:lastColumn="0" w:oddVBand="0" w:evenVBand="0" w:oddHBand="0" w:evenHBand="0" w:firstRowFirstColumn="0" w:firstRowLastColumn="0" w:lastRowFirstColumn="0" w:lastRowLastColumn="0"/>
            <w:tcW w:w="0" w:type="auto"/>
            <w:hideMark/>
          </w:tcPr>
          <w:p w14:paraId="7E591338" w14:textId="77777777" w:rsidR="00394B11" w:rsidRPr="00394B11" w:rsidRDefault="00394B11" w:rsidP="00394B11">
            <w:pPr>
              <w:spacing w:after="240" w:line="360" w:lineRule="auto"/>
            </w:pPr>
            <w:r w:rsidRPr="00394B11">
              <w:t>Navigation</w:t>
            </w:r>
          </w:p>
        </w:tc>
        <w:tc>
          <w:tcPr>
            <w:tcW w:w="0" w:type="auto"/>
            <w:hideMark/>
          </w:tcPr>
          <w:p w14:paraId="3A43591C" w14:textId="77777777" w:rsidR="00394B11" w:rsidRPr="00394B11" w:rsidRDefault="00394B11" w:rsidP="00394B11">
            <w:pPr>
              <w:spacing w:after="240" w:line="360" w:lineRule="auto"/>
              <w:jc w:val="center"/>
              <w:cnfStyle w:val="000000000000" w:firstRow="0" w:lastRow="0" w:firstColumn="0" w:lastColumn="0" w:oddVBand="0" w:evenVBand="0" w:oddHBand="0" w:evenHBand="0" w:firstRowFirstColumn="0" w:firstRowLastColumn="0" w:lastRowFirstColumn="0" w:lastRowLastColumn="0"/>
            </w:pPr>
            <w:r w:rsidRPr="00394B11">
              <w:t>Good</w:t>
            </w:r>
          </w:p>
        </w:tc>
        <w:tc>
          <w:tcPr>
            <w:tcW w:w="0" w:type="auto"/>
            <w:hideMark/>
          </w:tcPr>
          <w:p w14:paraId="44BE5420" w14:textId="77777777" w:rsidR="00394B11" w:rsidRPr="00394B11" w:rsidRDefault="00394B11" w:rsidP="00394B11">
            <w:pPr>
              <w:spacing w:after="240" w:line="360" w:lineRule="auto"/>
              <w:jc w:val="center"/>
              <w:cnfStyle w:val="000000000000" w:firstRow="0" w:lastRow="0" w:firstColumn="0" w:lastColumn="0" w:oddVBand="0" w:evenVBand="0" w:oddHBand="0" w:evenHBand="0" w:firstRowFirstColumn="0" w:firstRowLastColumn="0" w:lastRowFirstColumn="0" w:lastRowLastColumn="0"/>
            </w:pPr>
            <w:r w:rsidRPr="00394B11">
              <w:t>Moderate</w:t>
            </w:r>
          </w:p>
        </w:tc>
        <w:tc>
          <w:tcPr>
            <w:tcW w:w="0" w:type="auto"/>
            <w:hideMark/>
          </w:tcPr>
          <w:p w14:paraId="54AE1801" w14:textId="77777777" w:rsidR="00394B11" w:rsidRPr="00394B11" w:rsidRDefault="00394B11" w:rsidP="00394B11">
            <w:pPr>
              <w:spacing w:after="240" w:line="360" w:lineRule="auto"/>
              <w:jc w:val="center"/>
              <w:cnfStyle w:val="000000000000" w:firstRow="0" w:lastRow="0" w:firstColumn="0" w:lastColumn="0" w:oddVBand="0" w:evenVBand="0" w:oddHBand="0" w:evenHBand="0" w:firstRowFirstColumn="0" w:firstRowLastColumn="0" w:lastRowFirstColumn="0" w:lastRowLastColumn="0"/>
            </w:pPr>
            <w:r w:rsidRPr="00394B11">
              <w:t>Moderate</w:t>
            </w:r>
          </w:p>
        </w:tc>
      </w:tr>
      <w:tr w:rsidR="00394B11" w:rsidRPr="00394B11" w14:paraId="4B75E0E1" w14:textId="77777777" w:rsidTr="00394B11">
        <w:trPr>
          <w:cnfStyle w:val="000000100000" w:firstRow="0" w:lastRow="0" w:firstColumn="0" w:lastColumn="0" w:oddVBand="0" w:evenVBand="0" w:oddHBand="1" w:evenHBand="0" w:firstRowFirstColumn="0" w:firstRowLastColumn="0" w:lastRowFirstColumn="0" w:lastRowLastColumn="0"/>
          <w:trHeight w:val="768"/>
        </w:trPr>
        <w:tc>
          <w:tcPr>
            <w:cnfStyle w:val="001000000000" w:firstRow="0" w:lastRow="0" w:firstColumn="1" w:lastColumn="0" w:oddVBand="0" w:evenVBand="0" w:oddHBand="0" w:evenHBand="0" w:firstRowFirstColumn="0" w:firstRowLastColumn="0" w:lastRowFirstColumn="0" w:lastRowLastColumn="0"/>
            <w:tcW w:w="0" w:type="auto"/>
            <w:hideMark/>
          </w:tcPr>
          <w:p w14:paraId="4BE295C8" w14:textId="77777777" w:rsidR="00394B11" w:rsidRPr="00394B11" w:rsidRDefault="00394B11" w:rsidP="00394B11">
            <w:pPr>
              <w:spacing w:after="240" w:line="360" w:lineRule="auto"/>
            </w:pPr>
            <w:r w:rsidRPr="00394B11">
              <w:t>Early Help Visibility</w:t>
            </w:r>
          </w:p>
        </w:tc>
        <w:tc>
          <w:tcPr>
            <w:tcW w:w="0" w:type="auto"/>
            <w:hideMark/>
          </w:tcPr>
          <w:p w14:paraId="4E9903AE" w14:textId="77777777" w:rsidR="00394B11" w:rsidRPr="00394B11" w:rsidRDefault="00394B11" w:rsidP="00394B11">
            <w:pPr>
              <w:spacing w:after="240" w:line="360" w:lineRule="auto"/>
              <w:jc w:val="center"/>
              <w:cnfStyle w:val="000000100000" w:firstRow="0" w:lastRow="0" w:firstColumn="0" w:lastColumn="0" w:oddVBand="0" w:evenVBand="0" w:oddHBand="1" w:evenHBand="0" w:firstRowFirstColumn="0" w:firstRowLastColumn="0" w:lastRowFirstColumn="0" w:lastRowLastColumn="0"/>
            </w:pPr>
            <w:r w:rsidRPr="00394B11">
              <w:t>High</w:t>
            </w:r>
          </w:p>
        </w:tc>
        <w:tc>
          <w:tcPr>
            <w:tcW w:w="0" w:type="auto"/>
            <w:hideMark/>
          </w:tcPr>
          <w:p w14:paraId="5F2F04DF" w14:textId="77777777" w:rsidR="00394B11" w:rsidRPr="00394B11" w:rsidRDefault="00394B11" w:rsidP="00394B11">
            <w:pPr>
              <w:spacing w:after="240" w:line="360" w:lineRule="auto"/>
              <w:jc w:val="center"/>
              <w:cnfStyle w:val="000000100000" w:firstRow="0" w:lastRow="0" w:firstColumn="0" w:lastColumn="0" w:oddVBand="0" w:evenVBand="0" w:oddHBand="1" w:evenHBand="0" w:firstRowFirstColumn="0" w:firstRowLastColumn="0" w:lastRowFirstColumn="0" w:lastRowLastColumn="0"/>
            </w:pPr>
            <w:r w:rsidRPr="00394B11">
              <w:t>Medium</w:t>
            </w:r>
          </w:p>
        </w:tc>
        <w:tc>
          <w:tcPr>
            <w:tcW w:w="0" w:type="auto"/>
            <w:hideMark/>
          </w:tcPr>
          <w:p w14:paraId="29DAD6F9" w14:textId="77777777" w:rsidR="00394B11" w:rsidRPr="00394B11" w:rsidRDefault="00394B11" w:rsidP="00394B11">
            <w:pPr>
              <w:spacing w:after="240" w:line="360" w:lineRule="auto"/>
              <w:jc w:val="center"/>
              <w:cnfStyle w:val="000000100000" w:firstRow="0" w:lastRow="0" w:firstColumn="0" w:lastColumn="0" w:oddVBand="0" w:evenVBand="0" w:oddHBand="1" w:evenHBand="0" w:firstRowFirstColumn="0" w:firstRowLastColumn="0" w:lastRowFirstColumn="0" w:lastRowLastColumn="0"/>
            </w:pPr>
            <w:r w:rsidRPr="00394B11">
              <w:t>Medium</w:t>
            </w:r>
          </w:p>
        </w:tc>
      </w:tr>
      <w:tr w:rsidR="00394B11" w:rsidRPr="00394B11" w14:paraId="0037F3A1" w14:textId="77777777" w:rsidTr="00394B11">
        <w:trPr>
          <w:trHeight w:val="768"/>
        </w:trPr>
        <w:tc>
          <w:tcPr>
            <w:cnfStyle w:val="001000000000" w:firstRow="0" w:lastRow="0" w:firstColumn="1" w:lastColumn="0" w:oddVBand="0" w:evenVBand="0" w:oddHBand="0" w:evenHBand="0" w:firstRowFirstColumn="0" w:firstRowLastColumn="0" w:lastRowFirstColumn="0" w:lastRowLastColumn="0"/>
            <w:tcW w:w="0" w:type="auto"/>
            <w:hideMark/>
          </w:tcPr>
          <w:p w14:paraId="0440EA17" w14:textId="77777777" w:rsidR="00394B11" w:rsidRPr="00394B11" w:rsidRDefault="00394B11" w:rsidP="00394B11">
            <w:pPr>
              <w:spacing w:after="240" w:line="360" w:lineRule="auto"/>
            </w:pPr>
            <w:r w:rsidRPr="00394B11">
              <w:t>Multi-Agency Explanation</w:t>
            </w:r>
          </w:p>
        </w:tc>
        <w:tc>
          <w:tcPr>
            <w:tcW w:w="0" w:type="auto"/>
            <w:hideMark/>
          </w:tcPr>
          <w:p w14:paraId="4961195F" w14:textId="77777777" w:rsidR="00394B11" w:rsidRPr="00394B11" w:rsidRDefault="00394B11" w:rsidP="00394B11">
            <w:pPr>
              <w:spacing w:after="240" w:line="360" w:lineRule="auto"/>
              <w:jc w:val="center"/>
              <w:cnfStyle w:val="000000000000" w:firstRow="0" w:lastRow="0" w:firstColumn="0" w:lastColumn="0" w:oddVBand="0" w:evenVBand="0" w:oddHBand="0" w:evenHBand="0" w:firstRowFirstColumn="0" w:firstRowLastColumn="0" w:lastRowFirstColumn="0" w:lastRowLastColumn="0"/>
            </w:pPr>
            <w:r w:rsidRPr="00394B11">
              <w:t>Strong</w:t>
            </w:r>
          </w:p>
        </w:tc>
        <w:tc>
          <w:tcPr>
            <w:tcW w:w="0" w:type="auto"/>
            <w:hideMark/>
          </w:tcPr>
          <w:p w14:paraId="2D172103" w14:textId="77777777" w:rsidR="00394B11" w:rsidRPr="00394B11" w:rsidRDefault="00394B11" w:rsidP="00394B11">
            <w:pPr>
              <w:spacing w:after="240" w:line="360" w:lineRule="auto"/>
              <w:jc w:val="center"/>
              <w:cnfStyle w:val="000000000000" w:firstRow="0" w:lastRow="0" w:firstColumn="0" w:lastColumn="0" w:oddVBand="0" w:evenVBand="0" w:oddHBand="0" w:evenHBand="0" w:firstRowFirstColumn="0" w:firstRowLastColumn="0" w:lastRowFirstColumn="0" w:lastRowLastColumn="0"/>
            </w:pPr>
            <w:r w:rsidRPr="00394B11">
              <w:t>Strong</w:t>
            </w:r>
          </w:p>
        </w:tc>
        <w:tc>
          <w:tcPr>
            <w:tcW w:w="0" w:type="auto"/>
            <w:hideMark/>
          </w:tcPr>
          <w:p w14:paraId="6B5A3F36" w14:textId="77777777" w:rsidR="00394B11" w:rsidRPr="00394B11" w:rsidRDefault="00394B11" w:rsidP="00394B11">
            <w:pPr>
              <w:spacing w:after="240" w:line="360" w:lineRule="auto"/>
              <w:jc w:val="center"/>
              <w:cnfStyle w:val="000000000000" w:firstRow="0" w:lastRow="0" w:firstColumn="0" w:lastColumn="0" w:oddVBand="0" w:evenVBand="0" w:oddHBand="0" w:evenHBand="0" w:firstRowFirstColumn="0" w:firstRowLastColumn="0" w:lastRowFirstColumn="0" w:lastRowLastColumn="0"/>
            </w:pPr>
            <w:r w:rsidRPr="00394B11">
              <w:t>Strong</w:t>
            </w:r>
          </w:p>
        </w:tc>
      </w:tr>
    </w:tbl>
    <w:p w14:paraId="4C3449A1" w14:textId="77777777" w:rsidR="0079693D" w:rsidRDefault="0079693D" w:rsidP="00977B9C">
      <w:pPr>
        <w:rPr>
          <w:b/>
          <w:bCs/>
          <w:u w:val="single"/>
        </w:rPr>
      </w:pPr>
    </w:p>
    <w:p w14:paraId="5C797576" w14:textId="77777777" w:rsidR="0079693D" w:rsidRDefault="0079693D" w:rsidP="00977B9C">
      <w:pPr>
        <w:rPr>
          <w:b/>
          <w:bCs/>
          <w:u w:val="single"/>
        </w:rPr>
      </w:pPr>
    </w:p>
    <w:p w14:paraId="0ED6FA4F" w14:textId="77777777" w:rsidR="0079693D" w:rsidRDefault="0079693D" w:rsidP="00977B9C">
      <w:pPr>
        <w:rPr>
          <w:b/>
          <w:bCs/>
          <w:u w:val="single"/>
        </w:rPr>
      </w:pPr>
    </w:p>
    <w:p w14:paraId="7C0C6E0D" w14:textId="77777777" w:rsidR="0079693D" w:rsidRDefault="0079693D" w:rsidP="00977B9C">
      <w:pPr>
        <w:rPr>
          <w:b/>
          <w:bCs/>
          <w:u w:val="single"/>
        </w:rPr>
      </w:pPr>
    </w:p>
    <w:p w14:paraId="48FC0674" w14:textId="77777777" w:rsidR="0079693D" w:rsidRDefault="0079693D" w:rsidP="00977B9C">
      <w:pPr>
        <w:rPr>
          <w:b/>
          <w:bCs/>
          <w:u w:val="single"/>
        </w:rPr>
      </w:pPr>
    </w:p>
    <w:p w14:paraId="49ABFA73" w14:textId="77777777" w:rsidR="0079693D" w:rsidRDefault="0079693D" w:rsidP="00977B9C">
      <w:pPr>
        <w:rPr>
          <w:b/>
          <w:bCs/>
          <w:u w:val="single"/>
        </w:rPr>
      </w:pPr>
    </w:p>
    <w:p w14:paraId="44786B29" w14:textId="77777777" w:rsidR="0079693D" w:rsidRDefault="0079693D" w:rsidP="00977B9C">
      <w:pPr>
        <w:rPr>
          <w:b/>
          <w:bCs/>
          <w:u w:val="single"/>
        </w:rPr>
      </w:pPr>
    </w:p>
    <w:p w14:paraId="431D1226" w14:textId="77777777" w:rsidR="0079693D" w:rsidRDefault="0079693D" w:rsidP="00977B9C">
      <w:pPr>
        <w:rPr>
          <w:b/>
          <w:bCs/>
          <w:u w:val="single"/>
        </w:rPr>
      </w:pPr>
    </w:p>
    <w:p w14:paraId="45DDE0EB" w14:textId="77777777" w:rsidR="0079693D" w:rsidRDefault="0079693D" w:rsidP="00977B9C">
      <w:pPr>
        <w:rPr>
          <w:b/>
          <w:bCs/>
          <w:u w:val="single"/>
        </w:rPr>
      </w:pPr>
    </w:p>
    <w:p w14:paraId="66CE5FFD" w14:textId="77777777" w:rsidR="0079693D" w:rsidRDefault="0079693D" w:rsidP="00977B9C">
      <w:pPr>
        <w:rPr>
          <w:b/>
          <w:bCs/>
          <w:u w:val="single"/>
        </w:rPr>
      </w:pPr>
    </w:p>
    <w:p w14:paraId="69D02466" w14:textId="77777777" w:rsidR="0079693D" w:rsidRDefault="0079693D" w:rsidP="00977B9C">
      <w:pPr>
        <w:rPr>
          <w:b/>
          <w:bCs/>
          <w:u w:val="single"/>
        </w:rPr>
      </w:pPr>
    </w:p>
    <w:p w14:paraId="70A7439C" w14:textId="0571622E" w:rsidR="00977B9C" w:rsidRPr="00977B9C" w:rsidRDefault="00977B9C" w:rsidP="00977B9C">
      <w:pPr>
        <w:rPr>
          <w:u w:val="single"/>
        </w:rPr>
      </w:pPr>
      <w:r w:rsidRPr="00977B9C">
        <w:rPr>
          <w:b/>
          <w:bCs/>
          <w:u w:val="single"/>
        </w:rPr>
        <w:lastRenderedPageBreak/>
        <w:t>Key Findings</w:t>
      </w:r>
    </w:p>
    <w:p w14:paraId="5BD9AF1B" w14:textId="7400CC79" w:rsidR="00977B9C" w:rsidRPr="00977B9C" w:rsidRDefault="00977B9C" w:rsidP="00977B9C">
      <w:r>
        <w:t xml:space="preserve">Leeds is easily accessible with clear navigation and organised information. The accessibility in Norfolk is moderate, as content is spread out on pages. Southwark is less approachable, as it has complicated professional language use. Leeds is an informative site with simple and comprehensible forms of communication. Norfolk provides an intermediate level of clarity and elaborated but less organised explanations. Southwark is </w:t>
      </w:r>
      <w:r w:rsidR="2D4DAD76">
        <w:t>clear</w:t>
      </w:r>
      <w:r>
        <w:t xml:space="preserve">, but with technical terminology in frequent use. The language used by Leeds is family-friendly and promotes self-user comprehension. Norfolk is written in moderately simple </w:t>
      </w:r>
      <w:r w:rsidR="7031A769">
        <w:t>language but</w:t>
      </w:r>
      <w:r>
        <w:t xml:space="preserve"> is considerably difficult to navigate. Southwark employs less reachable language, lowering the level of family engagement. Leeds is well-navigated, with well-organised access routes to services</w:t>
      </w:r>
      <w:r w:rsidR="008A71AB">
        <w:t xml:space="preserve"> (Keles </w:t>
      </w:r>
      <w:r w:rsidR="008A71AB" w:rsidRPr="59C1E349">
        <w:rPr>
          <w:i/>
          <w:iCs/>
        </w:rPr>
        <w:t>et al.</w:t>
      </w:r>
      <w:r w:rsidR="008A71AB">
        <w:t>, 2025)</w:t>
      </w:r>
      <w:r>
        <w:t>. Norfolk offers medium navigation with numerous page changes often. Southwark offers a moderate way of navigation, which lacks simplified routes of access. Leeds provides high visibility of early help services in sections of the website. Norfolk offers moderate visibility in the online children's services categories. In the prevention and safeguarding parts, Southwark provides moderate visibility.</w:t>
      </w:r>
    </w:p>
    <w:p w14:paraId="491F8D54" w14:textId="37074508" w:rsidR="00977B9C" w:rsidRPr="00977B9C" w:rsidRDefault="00977B9C" w:rsidP="00977B9C">
      <w:r>
        <w:t xml:space="preserve">Multi-agency collaboration in terms of service structures is evident in all councils. Leeds incorporates teamwork in explications that are easy to understand and are posted online. Norfolk shows collaboration in the description of the services that it integrates. Southwark focuses on cooperation via organised professional safeguarding systems on the web. </w:t>
      </w:r>
      <w:r w:rsidR="33C44ADB">
        <w:t>Overall</w:t>
      </w:r>
      <w:r>
        <w:t>, Leeds has the best score on the accessibility, clarity, and usability criteria.</w:t>
      </w:r>
    </w:p>
    <w:p w14:paraId="5A7DA648" w14:textId="77777777" w:rsidR="00977B9C" w:rsidRPr="00977B9C" w:rsidRDefault="00977B9C" w:rsidP="00977B9C">
      <w:pPr>
        <w:pStyle w:val="Heading1"/>
      </w:pPr>
      <w:bookmarkStart w:id="8" w:name="_Toc227292612"/>
      <w:r w:rsidRPr="00977B9C">
        <w:t>6. Conclusion and Recommendations</w:t>
      </w:r>
      <w:bookmarkEnd w:id="8"/>
    </w:p>
    <w:p w14:paraId="0CCA73A1" w14:textId="7665E6E3" w:rsidR="00977B9C" w:rsidRDefault="00D14365" w:rsidP="00D14365">
      <w:pPr>
        <w:pStyle w:val="Heading2"/>
      </w:pPr>
      <w:bookmarkStart w:id="9" w:name="_Toc227292613"/>
      <w:r>
        <w:t xml:space="preserve">6.1 </w:t>
      </w:r>
      <w:r w:rsidR="00977B9C" w:rsidRPr="00977B9C">
        <w:t>Conclusion</w:t>
      </w:r>
      <w:bookmarkEnd w:id="9"/>
    </w:p>
    <w:p w14:paraId="2160FF09" w14:textId="6CC9A119" w:rsidR="00977B9C" w:rsidRPr="00977B9C" w:rsidRDefault="00977B9C" w:rsidP="00977B9C">
      <w:r>
        <w:t xml:space="preserve">In conclusion, Early Help provision </w:t>
      </w:r>
      <w:r w:rsidR="1D49BBDD">
        <w:t>is always in line with the national safeguarding policy requirements</w:t>
      </w:r>
      <w:r>
        <w:t xml:space="preserve">. All three local authorities prove to </w:t>
      </w:r>
      <w:r w:rsidR="048B78CF">
        <w:t>be following</w:t>
      </w:r>
      <w:r>
        <w:t xml:space="preserve"> the statutory safeguarding frameworks well. Nevertheless, there is a large difference between the accessibility of various local authority websites in general. The best overall communication of Early Help is provided by Leeds City Council</w:t>
      </w:r>
      <w:r w:rsidR="00780A0D">
        <w:t xml:space="preserve"> (Murage </w:t>
      </w:r>
      <w:r w:rsidR="00780A0D" w:rsidRPr="59C1E349">
        <w:rPr>
          <w:i/>
          <w:iCs/>
        </w:rPr>
        <w:t>et al.</w:t>
      </w:r>
      <w:r w:rsidR="00780A0D">
        <w:t>, 2025)</w:t>
      </w:r>
      <w:r>
        <w:t xml:space="preserve">. It helps families by providing easy routes of service. Norfolk and Southwark offer good content but poor accessibility </w:t>
      </w:r>
      <w:r>
        <w:lastRenderedPageBreak/>
        <w:t>for their users. Leeds is the most effective, as it is clear, structured, and easy to use. It is most aligned with the principles of early help system accessibility. It makes sure that families have access to support services in a timely and effective manner.</w:t>
      </w:r>
    </w:p>
    <w:p w14:paraId="2124BECF" w14:textId="4F46FBF9" w:rsidR="00977B9C" w:rsidRPr="00977B9C" w:rsidRDefault="00D14365" w:rsidP="00D14365">
      <w:pPr>
        <w:pStyle w:val="Heading2"/>
      </w:pPr>
      <w:bookmarkStart w:id="10" w:name="_Toc227292614"/>
      <w:r>
        <w:t xml:space="preserve">6.2 </w:t>
      </w:r>
      <w:r w:rsidR="00977B9C" w:rsidRPr="00977B9C">
        <w:t>Recommendations</w:t>
      </w:r>
      <w:bookmarkEnd w:id="10"/>
    </w:p>
    <w:p w14:paraId="19B8CA11" w14:textId="77777777" w:rsidR="00977B9C" w:rsidRPr="00977B9C" w:rsidRDefault="00977B9C" w:rsidP="00977B9C">
      <w:r w:rsidRPr="00977B9C">
        <w:t>Early Help communication within the local authorities should be enhanced using digital redesign strategies.</w:t>
      </w:r>
    </w:p>
    <w:p w14:paraId="612CB0DC" w14:textId="77777777" w:rsidR="00977B9C" w:rsidRPr="00977B9C" w:rsidRDefault="00977B9C" w:rsidP="00977B9C">
      <w:pPr>
        <w:numPr>
          <w:ilvl w:val="0"/>
          <w:numId w:val="11"/>
        </w:numPr>
      </w:pPr>
      <w:r w:rsidRPr="00977B9C">
        <w:t>They are supposed to develop single landing pages of Early Help to the users. They ought to use simple language to enhance family knowledge on services.</w:t>
      </w:r>
    </w:p>
    <w:p w14:paraId="0A89DB17" w14:textId="1C3F13B5" w:rsidR="00977B9C" w:rsidRPr="00977B9C" w:rsidRDefault="00977B9C" w:rsidP="00977B9C">
      <w:pPr>
        <w:numPr>
          <w:ilvl w:val="0"/>
          <w:numId w:val="11"/>
        </w:numPr>
      </w:pPr>
      <w:r>
        <w:t>They need to come up with interactive guidance for early help assessment. They ought to enhance the visibility of Early Help information sections on the homepages</w:t>
      </w:r>
      <w:r w:rsidR="00070B21">
        <w:t xml:space="preserve"> (</w:t>
      </w:r>
      <w:r w:rsidR="1D38D223">
        <w:t>Greensand</w:t>
      </w:r>
      <w:r w:rsidR="00070B21">
        <w:t xml:space="preserve"> </w:t>
      </w:r>
      <w:r w:rsidR="00070B21" w:rsidRPr="59C1E349">
        <w:rPr>
          <w:i/>
          <w:iCs/>
        </w:rPr>
        <w:t>et al.</w:t>
      </w:r>
      <w:r w:rsidR="00070B21">
        <w:t>, 2025)</w:t>
      </w:r>
      <w:r>
        <w:t>.</w:t>
      </w:r>
    </w:p>
    <w:p w14:paraId="3C7F122B" w14:textId="77777777" w:rsidR="00E61859" w:rsidRDefault="00977B9C" w:rsidP="00693746">
      <w:pPr>
        <w:numPr>
          <w:ilvl w:val="0"/>
          <w:numId w:val="11"/>
        </w:numPr>
      </w:pPr>
      <w:r>
        <w:t xml:space="preserve">They ought to minimise </w:t>
      </w:r>
      <w:r w:rsidR="13721933">
        <w:t xml:space="preserve">the </w:t>
      </w:r>
      <w:r>
        <w:t xml:space="preserve">repetition of information on different webpages. Also, local authorities can </w:t>
      </w:r>
      <w:r w:rsidR="4C9E2C79">
        <w:t>consider</w:t>
      </w:r>
      <w:r>
        <w:t xml:space="preserve"> the use of user feedback to constantly improve the digital experience</w:t>
      </w:r>
      <w:r w:rsidR="00E61859">
        <w:t xml:space="preserve">. </w:t>
      </w:r>
    </w:p>
    <w:p w14:paraId="16B06B05" w14:textId="5A95B64A" w:rsidR="000017C9" w:rsidRDefault="00977B9C" w:rsidP="00693746">
      <w:pPr>
        <w:numPr>
          <w:ilvl w:val="0"/>
          <w:numId w:val="11"/>
        </w:numPr>
      </w:pPr>
      <w:r w:rsidRPr="00977B9C">
        <w:t>They also need to offer training to staff to properly use and advertise the remodelled digital platform of Early Help services.</w:t>
      </w:r>
    </w:p>
    <w:p w14:paraId="4512F4B7" w14:textId="77777777" w:rsidR="000017C9" w:rsidRDefault="000017C9">
      <w:r>
        <w:br w:type="page"/>
      </w:r>
    </w:p>
    <w:p w14:paraId="1AF1D8E2" w14:textId="0F357478" w:rsidR="00817077" w:rsidRDefault="000017C9" w:rsidP="000017C9">
      <w:pPr>
        <w:pStyle w:val="Heading1"/>
      </w:pPr>
      <w:bookmarkStart w:id="11" w:name="_Toc227292615"/>
      <w:r>
        <w:lastRenderedPageBreak/>
        <w:t>7. References</w:t>
      </w:r>
      <w:bookmarkEnd w:id="11"/>
    </w:p>
    <w:p w14:paraId="4A75D56F" w14:textId="6EC51080" w:rsidR="00A9122B" w:rsidRPr="00A9122B" w:rsidRDefault="00A9122B" w:rsidP="00A9122B">
      <w:r>
        <w:t xml:space="preserve">Bosmans, J., </w:t>
      </w:r>
      <w:r w:rsidR="1C3D6EFF">
        <w:t>Moyer</w:t>
      </w:r>
      <w:r>
        <w:t xml:space="preserve">, J., van </w:t>
      </w:r>
      <w:r w:rsidR="46DF8A8E">
        <w:t>Artevelde</w:t>
      </w:r>
      <w:r>
        <w:t xml:space="preserve">, J. and Gillebert, C.R. (2026) ‘Navigational difficulties after stroke: a systematic review and meta-analysis’, </w:t>
      </w:r>
      <w:r w:rsidRPr="59C1E349">
        <w:rPr>
          <w:i/>
          <w:iCs/>
        </w:rPr>
        <w:t>Clinical Neuropsychologist</w:t>
      </w:r>
      <w:r>
        <w:t xml:space="preserve">, 40(1), pp. 50–78. </w:t>
      </w:r>
      <w:hyperlink r:id="rId8">
        <w:r w:rsidRPr="59C1E349">
          <w:rPr>
            <w:rStyle w:val="Hyperlink"/>
          </w:rPr>
          <w:t>https://doi.org/10.1080/13854046.2025.2498044</w:t>
        </w:r>
      </w:hyperlink>
    </w:p>
    <w:p w14:paraId="2589EFAC" w14:textId="27071BF3" w:rsidR="00A9122B" w:rsidRPr="00A9122B" w:rsidRDefault="00A9122B" w:rsidP="00A9122B">
      <w:r>
        <w:t xml:space="preserve">Claussen, A.H., Holbrook, J.R., Hutchins, H.J., Robinson, L.R., Bloomfield, J., Meng, L., Bitsko, R.H., </w:t>
      </w:r>
      <w:r w:rsidR="7A05AEF7">
        <w:t>Omasa</w:t>
      </w:r>
      <w:r>
        <w:t xml:space="preserve">, B., </w:t>
      </w:r>
      <w:r w:rsidR="5457D400">
        <w:t>Celes</w:t>
      </w:r>
      <w:r>
        <w:t xml:space="preserve">, A., Maher, B., Rush, M. and Kaminski, J.W. (2024) ‘All in the family? A systematic review and meta-analysis of parenting and family environment as risk factors for attention-deficit/hyperactivity disorder (ADHD) in children’, </w:t>
      </w:r>
      <w:r w:rsidRPr="59C1E349">
        <w:rPr>
          <w:i/>
          <w:iCs/>
        </w:rPr>
        <w:t>Prevention Science</w:t>
      </w:r>
      <w:r>
        <w:t>, 25(</w:t>
      </w:r>
      <w:r w:rsidR="669C8319">
        <w:t>Supple</w:t>
      </w:r>
      <w:r>
        <w:t xml:space="preserve"> 2), pp. 249–271. </w:t>
      </w:r>
      <w:hyperlink r:id="rId9">
        <w:r w:rsidRPr="59C1E349">
          <w:rPr>
            <w:rStyle w:val="Hyperlink"/>
          </w:rPr>
          <w:t>https://doi.org/10.1007/s11121-022-01358-4</w:t>
        </w:r>
      </w:hyperlink>
    </w:p>
    <w:p w14:paraId="37BC65FD" w14:textId="0D0DFD02" w:rsidR="00A9122B" w:rsidRPr="00A9122B" w:rsidRDefault="00A9122B" w:rsidP="00A9122B">
      <w:r>
        <w:t xml:space="preserve">Davidson, L., Carter, H., Drury, J., </w:t>
      </w:r>
      <w:r w:rsidR="5EFD062E">
        <w:t>Amlo</w:t>
      </w:r>
      <w:r>
        <w:t xml:space="preserve">, R. and Haslam, S.A. (2024) ‘Exploring the relationship between shared identity and interoperability: a mixed methods analysis of discussion-based multi-agency emergency response exercises’, </w:t>
      </w:r>
      <w:r w:rsidRPr="59C1E349">
        <w:rPr>
          <w:i/>
          <w:iCs/>
        </w:rPr>
        <w:t>Policing and Society</w:t>
      </w:r>
      <w:r>
        <w:t xml:space="preserve">, 35(1), pp. 118–134. </w:t>
      </w:r>
      <w:hyperlink r:id="rId10">
        <w:r w:rsidRPr="59C1E349">
          <w:rPr>
            <w:rStyle w:val="Hyperlink"/>
          </w:rPr>
          <w:t>https://doi.org/10.1080/10439463.2024.2374834</w:t>
        </w:r>
      </w:hyperlink>
    </w:p>
    <w:p w14:paraId="51A15FD8" w14:textId="77777777" w:rsidR="00A9122B" w:rsidRPr="00A9122B" w:rsidRDefault="00A9122B" w:rsidP="00A9122B">
      <w:r w:rsidRPr="00A9122B">
        <w:t xml:space="preserve">Deahl, M. (2024) ‘Operational mental health… what practitioners and commanders should know’, </w:t>
      </w:r>
      <w:r w:rsidRPr="00A9122B">
        <w:rPr>
          <w:i/>
          <w:iCs/>
        </w:rPr>
        <w:t>International Journal of Social Psychiatry</w:t>
      </w:r>
      <w:r w:rsidRPr="00A9122B">
        <w:t xml:space="preserve">, 70(7), pp. 1234–1238. </w:t>
      </w:r>
      <w:hyperlink r:id="rId11" w:tgtFrame="_blank" w:history="1">
        <w:r w:rsidRPr="00A9122B">
          <w:rPr>
            <w:rStyle w:val="Hyperlink"/>
          </w:rPr>
          <w:t>https://doi.org/10.1177/00207640241261208</w:t>
        </w:r>
      </w:hyperlink>
    </w:p>
    <w:p w14:paraId="36E6BF81" w14:textId="46F4CE62" w:rsidR="00A9122B" w:rsidRPr="00A9122B" w:rsidRDefault="1C0190E7" w:rsidP="00A9122B">
      <w:r>
        <w:t>Greensand</w:t>
      </w:r>
      <w:r w:rsidR="00A9122B">
        <w:t xml:space="preserve">, K.A., Hatch, C.C., Revette, A.C., Villanueva, O.P., Kenney, L.B., Mack, J.W. and Vrooman, L.M. (2025) ‘Help navigate the process: early information and communication about late effects of </w:t>
      </w:r>
      <w:r w:rsidR="1EE2EE72">
        <w:t>paediatric</w:t>
      </w:r>
      <w:r w:rsidR="00A9122B">
        <w:t xml:space="preserve"> and adolescent cancer’, </w:t>
      </w:r>
      <w:r w:rsidR="00A9122B" w:rsidRPr="59C1E349">
        <w:rPr>
          <w:i/>
          <w:iCs/>
        </w:rPr>
        <w:t>JCO Oncology Practice</w:t>
      </w:r>
      <w:r w:rsidR="00A9122B">
        <w:t xml:space="preserve">, 21(10), pp. 1494–1501. </w:t>
      </w:r>
      <w:hyperlink r:id="rId12">
        <w:r w:rsidR="00A9122B" w:rsidRPr="59C1E349">
          <w:rPr>
            <w:rStyle w:val="Hyperlink"/>
          </w:rPr>
          <w:t>https://doi.org/10.1200/OP-24-00841</w:t>
        </w:r>
      </w:hyperlink>
    </w:p>
    <w:p w14:paraId="4D4D9021" w14:textId="2750417D" w:rsidR="00A9122B" w:rsidRPr="00A9122B" w:rsidRDefault="00A9122B" w:rsidP="00A9122B">
      <w:r w:rsidRPr="59C1E349">
        <w:rPr>
          <w:lang w:val="fr-FR"/>
        </w:rPr>
        <w:t xml:space="preserve">Kirakosyan, V. and Veuillet-Combier, C. (2024) ‘Étude des liens </w:t>
      </w:r>
      <w:r w:rsidR="00AE4A6B">
        <w:rPr>
          <w:lang w:val="fr-FR"/>
        </w:rPr>
        <w:t>familiaux</w:t>
      </w:r>
      <w:r w:rsidRPr="59C1E349">
        <w:rPr>
          <w:lang w:val="fr-FR"/>
        </w:rPr>
        <w:t xml:space="preserve"> des adolescents et des jeunes adultes atteints de cancer, et libre-réalisation de l’arbre généalogique’, </w:t>
      </w:r>
      <w:r w:rsidRPr="59C1E349">
        <w:rPr>
          <w:i/>
          <w:iCs/>
          <w:lang w:val="fr-FR"/>
        </w:rPr>
        <w:t>Recherche en Soins Infirmiers</w:t>
      </w:r>
      <w:r w:rsidRPr="59C1E349">
        <w:rPr>
          <w:lang w:val="fr-FR"/>
        </w:rPr>
        <w:t xml:space="preserve">, 157(2), pp. 42–54. </w:t>
      </w:r>
      <w:hyperlink r:id="rId13">
        <w:r w:rsidRPr="59C1E349">
          <w:rPr>
            <w:rStyle w:val="Hyperlink"/>
            <w:lang w:val="fr-FR"/>
          </w:rPr>
          <w:t>https://doi.org/10.3917/rsi.157.0042</w:t>
        </w:r>
      </w:hyperlink>
    </w:p>
    <w:p w14:paraId="339F1AC8" w14:textId="33203F4A" w:rsidR="00A9122B" w:rsidRPr="00A9122B" w:rsidRDefault="00A9122B" w:rsidP="00A9122B">
      <w:r>
        <w:t>Keles, U., Kalem-</w:t>
      </w:r>
      <w:r w:rsidR="0CA16F2B">
        <w:t>Yapa</w:t>
      </w:r>
      <w:r>
        <w:t xml:space="preserve">, N.E., Hultén, H., Zhao, L.N. and Kaldis, P. (2025) ‘Impact of short-term lipid overload on whole-body physiology’, </w:t>
      </w:r>
      <w:r w:rsidRPr="59C1E349">
        <w:rPr>
          <w:i/>
          <w:iCs/>
        </w:rPr>
        <w:t>Molecular and Cellular Biology</w:t>
      </w:r>
      <w:r>
        <w:t xml:space="preserve">, 45(2), pp. 47–58. </w:t>
      </w:r>
      <w:hyperlink r:id="rId14">
        <w:r w:rsidRPr="59C1E349">
          <w:rPr>
            <w:rStyle w:val="Hyperlink"/>
          </w:rPr>
          <w:t>https://doi.org/10.1080/10985549.2024.2438814</w:t>
        </w:r>
      </w:hyperlink>
    </w:p>
    <w:p w14:paraId="79D3277F" w14:textId="25504F49" w:rsidR="00A9122B" w:rsidRPr="00A9122B" w:rsidRDefault="00A9122B" w:rsidP="00A9122B">
      <w:r>
        <w:lastRenderedPageBreak/>
        <w:t xml:space="preserve">Murage, P., Hicks, C., Kapos, V., Naidoo, S., Hassan, S. and </w:t>
      </w:r>
      <w:r w:rsidR="1AAB8169">
        <w:t>Whitmer</w:t>
      </w:r>
      <w:r>
        <w:t xml:space="preserve">, S. (2025) ‘Safeguarding natural ecosystems can protect population health: advancing approaches to bridge the health-ecology divide’, </w:t>
      </w:r>
      <w:r w:rsidRPr="59C1E349">
        <w:rPr>
          <w:i/>
          <w:iCs/>
        </w:rPr>
        <w:t>The Lancet Planetary Health</w:t>
      </w:r>
      <w:r>
        <w:t xml:space="preserve">, 9(12), p. 101377. </w:t>
      </w:r>
      <w:hyperlink r:id="rId15">
        <w:r w:rsidRPr="59C1E349">
          <w:rPr>
            <w:rStyle w:val="Hyperlink"/>
          </w:rPr>
          <w:t>https://doi.org/10.1016/j.lanplh.2025.101377</w:t>
        </w:r>
      </w:hyperlink>
    </w:p>
    <w:p w14:paraId="349F1FDC" w14:textId="36587E4A" w:rsidR="00A9122B" w:rsidRPr="00A9122B" w:rsidRDefault="1F71F5B0" w:rsidP="00A9122B">
      <w:r>
        <w:t>Harkle</w:t>
      </w:r>
      <w:r w:rsidR="00A9122B">
        <w:t xml:space="preserve">, S.A., John, D.A., Adams, E.A., Harland, J., Kaner, E. and Ramsay, S.E. (2025) ‘Learning from a multi-agency trauma-informed care training initiative supporting people experiencing homelessness in rural and coastal areas: a qualitative study’, </w:t>
      </w:r>
      <w:r w:rsidR="00A9122B" w:rsidRPr="59C1E349">
        <w:rPr>
          <w:i/>
          <w:iCs/>
        </w:rPr>
        <w:t>BMC Health Services Research</w:t>
      </w:r>
      <w:r w:rsidR="00A9122B">
        <w:t xml:space="preserve">, 25(1), p. 1175. </w:t>
      </w:r>
      <w:hyperlink r:id="rId16">
        <w:r w:rsidR="00A9122B" w:rsidRPr="59C1E349">
          <w:rPr>
            <w:rStyle w:val="Hyperlink"/>
          </w:rPr>
          <w:t>https://doi.org/10.1186/s12913-025-13371-8</w:t>
        </w:r>
      </w:hyperlink>
    </w:p>
    <w:p w14:paraId="579603FA" w14:textId="616418A7" w:rsidR="00A9122B" w:rsidRPr="00A9122B" w:rsidRDefault="00A9122B" w:rsidP="00A9122B">
      <w:r>
        <w:t xml:space="preserve">Unseld, L.H., Hildebrand, L.S., Putz, F., Büttner-Herold, M., Daniel, C., </w:t>
      </w:r>
      <w:r w:rsidR="54648B6C">
        <w:t>Faletau</w:t>
      </w:r>
      <w:r>
        <w:t xml:space="preserve">, R. and Distel, L.V. (2023) ‘Non-professional phagocytosis increases in melanoma cells and tissues with increasing E-cadherin expression’, </w:t>
      </w:r>
      <w:r w:rsidRPr="59C1E349">
        <w:rPr>
          <w:i/>
          <w:iCs/>
        </w:rPr>
        <w:t>Current Oncology</w:t>
      </w:r>
      <w:r>
        <w:t xml:space="preserve">, 30(8), pp. 7542–7552. </w:t>
      </w:r>
      <w:hyperlink r:id="rId17">
        <w:r w:rsidRPr="59C1E349">
          <w:rPr>
            <w:rStyle w:val="Hyperlink"/>
          </w:rPr>
          <w:t>https://doi.org/10.3390/curroncol30080547</w:t>
        </w:r>
      </w:hyperlink>
    </w:p>
    <w:p w14:paraId="31236B7B" w14:textId="5D4FD2B7" w:rsidR="00A9122B" w:rsidRPr="00A9122B" w:rsidRDefault="00A9122B" w:rsidP="00A9122B">
      <w:r>
        <w:t xml:space="preserve">Wilkinson, A.L., </w:t>
      </w:r>
      <w:r w:rsidR="0DA5A903">
        <w:t>Zoran</w:t>
      </w:r>
      <w:r>
        <w:t xml:space="preserve">, I. and Rugg-Gunn, P.J. (2023) ‘Epigenetic regulation of early human embryo development’, </w:t>
      </w:r>
      <w:r w:rsidRPr="59C1E349">
        <w:rPr>
          <w:i/>
          <w:iCs/>
        </w:rPr>
        <w:t>Cell Stem Cell</w:t>
      </w:r>
      <w:r>
        <w:t xml:space="preserve">, 30(12), pp. 1569–1584. </w:t>
      </w:r>
      <w:hyperlink r:id="rId18">
        <w:r w:rsidRPr="59C1E349">
          <w:rPr>
            <w:rStyle w:val="Hyperlink"/>
          </w:rPr>
          <w:t>https://doi.org/10.1016/j.stem.2023.09.010</w:t>
        </w:r>
      </w:hyperlink>
    </w:p>
    <w:p w14:paraId="36DF2979" w14:textId="77777777" w:rsidR="00A9122B" w:rsidRPr="00A9122B" w:rsidRDefault="00A9122B" w:rsidP="00A9122B">
      <w:r w:rsidRPr="00A9122B">
        <w:t xml:space="preserve">Working Together to Safeguard Children (2023) </w:t>
      </w:r>
      <w:r w:rsidRPr="00A9122B">
        <w:rPr>
          <w:i/>
          <w:iCs/>
        </w:rPr>
        <w:t>Working together to safeguard children: statutory guidance</w:t>
      </w:r>
      <w:r w:rsidRPr="00A9122B">
        <w:t xml:space="preserve">. Available at: </w:t>
      </w:r>
      <w:hyperlink r:id="rId19" w:tgtFrame="_blank" w:history="1">
        <w:r w:rsidRPr="00A9122B">
          <w:rPr>
            <w:rStyle w:val="Hyperlink"/>
          </w:rPr>
          <w:t>https://www.gov.uk/government/publications/working-together-to-safeguard-children--2</w:t>
        </w:r>
      </w:hyperlink>
    </w:p>
    <w:p w14:paraId="7594B92D" w14:textId="77777777" w:rsidR="000017C9" w:rsidRPr="000017C9" w:rsidRDefault="000017C9" w:rsidP="000017C9"/>
    <w:sectPr w:rsidR="000017C9" w:rsidRPr="000017C9" w:rsidSect="00406C7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WlArq9w0U4BBVP" int2:id="rXlZIWW6">
      <int2:state int2:value="Rejected" int2:type="spell"/>
    </int2:textHash>
    <int2:textHash int2:hashCode="q0ZR821/1sYMF+" int2:id="CWXZfydh">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544A33"/>
    <w:multiLevelType w:val="multilevel"/>
    <w:tmpl w:val="AEC41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2C7E0F"/>
    <w:multiLevelType w:val="multilevel"/>
    <w:tmpl w:val="BA90D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49245F"/>
    <w:multiLevelType w:val="multilevel"/>
    <w:tmpl w:val="1F569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006AB2"/>
    <w:multiLevelType w:val="multilevel"/>
    <w:tmpl w:val="21D44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396C2D"/>
    <w:multiLevelType w:val="multilevel"/>
    <w:tmpl w:val="83B05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F17105C"/>
    <w:multiLevelType w:val="multilevel"/>
    <w:tmpl w:val="8C1A3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76943B3"/>
    <w:multiLevelType w:val="multilevel"/>
    <w:tmpl w:val="D0E68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8CD170C"/>
    <w:multiLevelType w:val="multilevel"/>
    <w:tmpl w:val="B9882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A040272"/>
    <w:multiLevelType w:val="multilevel"/>
    <w:tmpl w:val="E72AC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DE1476F"/>
    <w:multiLevelType w:val="multilevel"/>
    <w:tmpl w:val="4BA0B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5D61F15"/>
    <w:multiLevelType w:val="multilevel"/>
    <w:tmpl w:val="2A209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101045E"/>
    <w:multiLevelType w:val="multilevel"/>
    <w:tmpl w:val="5574D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1854846"/>
    <w:multiLevelType w:val="multilevel"/>
    <w:tmpl w:val="DAE2A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BAF2F0D"/>
    <w:multiLevelType w:val="multilevel"/>
    <w:tmpl w:val="7B502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07523991">
    <w:abstractNumId w:val="3"/>
  </w:num>
  <w:num w:numId="2" w16cid:durableId="748119034">
    <w:abstractNumId w:val="8"/>
  </w:num>
  <w:num w:numId="3" w16cid:durableId="1968852414">
    <w:abstractNumId w:val="4"/>
  </w:num>
  <w:num w:numId="4" w16cid:durableId="790830706">
    <w:abstractNumId w:val="13"/>
  </w:num>
  <w:num w:numId="5" w16cid:durableId="610740661">
    <w:abstractNumId w:val="7"/>
  </w:num>
  <w:num w:numId="6" w16cid:durableId="1779791263">
    <w:abstractNumId w:val="1"/>
  </w:num>
  <w:num w:numId="7" w16cid:durableId="1568758492">
    <w:abstractNumId w:val="10"/>
  </w:num>
  <w:num w:numId="8" w16cid:durableId="125783115">
    <w:abstractNumId w:val="5"/>
  </w:num>
  <w:num w:numId="9" w16cid:durableId="604465516">
    <w:abstractNumId w:val="2"/>
  </w:num>
  <w:num w:numId="10" w16cid:durableId="1228691333">
    <w:abstractNumId w:val="12"/>
  </w:num>
  <w:num w:numId="11" w16cid:durableId="1076047931">
    <w:abstractNumId w:val="6"/>
  </w:num>
  <w:num w:numId="12" w16cid:durableId="372998047">
    <w:abstractNumId w:val="9"/>
  </w:num>
  <w:num w:numId="13" w16cid:durableId="708726879">
    <w:abstractNumId w:val="11"/>
  </w:num>
  <w:num w:numId="14" w16cid:durableId="5037899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6EA"/>
    <w:rsid w:val="000017C9"/>
    <w:rsid w:val="00002B70"/>
    <w:rsid w:val="00011F6A"/>
    <w:rsid w:val="000376AE"/>
    <w:rsid w:val="00043A73"/>
    <w:rsid w:val="000656EA"/>
    <w:rsid w:val="00070B21"/>
    <w:rsid w:val="00085EBF"/>
    <w:rsid w:val="00090B27"/>
    <w:rsid w:val="0013756A"/>
    <w:rsid w:val="00145A72"/>
    <w:rsid w:val="001700B8"/>
    <w:rsid w:val="0018151C"/>
    <w:rsid w:val="001E4F91"/>
    <w:rsid w:val="00250608"/>
    <w:rsid w:val="002C52F5"/>
    <w:rsid w:val="003272C8"/>
    <w:rsid w:val="00327BAC"/>
    <w:rsid w:val="0034754C"/>
    <w:rsid w:val="00347D3F"/>
    <w:rsid w:val="00394B11"/>
    <w:rsid w:val="003E051F"/>
    <w:rsid w:val="003F389A"/>
    <w:rsid w:val="00401531"/>
    <w:rsid w:val="00406C75"/>
    <w:rsid w:val="00407DD4"/>
    <w:rsid w:val="00443AA6"/>
    <w:rsid w:val="004634E7"/>
    <w:rsid w:val="004C23F7"/>
    <w:rsid w:val="005169B7"/>
    <w:rsid w:val="00525143"/>
    <w:rsid w:val="00566DEB"/>
    <w:rsid w:val="00570704"/>
    <w:rsid w:val="006547E1"/>
    <w:rsid w:val="00693746"/>
    <w:rsid w:val="006E59EF"/>
    <w:rsid w:val="007647D9"/>
    <w:rsid w:val="00775CF8"/>
    <w:rsid w:val="00780A0D"/>
    <w:rsid w:val="00784DDC"/>
    <w:rsid w:val="00795A7E"/>
    <w:rsid w:val="0079693D"/>
    <w:rsid w:val="007F4283"/>
    <w:rsid w:val="00817077"/>
    <w:rsid w:val="008854E9"/>
    <w:rsid w:val="008A71AB"/>
    <w:rsid w:val="0095143F"/>
    <w:rsid w:val="00964875"/>
    <w:rsid w:val="00977B9C"/>
    <w:rsid w:val="009835EE"/>
    <w:rsid w:val="009E2305"/>
    <w:rsid w:val="009F10EF"/>
    <w:rsid w:val="00A14C1C"/>
    <w:rsid w:val="00A9122B"/>
    <w:rsid w:val="00AE4A6B"/>
    <w:rsid w:val="00B8608F"/>
    <w:rsid w:val="00BC0277"/>
    <w:rsid w:val="00C0475D"/>
    <w:rsid w:val="00C40CCD"/>
    <w:rsid w:val="00C61767"/>
    <w:rsid w:val="00CA5541"/>
    <w:rsid w:val="00CE7D88"/>
    <w:rsid w:val="00D14365"/>
    <w:rsid w:val="00D76689"/>
    <w:rsid w:val="00E61859"/>
    <w:rsid w:val="00E82E31"/>
    <w:rsid w:val="00EA0784"/>
    <w:rsid w:val="00EB2750"/>
    <w:rsid w:val="00F1304B"/>
    <w:rsid w:val="00F64E5C"/>
    <w:rsid w:val="016FA764"/>
    <w:rsid w:val="048B78CF"/>
    <w:rsid w:val="059CE8E6"/>
    <w:rsid w:val="0CA16F2B"/>
    <w:rsid w:val="0DA5A903"/>
    <w:rsid w:val="0E976FCB"/>
    <w:rsid w:val="0F3006EA"/>
    <w:rsid w:val="11192228"/>
    <w:rsid w:val="1155A4DC"/>
    <w:rsid w:val="12394103"/>
    <w:rsid w:val="13721933"/>
    <w:rsid w:val="15B72D25"/>
    <w:rsid w:val="1710F90C"/>
    <w:rsid w:val="1820E344"/>
    <w:rsid w:val="18411290"/>
    <w:rsid w:val="18D7D9EC"/>
    <w:rsid w:val="1A13330B"/>
    <w:rsid w:val="1A1C0D6C"/>
    <w:rsid w:val="1AAB8169"/>
    <w:rsid w:val="1AF1A01C"/>
    <w:rsid w:val="1C0190E7"/>
    <w:rsid w:val="1C3D6EFF"/>
    <w:rsid w:val="1D38D223"/>
    <w:rsid w:val="1D49BBDD"/>
    <w:rsid w:val="1EE2EE72"/>
    <w:rsid w:val="1F71F5B0"/>
    <w:rsid w:val="204CDA9A"/>
    <w:rsid w:val="26F7CF18"/>
    <w:rsid w:val="28A1142E"/>
    <w:rsid w:val="298C935B"/>
    <w:rsid w:val="2A76FC7C"/>
    <w:rsid w:val="2A78433B"/>
    <w:rsid w:val="2C45B9A9"/>
    <w:rsid w:val="2D4DAD76"/>
    <w:rsid w:val="2DEBDE1A"/>
    <w:rsid w:val="2E422384"/>
    <w:rsid w:val="2E62C858"/>
    <w:rsid w:val="2EFAAFA8"/>
    <w:rsid w:val="32E439FC"/>
    <w:rsid w:val="32FB02BA"/>
    <w:rsid w:val="335E53BE"/>
    <w:rsid w:val="33C44ADB"/>
    <w:rsid w:val="3745167B"/>
    <w:rsid w:val="393608BA"/>
    <w:rsid w:val="3A91E199"/>
    <w:rsid w:val="3AAB1553"/>
    <w:rsid w:val="3B6DA290"/>
    <w:rsid w:val="3BB9D977"/>
    <w:rsid w:val="3C6C1221"/>
    <w:rsid w:val="3DE49449"/>
    <w:rsid w:val="41A7B12B"/>
    <w:rsid w:val="4317F765"/>
    <w:rsid w:val="443D91A7"/>
    <w:rsid w:val="46B421B5"/>
    <w:rsid w:val="46DF8A8E"/>
    <w:rsid w:val="47C546F1"/>
    <w:rsid w:val="490335F4"/>
    <w:rsid w:val="49E6E50C"/>
    <w:rsid w:val="4C3BCB1D"/>
    <w:rsid w:val="4C9E2C79"/>
    <w:rsid w:val="4CDB1155"/>
    <w:rsid w:val="4D974847"/>
    <w:rsid w:val="4E07C772"/>
    <w:rsid w:val="4F5B0D47"/>
    <w:rsid w:val="5027DA03"/>
    <w:rsid w:val="52515A5C"/>
    <w:rsid w:val="5395C99D"/>
    <w:rsid w:val="5457D400"/>
    <w:rsid w:val="54648B6C"/>
    <w:rsid w:val="5695FFA9"/>
    <w:rsid w:val="583C53CB"/>
    <w:rsid w:val="58B8475C"/>
    <w:rsid w:val="592126F2"/>
    <w:rsid w:val="59C1E349"/>
    <w:rsid w:val="5B30CD8E"/>
    <w:rsid w:val="5D828C69"/>
    <w:rsid w:val="5E1A3BD8"/>
    <w:rsid w:val="5EFD062E"/>
    <w:rsid w:val="613FD07C"/>
    <w:rsid w:val="62E6CD3D"/>
    <w:rsid w:val="660298B8"/>
    <w:rsid w:val="66375104"/>
    <w:rsid w:val="669C8319"/>
    <w:rsid w:val="6ABE17EE"/>
    <w:rsid w:val="6D8625EE"/>
    <w:rsid w:val="6DD42CF7"/>
    <w:rsid w:val="7031A769"/>
    <w:rsid w:val="70FAF950"/>
    <w:rsid w:val="72A5AF1A"/>
    <w:rsid w:val="738079EE"/>
    <w:rsid w:val="76B800F7"/>
    <w:rsid w:val="7890485E"/>
    <w:rsid w:val="7A05AEF7"/>
    <w:rsid w:val="7A1C28C1"/>
    <w:rsid w:val="7AF65D3D"/>
    <w:rsid w:val="7B27002B"/>
    <w:rsid w:val="7B7A4350"/>
    <w:rsid w:val="7D95F83E"/>
    <w:rsid w:val="7FF89A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0161A"/>
  <w15:chartTrackingRefBased/>
  <w15:docId w15:val="{62DD2D89-C13B-4414-BEDA-8692118D4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before="12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122B"/>
    <w:rPr>
      <w:rFonts w:ascii="Arial" w:hAnsi="Arial"/>
      <w:sz w:val="24"/>
    </w:rPr>
  </w:style>
  <w:style w:type="paragraph" w:styleId="Heading1">
    <w:name w:val="heading 1"/>
    <w:basedOn w:val="Normal"/>
    <w:next w:val="Normal"/>
    <w:link w:val="Heading1Char"/>
    <w:uiPriority w:val="9"/>
    <w:qFormat/>
    <w:rsid w:val="007F4283"/>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C61767"/>
    <w:pPr>
      <w:keepNext/>
      <w:keepLines/>
      <w:spacing w:before="40" w:after="0"/>
      <w:outlineLvl w:val="1"/>
    </w:pPr>
    <w:rPr>
      <w:rFonts w:eastAsiaTheme="majorEastAsia" w:cstheme="majorBidi"/>
      <w:b/>
      <w:i/>
      <w:sz w:val="26"/>
      <w:szCs w:val="26"/>
    </w:rPr>
  </w:style>
  <w:style w:type="paragraph" w:styleId="Heading3">
    <w:name w:val="heading 3"/>
    <w:basedOn w:val="Normal"/>
    <w:next w:val="Normal"/>
    <w:link w:val="Heading3Char"/>
    <w:uiPriority w:val="9"/>
    <w:semiHidden/>
    <w:unhideWhenUsed/>
    <w:qFormat/>
    <w:rsid w:val="00BC0277"/>
    <w:pPr>
      <w:keepNext/>
      <w:keepLines/>
      <w:spacing w:before="40" w:after="0"/>
      <w:outlineLvl w:val="2"/>
    </w:pPr>
    <w:rPr>
      <w:rFonts w:eastAsiaTheme="majorEastAsia" w:cstheme="majorBidi"/>
      <w:b/>
      <w:i/>
      <w:szCs w:val="24"/>
    </w:rPr>
  </w:style>
  <w:style w:type="paragraph" w:styleId="Heading4">
    <w:name w:val="heading 4"/>
    <w:basedOn w:val="Normal"/>
    <w:next w:val="Normal"/>
    <w:link w:val="Heading4Char"/>
    <w:uiPriority w:val="9"/>
    <w:unhideWhenUsed/>
    <w:qFormat/>
    <w:rsid w:val="00784DDC"/>
    <w:pPr>
      <w:keepNext/>
      <w:keepLines/>
      <w:spacing w:before="80" w:after="40"/>
      <w:outlineLvl w:val="3"/>
    </w:pPr>
    <w:rPr>
      <w:rFonts w:eastAsiaTheme="majorEastAsia" w:cstheme="majorBidi"/>
      <w:b/>
      <w:i/>
      <w:iCs/>
    </w:rPr>
  </w:style>
  <w:style w:type="paragraph" w:styleId="Heading5">
    <w:name w:val="heading 5"/>
    <w:basedOn w:val="Normal"/>
    <w:next w:val="Normal"/>
    <w:link w:val="Heading5Char"/>
    <w:uiPriority w:val="9"/>
    <w:semiHidden/>
    <w:unhideWhenUsed/>
    <w:qFormat/>
    <w:rsid w:val="000656EA"/>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0656EA"/>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656EA"/>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656EA"/>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656EA"/>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4283"/>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C61767"/>
    <w:rPr>
      <w:rFonts w:ascii="Times New Roman" w:eastAsiaTheme="majorEastAsia" w:hAnsi="Times New Roman" w:cstheme="majorBidi"/>
      <w:b/>
      <w:i/>
      <w:sz w:val="26"/>
      <w:szCs w:val="26"/>
    </w:rPr>
  </w:style>
  <w:style w:type="character" w:customStyle="1" w:styleId="Heading3Char">
    <w:name w:val="Heading 3 Char"/>
    <w:basedOn w:val="DefaultParagraphFont"/>
    <w:link w:val="Heading3"/>
    <w:uiPriority w:val="9"/>
    <w:semiHidden/>
    <w:rsid w:val="00BC0277"/>
    <w:rPr>
      <w:rFonts w:ascii="Times New Roman" w:eastAsiaTheme="majorEastAsia" w:hAnsi="Times New Roman" w:cstheme="majorBidi"/>
      <w:b/>
      <w:i/>
      <w:sz w:val="24"/>
      <w:szCs w:val="24"/>
    </w:rPr>
  </w:style>
  <w:style w:type="character" w:customStyle="1" w:styleId="Heading4Char">
    <w:name w:val="Heading 4 Char"/>
    <w:basedOn w:val="DefaultParagraphFont"/>
    <w:link w:val="Heading4"/>
    <w:uiPriority w:val="9"/>
    <w:rsid w:val="00784DDC"/>
    <w:rPr>
      <w:rFonts w:ascii="Times New Roman" w:eastAsiaTheme="majorEastAsia" w:hAnsi="Times New Roman" w:cstheme="majorBidi"/>
      <w:b/>
      <w:i/>
      <w:iCs/>
      <w:sz w:val="24"/>
    </w:rPr>
  </w:style>
  <w:style w:type="paragraph" w:styleId="TOC1">
    <w:name w:val="toc 1"/>
    <w:basedOn w:val="Normal"/>
    <w:next w:val="Normal"/>
    <w:autoRedefine/>
    <w:uiPriority w:val="39"/>
    <w:unhideWhenUsed/>
    <w:rsid w:val="00145A72"/>
    <w:pPr>
      <w:spacing w:after="100"/>
    </w:pPr>
    <w:rPr>
      <w:color w:val="000000" w:themeColor="text1"/>
    </w:rPr>
  </w:style>
  <w:style w:type="paragraph" w:customStyle="1" w:styleId="Style1">
    <w:name w:val="Style1"/>
    <w:basedOn w:val="TOCHeading"/>
    <w:link w:val="Style1Char"/>
    <w:rsid w:val="00327BAC"/>
    <w:rPr>
      <w:rFonts w:ascii="Times New Roman" w:hAnsi="Times New Roman"/>
      <w:b/>
      <w:color w:val="000000" w:themeColor="text1"/>
      <w:kern w:val="0"/>
      <w:sz w:val="28"/>
      <w:lang w:val="en-US"/>
      <w14:ligatures w14:val="none"/>
    </w:rPr>
  </w:style>
  <w:style w:type="character" w:customStyle="1" w:styleId="Style1Char">
    <w:name w:val="Style1 Char"/>
    <w:basedOn w:val="DefaultParagraphFont"/>
    <w:link w:val="Style1"/>
    <w:rsid w:val="00327BAC"/>
    <w:rPr>
      <w:rFonts w:ascii="Times New Roman" w:eastAsiaTheme="majorEastAsia" w:hAnsi="Times New Roman" w:cstheme="majorBidi"/>
      <w:b/>
      <w:color w:val="000000" w:themeColor="text1"/>
      <w:kern w:val="0"/>
      <w:sz w:val="28"/>
      <w:szCs w:val="32"/>
      <w:lang w:val="en-US"/>
      <w14:ligatures w14:val="none"/>
    </w:rPr>
  </w:style>
  <w:style w:type="paragraph" w:styleId="TOCHeading">
    <w:name w:val="TOC Heading"/>
    <w:basedOn w:val="Heading1"/>
    <w:next w:val="Normal"/>
    <w:uiPriority w:val="39"/>
    <w:unhideWhenUsed/>
    <w:qFormat/>
    <w:rsid w:val="00327BAC"/>
    <w:pPr>
      <w:outlineLvl w:val="9"/>
    </w:pPr>
    <w:rPr>
      <w:rFonts w:asciiTheme="majorHAnsi" w:hAnsiTheme="majorHAnsi"/>
      <w:b w:val="0"/>
      <w:color w:val="2F5496" w:themeColor="accent1" w:themeShade="BF"/>
      <w:sz w:val="32"/>
    </w:rPr>
  </w:style>
  <w:style w:type="paragraph" w:customStyle="1" w:styleId="H">
    <w:name w:val="H"/>
    <w:basedOn w:val="Heading1"/>
    <w:link w:val="HChar"/>
    <w:rsid w:val="009835EE"/>
    <w:rPr>
      <w:b w:val="0"/>
      <w:color w:val="000000" w:themeColor="text1"/>
      <w:kern w:val="0"/>
      <w:lang w:val="en-US"/>
      <w14:ligatures w14:val="none"/>
    </w:rPr>
  </w:style>
  <w:style w:type="character" w:customStyle="1" w:styleId="HChar">
    <w:name w:val="H Char"/>
    <w:basedOn w:val="DefaultParagraphFont"/>
    <w:link w:val="H"/>
    <w:rsid w:val="009835EE"/>
    <w:rPr>
      <w:rFonts w:ascii="Times New Roman" w:eastAsiaTheme="majorEastAsia" w:hAnsi="Times New Roman" w:cstheme="majorBidi"/>
      <w:color w:val="000000" w:themeColor="text1"/>
      <w:kern w:val="0"/>
      <w:sz w:val="28"/>
      <w:szCs w:val="32"/>
      <w:lang w:val="en-US"/>
      <w14:ligatures w14:val="none"/>
    </w:rPr>
  </w:style>
  <w:style w:type="character" w:customStyle="1" w:styleId="Heading5Char">
    <w:name w:val="Heading 5 Char"/>
    <w:basedOn w:val="DefaultParagraphFont"/>
    <w:link w:val="Heading5"/>
    <w:uiPriority w:val="9"/>
    <w:semiHidden/>
    <w:rsid w:val="000656EA"/>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sid w:val="000656EA"/>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0656EA"/>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0656EA"/>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0656EA"/>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0656EA"/>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56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56EA"/>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56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56E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656EA"/>
    <w:rPr>
      <w:rFonts w:ascii="Times New Roman" w:hAnsi="Times New Roman"/>
      <w:i/>
      <w:iCs/>
      <w:color w:val="404040" w:themeColor="text1" w:themeTint="BF"/>
      <w:sz w:val="24"/>
    </w:rPr>
  </w:style>
  <w:style w:type="paragraph" w:styleId="ListParagraph">
    <w:name w:val="List Paragraph"/>
    <w:basedOn w:val="Normal"/>
    <w:uiPriority w:val="34"/>
    <w:qFormat/>
    <w:rsid w:val="000656EA"/>
    <w:pPr>
      <w:ind w:left="720"/>
      <w:contextualSpacing/>
    </w:pPr>
  </w:style>
  <w:style w:type="character" w:styleId="IntenseEmphasis">
    <w:name w:val="Intense Emphasis"/>
    <w:basedOn w:val="DefaultParagraphFont"/>
    <w:uiPriority w:val="21"/>
    <w:qFormat/>
    <w:rsid w:val="000656EA"/>
    <w:rPr>
      <w:i/>
      <w:iCs/>
      <w:color w:val="2F5496" w:themeColor="accent1" w:themeShade="BF"/>
    </w:rPr>
  </w:style>
  <w:style w:type="paragraph" w:styleId="IntenseQuote">
    <w:name w:val="Intense Quote"/>
    <w:basedOn w:val="Normal"/>
    <w:next w:val="Normal"/>
    <w:link w:val="IntenseQuoteChar"/>
    <w:uiPriority w:val="30"/>
    <w:qFormat/>
    <w:rsid w:val="000656E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656EA"/>
    <w:rPr>
      <w:rFonts w:ascii="Times New Roman" w:hAnsi="Times New Roman"/>
      <w:i/>
      <w:iCs/>
      <w:color w:val="2F5496" w:themeColor="accent1" w:themeShade="BF"/>
      <w:sz w:val="24"/>
    </w:rPr>
  </w:style>
  <w:style w:type="character" w:styleId="IntenseReference">
    <w:name w:val="Intense Reference"/>
    <w:basedOn w:val="DefaultParagraphFont"/>
    <w:uiPriority w:val="32"/>
    <w:qFormat/>
    <w:rsid w:val="000656EA"/>
    <w:rPr>
      <w:b/>
      <w:bCs/>
      <w:smallCaps/>
      <w:color w:val="2F5496" w:themeColor="accent1" w:themeShade="BF"/>
      <w:spacing w:val="5"/>
    </w:rPr>
  </w:style>
  <w:style w:type="table" w:styleId="TableGridLight">
    <w:name w:val="Grid Table Light"/>
    <w:basedOn w:val="TableNormal"/>
    <w:uiPriority w:val="40"/>
    <w:rsid w:val="00394B1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394B1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A9122B"/>
    <w:rPr>
      <w:color w:val="0563C1" w:themeColor="hyperlink"/>
      <w:u w:val="single"/>
    </w:rPr>
  </w:style>
  <w:style w:type="character" w:styleId="UnresolvedMention">
    <w:name w:val="Unresolved Mention"/>
    <w:basedOn w:val="DefaultParagraphFont"/>
    <w:uiPriority w:val="99"/>
    <w:semiHidden/>
    <w:unhideWhenUsed/>
    <w:rsid w:val="00A9122B"/>
    <w:rPr>
      <w:color w:val="605E5C"/>
      <w:shd w:val="clear" w:color="auto" w:fill="E1DFDD"/>
    </w:rPr>
  </w:style>
  <w:style w:type="paragraph" w:styleId="TOC2">
    <w:name w:val="toc 2"/>
    <w:basedOn w:val="Normal"/>
    <w:next w:val="Normal"/>
    <w:autoRedefine/>
    <w:uiPriority w:val="39"/>
    <w:unhideWhenUsed/>
    <w:rsid w:val="00A9122B"/>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13854046.2025.2498044" TargetMode="External"/><Relationship Id="rId13" Type="http://schemas.openxmlformats.org/officeDocument/2006/relationships/hyperlink" Target="https://doi.org/10.3917/rsi.157.0042" TargetMode="External"/><Relationship Id="rId18" Type="http://schemas.openxmlformats.org/officeDocument/2006/relationships/hyperlink" Target="https://doi.org/10.1016/j.stem.2023.09.010"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hyperlink" Target="https://doi.org/10.1200/OP-24-00841" TargetMode="External"/><Relationship Id="rId17" Type="http://schemas.openxmlformats.org/officeDocument/2006/relationships/hyperlink" Target="https://doi.org/10.3390/curroncol30080547" TargetMode="External"/><Relationship Id="rId2" Type="http://schemas.openxmlformats.org/officeDocument/2006/relationships/numbering" Target="numbering.xml"/><Relationship Id="rId16" Type="http://schemas.openxmlformats.org/officeDocument/2006/relationships/hyperlink" Target="https://doi.org/10.1186/s12913-025-13371-8"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177/00207640241261208" TargetMode="External"/><Relationship Id="rId5" Type="http://schemas.openxmlformats.org/officeDocument/2006/relationships/webSettings" Target="webSettings.xml"/><Relationship Id="rId15" Type="http://schemas.openxmlformats.org/officeDocument/2006/relationships/hyperlink" Target="https://doi.org/10.1016/j.lanplh.2025.101377" TargetMode="External"/><Relationship Id="rId10" Type="http://schemas.openxmlformats.org/officeDocument/2006/relationships/hyperlink" Target="https://doi.org/10.1080/10439463.2024.2374834" TargetMode="External"/><Relationship Id="rId19" Type="http://schemas.openxmlformats.org/officeDocument/2006/relationships/hyperlink" Target="https://www.gov.uk/government/publications/working-together-to-safeguard-children--2" TargetMode="External"/><Relationship Id="rId4" Type="http://schemas.openxmlformats.org/officeDocument/2006/relationships/settings" Target="settings.xml"/><Relationship Id="rId9" Type="http://schemas.openxmlformats.org/officeDocument/2006/relationships/hyperlink" Target="https://doi.org/10.1007/s11121-022-01358-4" TargetMode="External"/><Relationship Id="rId14" Type="http://schemas.openxmlformats.org/officeDocument/2006/relationships/hyperlink" Target="https://doi.org/10.1080/10985549.2024.2438814" TargetMode="External"/><Relationship Id="rId22"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138C5A-412B-40F3-ACAC-353B68A7F1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2777</Words>
  <Characters>15829</Characters>
  <Application>Microsoft Office Word</Application>
  <DocSecurity>0</DocSecurity>
  <Lines>131</Lines>
  <Paragraphs>37</Paragraphs>
  <ScaleCrop>false</ScaleCrop>
  <Company/>
  <LinksUpToDate>false</LinksUpToDate>
  <CharactersWithSpaces>18569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Anucha</dc:creator>
  <cp:keywords/>
  <dc:description/>
  <cp:lastModifiedBy>Patricia Chidimma Anucha (2412552)</cp:lastModifiedBy>
  <cp:revision>2</cp:revision>
  <dcterms:created xsi:type="dcterms:W3CDTF">2026-04-18T11:05:00Z</dcterms:created>
  <dcterms:modified xsi:type="dcterms:W3CDTF">2026-04-18T11:05:00Z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e4f17f4d-f0eb-47a7-baa6-884e93637dea</vt:lpwstr>
  </property>
</Properties>
</file>