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90DA84" w14:textId="7251B6F5" w:rsidR="00CF378E" w:rsidRPr="000F27AF" w:rsidRDefault="000F27AF">
      <w:pPr>
        <w:rPr>
          <w:b/>
          <w:bCs/>
          <w:lang w:val="en-US"/>
        </w:rPr>
      </w:pPr>
      <w:r w:rsidRPr="000F27AF">
        <w:rPr>
          <w:b/>
          <w:bCs/>
          <w:lang w:val="en-US"/>
        </w:rPr>
        <w:t>1.</w:t>
      </w:r>
    </w:p>
    <w:p w14:paraId="6CE3780B" w14:textId="77777777" w:rsidR="000F27AF" w:rsidRPr="000F27AF" w:rsidRDefault="000F27AF">
      <w:pPr>
        <w:rPr>
          <w:b/>
          <w:bCs/>
          <w:lang w:val="en-US"/>
        </w:rPr>
      </w:pPr>
      <w:r w:rsidRPr="000F27AF">
        <w:rPr>
          <w:b/>
          <w:bCs/>
          <w:lang w:val="en-US"/>
        </w:rPr>
        <w:t>A</w:t>
      </w:r>
    </w:p>
    <w:p w14:paraId="43E4D236" w14:textId="29A19841" w:rsidR="000F27AF" w:rsidRDefault="000F27AF">
      <w:pPr>
        <w:rPr>
          <w:lang w:val="en-US"/>
        </w:rPr>
      </w:pPr>
      <w:r>
        <w:rPr>
          <w:lang w:val="en-US"/>
        </w:rPr>
        <w:t xml:space="preserve">As per s5 of The Partnership Act 1890 the agreement that Rhian made would bind the firm due to apparent authority she held. The seller of the x-ray machine would have entered into a contract that relates to the usual nature of the partnership due to the x-ray machine being a piece of equipment usually used. As Rhian used partnership paper and it is not discussed in the scenario if the normal procedure is anything other than to order on headed paper, we can deduce that this is the normal procedure. As Rhian is a partner in the firm the seller </w:t>
      </w:r>
      <w:proofErr w:type="spellStart"/>
      <w:r>
        <w:rPr>
          <w:lang w:val="en-US"/>
        </w:rPr>
        <w:t>og</w:t>
      </w:r>
      <w:proofErr w:type="spellEnd"/>
      <w:r>
        <w:rPr>
          <w:lang w:val="en-US"/>
        </w:rPr>
        <w:t xml:space="preserve"> the machine would be under the impression that she has the authority to enter into the contract. </w:t>
      </w:r>
    </w:p>
    <w:p w14:paraId="2452CAE8" w14:textId="173EE85F" w:rsidR="000F27AF" w:rsidRDefault="000F27AF">
      <w:pPr>
        <w:rPr>
          <w:lang w:val="en-US"/>
        </w:rPr>
      </w:pPr>
    </w:p>
    <w:p w14:paraId="63653FEE" w14:textId="7436FC82" w:rsidR="000F27AF" w:rsidRPr="000F27AF" w:rsidRDefault="000F27AF">
      <w:pPr>
        <w:rPr>
          <w:b/>
          <w:bCs/>
          <w:lang w:val="en-US"/>
        </w:rPr>
      </w:pPr>
      <w:r w:rsidRPr="000F27AF">
        <w:rPr>
          <w:b/>
          <w:bCs/>
          <w:lang w:val="en-US"/>
        </w:rPr>
        <w:t>B</w:t>
      </w:r>
    </w:p>
    <w:p w14:paraId="7C820A0C" w14:textId="180363FD" w:rsidR="000F27AF" w:rsidRDefault="000F27AF">
      <w:pPr>
        <w:rPr>
          <w:lang w:val="en-US"/>
        </w:rPr>
      </w:pPr>
      <w:r>
        <w:rPr>
          <w:lang w:val="en-US"/>
        </w:rPr>
        <w:t>John – As per s17 (1) of The partnership Act 1890 John would not be liable for the outstanding account as he entered into the partnership after the account was opened. He joined in August 2020 and the account was opened in July 2020.</w:t>
      </w:r>
    </w:p>
    <w:p w14:paraId="551F9CC7" w14:textId="08F4971A" w:rsidR="000F27AF" w:rsidRDefault="000F27AF">
      <w:pPr>
        <w:rPr>
          <w:lang w:val="en-US"/>
        </w:rPr>
      </w:pPr>
      <w:r>
        <w:rPr>
          <w:lang w:val="en-US"/>
        </w:rPr>
        <w:t xml:space="preserve">Rhian – </w:t>
      </w:r>
      <w:r>
        <w:rPr>
          <w:lang w:val="en-US"/>
        </w:rPr>
        <w:t xml:space="preserve">As per s9 The partnership Act 1890 </w:t>
      </w:r>
      <w:r>
        <w:rPr>
          <w:lang w:val="en-US"/>
        </w:rPr>
        <w:t>Rhian</w:t>
      </w:r>
      <w:r>
        <w:rPr>
          <w:lang w:val="en-US"/>
        </w:rPr>
        <w:t xml:space="preserve"> would be liable as all contracts taken out under the partnership leave all partners at the time liable. </w:t>
      </w:r>
      <w:r w:rsidR="000B43C2">
        <w:rPr>
          <w:lang w:val="en-US"/>
        </w:rPr>
        <w:t xml:space="preserve">However as Rhian acted under apparent authority and not actual authority she would be liable for the contract as she would be responsible for reimbursing the other liability qualifying partners for their ‘share of the account’. </w:t>
      </w:r>
    </w:p>
    <w:p w14:paraId="46B2F100" w14:textId="337732C4" w:rsidR="000F27AF" w:rsidRDefault="000F27AF">
      <w:pPr>
        <w:rPr>
          <w:lang w:val="en-US"/>
        </w:rPr>
      </w:pPr>
      <w:r>
        <w:rPr>
          <w:lang w:val="en-US"/>
        </w:rPr>
        <w:t>Sion – As per s9 The partnership Act 1890 the estate of John is liable for the account as it was opened while he was still a partner in the firm. He left the partnership 31</w:t>
      </w:r>
      <w:r w:rsidRPr="000F27AF">
        <w:rPr>
          <w:vertAlign w:val="superscript"/>
          <w:lang w:val="en-US"/>
        </w:rPr>
        <w:t>st</w:t>
      </w:r>
      <w:r>
        <w:rPr>
          <w:lang w:val="en-US"/>
        </w:rPr>
        <w:t xml:space="preserve"> July 2020 and the account was opened on the 8</w:t>
      </w:r>
      <w:r w:rsidRPr="000F27AF">
        <w:rPr>
          <w:vertAlign w:val="superscript"/>
          <w:lang w:val="en-US"/>
        </w:rPr>
        <w:t>th</w:t>
      </w:r>
      <w:r>
        <w:rPr>
          <w:lang w:val="en-US"/>
        </w:rPr>
        <w:t xml:space="preserve"> July 2020. Had this account been opened after his death he would no longer be liable as per s36 (3) The partnership act. But in this case that point is mute.</w:t>
      </w:r>
    </w:p>
    <w:p w14:paraId="6180DCAD" w14:textId="32724465" w:rsidR="000F27AF" w:rsidRDefault="000F27AF">
      <w:pPr>
        <w:rPr>
          <w:lang w:val="en-US"/>
        </w:rPr>
      </w:pPr>
      <w:r>
        <w:rPr>
          <w:lang w:val="en-US"/>
        </w:rPr>
        <w:t xml:space="preserve">John – As per s9 The partnership Act 1890 John would be liable as all contracts taken out under the partnership leave all partners at the time liable. </w:t>
      </w:r>
      <w:r w:rsidR="000B43C2">
        <w:rPr>
          <w:lang w:val="en-US"/>
        </w:rPr>
        <w:t>However as Rhian acted under apparent authority and not actual authority Rhian would be liable for reimbursing John for acting with apparent authority to an outsider.</w:t>
      </w:r>
    </w:p>
    <w:p w14:paraId="1C055BC9" w14:textId="149EEF36" w:rsidR="000F27AF" w:rsidRDefault="000F27AF">
      <w:pPr>
        <w:rPr>
          <w:lang w:val="en-US"/>
        </w:rPr>
      </w:pPr>
    </w:p>
    <w:p w14:paraId="304B9F25" w14:textId="6677CF75" w:rsidR="000F27AF" w:rsidRDefault="000F27AF">
      <w:pPr>
        <w:rPr>
          <w:b/>
          <w:bCs/>
          <w:lang w:val="en-US"/>
        </w:rPr>
      </w:pPr>
      <w:r w:rsidRPr="000F27AF">
        <w:rPr>
          <w:b/>
          <w:bCs/>
          <w:lang w:val="en-US"/>
        </w:rPr>
        <w:t>2</w:t>
      </w:r>
    </w:p>
    <w:p w14:paraId="1D5E99FE" w14:textId="130F6C31" w:rsidR="000F27AF" w:rsidRDefault="000F27AF">
      <w:pPr>
        <w:rPr>
          <w:b/>
          <w:bCs/>
          <w:lang w:val="en-US"/>
        </w:rPr>
      </w:pPr>
      <w:r>
        <w:rPr>
          <w:b/>
          <w:bCs/>
          <w:lang w:val="en-US"/>
        </w:rPr>
        <w:t>A</w:t>
      </w:r>
    </w:p>
    <w:p w14:paraId="57E62048" w14:textId="215898B8" w:rsidR="000B43C2" w:rsidRDefault="000B43C2">
      <w:pPr>
        <w:rPr>
          <w:lang w:val="en-US"/>
        </w:rPr>
      </w:pPr>
      <w:r>
        <w:rPr>
          <w:lang w:val="en-US"/>
        </w:rPr>
        <w:t xml:space="preserve">Firstly, it would need to be established under s66 (1) the companies Act 2006 that no other business trades under the same name. They could find this out on the Government website – companyhouse.gov.uk/company-name-availability. </w:t>
      </w:r>
      <w:r w:rsidR="000F27AF">
        <w:rPr>
          <w:lang w:val="en-US"/>
        </w:rPr>
        <w:t xml:space="preserve">As Ranjit and </w:t>
      </w:r>
      <w:proofErr w:type="spellStart"/>
      <w:r w:rsidR="000F27AF">
        <w:rPr>
          <w:lang w:val="en-US"/>
        </w:rPr>
        <w:t>Sumera</w:t>
      </w:r>
      <w:proofErr w:type="spellEnd"/>
      <w:r w:rsidR="000F27AF">
        <w:rPr>
          <w:lang w:val="en-US"/>
        </w:rPr>
        <w:t xml:space="preserve"> intend to use the word ‘Swansea’ in their name they would need to get permission from the state secretary under s54 (1(b) &amp; 2 (b)) (The Companies Act 2006). This is due to the illusion it gives to the public that the company is a representative of Swansea not simply a business in Swansea.</w:t>
      </w:r>
    </w:p>
    <w:p w14:paraId="51B652E4" w14:textId="5580CA34" w:rsidR="000F27AF" w:rsidRDefault="000B43C2">
      <w:pPr>
        <w:rPr>
          <w:lang w:val="en-US"/>
        </w:rPr>
      </w:pPr>
      <w:r>
        <w:rPr>
          <w:lang w:val="en-US"/>
        </w:rPr>
        <w:t xml:space="preserve">As a co-operative implies the business is owned and controlled by its members, in this case Ranjit and </w:t>
      </w:r>
      <w:proofErr w:type="spellStart"/>
      <w:r>
        <w:rPr>
          <w:lang w:val="en-US"/>
        </w:rPr>
        <w:t>Sumera</w:t>
      </w:r>
      <w:proofErr w:type="spellEnd"/>
      <w:r>
        <w:rPr>
          <w:lang w:val="en-US"/>
        </w:rPr>
        <w:t>, under s 76 (1) The companies Act 2006 the partnership could</w:t>
      </w:r>
      <w:r w:rsidR="000F27AF">
        <w:rPr>
          <w:lang w:val="en-US"/>
        </w:rPr>
        <w:t xml:space="preserve"> </w:t>
      </w:r>
      <w:r>
        <w:rPr>
          <w:lang w:val="en-US"/>
        </w:rPr>
        <w:t>be refused the name if the nature of the partnership does not align with the ethos of a co-operative.</w:t>
      </w:r>
    </w:p>
    <w:p w14:paraId="48DA1963" w14:textId="1D0C77E5" w:rsidR="000B43C2" w:rsidRDefault="000B43C2">
      <w:pPr>
        <w:rPr>
          <w:lang w:val="en-US"/>
        </w:rPr>
      </w:pPr>
    </w:p>
    <w:p w14:paraId="02604511" w14:textId="08AE5A20" w:rsidR="000B43C2" w:rsidRDefault="000B43C2">
      <w:pPr>
        <w:rPr>
          <w:b/>
          <w:bCs/>
          <w:lang w:val="en-US"/>
        </w:rPr>
      </w:pPr>
      <w:r w:rsidRPr="000B43C2">
        <w:rPr>
          <w:b/>
          <w:bCs/>
          <w:lang w:val="en-US"/>
        </w:rPr>
        <w:t>B</w:t>
      </w:r>
    </w:p>
    <w:p w14:paraId="771E74E8" w14:textId="57D08BDC" w:rsidR="000F27AF" w:rsidRDefault="000B43C2">
      <w:pPr>
        <w:rPr>
          <w:lang w:val="en-US"/>
        </w:rPr>
      </w:pPr>
      <w:r w:rsidRPr="000B43C2">
        <w:rPr>
          <w:lang w:val="en-US"/>
        </w:rPr>
        <w:t>As seen in Ewing v Buttercup Margarine co LTD (1917) failure to ensure no other business is registered under Companies house and trading with the same name can result in the initial company taking them to court.</w:t>
      </w:r>
      <w:r>
        <w:rPr>
          <w:lang w:val="en-US"/>
        </w:rPr>
        <w:t xml:space="preserve"> As the proposed name does not contain the names of the partners they will be required under s1201 (The companies Act 2006) to display their full </w:t>
      </w:r>
      <w:r>
        <w:rPr>
          <w:lang w:val="en-US"/>
        </w:rPr>
        <w:lastRenderedPageBreak/>
        <w:t>names and business address with the company name. failure to comply with the regulations regarding a business name</w:t>
      </w:r>
      <w:r w:rsidR="00E64628">
        <w:rPr>
          <w:lang w:val="en-US"/>
        </w:rPr>
        <w:t xml:space="preserve"> under s1205 (2) results in all officers being at default being seen to be committing an offence. Under s1205 (3) this offence will result in the guilty bodies having conviction of a fine. </w:t>
      </w:r>
    </w:p>
    <w:p w14:paraId="1778B8C5" w14:textId="0D550DF9" w:rsidR="000B43C2" w:rsidRDefault="000B43C2">
      <w:pPr>
        <w:rPr>
          <w:lang w:val="en-US"/>
        </w:rPr>
      </w:pPr>
    </w:p>
    <w:p w14:paraId="1305C9F9" w14:textId="16FF5081" w:rsidR="000B43C2" w:rsidRDefault="000B43C2">
      <w:pPr>
        <w:rPr>
          <w:b/>
          <w:bCs/>
          <w:lang w:val="en-US"/>
        </w:rPr>
      </w:pPr>
      <w:r w:rsidRPr="000B43C2">
        <w:rPr>
          <w:b/>
          <w:bCs/>
          <w:lang w:val="en-US"/>
        </w:rPr>
        <w:t>3</w:t>
      </w:r>
    </w:p>
    <w:p w14:paraId="5BC0278C" w14:textId="4710E39B" w:rsidR="000B43C2" w:rsidRDefault="000B43C2">
      <w:pPr>
        <w:rPr>
          <w:lang w:val="en-US"/>
        </w:rPr>
      </w:pPr>
      <w:r>
        <w:rPr>
          <w:lang w:val="en-US"/>
        </w:rPr>
        <w:t xml:space="preserve">Firstly, it is important to note the information given does not specify if the company is going into insolvency. It should be noted that if the company where to go into insolvency as per Joseph valuation an administrator could apply to the court for an order against Monica for the equipment as it has been undervalued (s238 (2) The insolvency Act 1986). As the value of the company has not been disclosed we </w:t>
      </w:r>
      <w:proofErr w:type="spellStart"/>
      <w:r>
        <w:rPr>
          <w:lang w:val="en-US"/>
        </w:rPr>
        <w:t>can not</w:t>
      </w:r>
      <w:proofErr w:type="spellEnd"/>
      <w:r>
        <w:rPr>
          <w:lang w:val="en-US"/>
        </w:rPr>
        <w:t xml:space="preserve"> establish if the equipment would be considered a substantial non-cash asset under s191 The companies Act 2006.</w:t>
      </w:r>
    </w:p>
    <w:p w14:paraId="01827946" w14:textId="77777777" w:rsidR="000B43C2" w:rsidRPr="000B43C2" w:rsidRDefault="000B43C2">
      <w:pPr>
        <w:rPr>
          <w:lang w:val="en-US"/>
        </w:rPr>
      </w:pPr>
    </w:p>
    <w:p w14:paraId="1F7BC9CF" w14:textId="0A5487E6" w:rsidR="000F27AF" w:rsidRDefault="000B43C2">
      <w:pPr>
        <w:rPr>
          <w:u w:val="single"/>
          <w:lang w:val="en-US"/>
        </w:rPr>
      </w:pPr>
      <w:r w:rsidRPr="000B43C2">
        <w:rPr>
          <w:u w:val="single"/>
          <w:lang w:val="en-US"/>
        </w:rPr>
        <w:t>Board Level:</w:t>
      </w:r>
    </w:p>
    <w:p w14:paraId="67EE28C4" w14:textId="71A51F3F" w:rsidR="000B43C2" w:rsidRDefault="000B43C2">
      <w:pPr>
        <w:rPr>
          <w:lang w:val="en-US"/>
        </w:rPr>
      </w:pPr>
      <w:r>
        <w:rPr>
          <w:lang w:val="en-US"/>
        </w:rPr>
        <w:t>As per article 9 (1) (The modal Articles of Association (MAA)) would not be able to call a board meeting as he is not a director. Only Monica and Jen could. As they use the model articles and have not created an express agreement form the information provided Joseph would not be in attendance at this meeting.</w:t>
      </w:r>
    </w:p>
    <w:p w14:paraId="66ACA95F" w14:textId="08EA9A86" w:rsidR="000B43C2" w:rsidRDefault="000B43C2">
      <w:pPr>
        <w:rPr>
          <w:lang w:val="en-US"/>
        </w:rPr>
      </w:pPr>
    </w:p>
    <w:p w14:paraId="2B36C792" w14:textId="766ACFD8" w:rsidR="000B43C2" w:rsidRDefault="000B43C2">
      <w:pPr>
        <w:rPr>
          <w:lang w:val="en-US"/>
        </w:rPr>
      </w:pPr>
      <w:r>
        <w:rPr>
          <w:lang w:val="en-US"/>
        </w:rPr>
        <w:t>As per the MMA art 11 the quorum needed is 2 so Monica can hold this at board level without him. As per MMA Art 14 (1) the proposed transaction has a conflict of interest with Monica so her vote would not count. However an ordinary resolution would solve this as only 50% of votes are needed to pass this. As Monica and Jen would vote together this would allow Monica to implement approval under MMA s11 (a).</w:t>
      </w:r>
    </w:p>
    <w:p w14:paraId="7AB48E85" w14:textId="7BCC8AA9" w:rsidR="000B43C2" w:rsidRDefault="000B43C2">
      <w:pPr>
        <w:rPr>
          <w:lang w:val="en-US"/>
        </w:rPr>
      </w:pPr>
    </w:p>
    <w:p w14:paraId="70F06975" w14:textId="797920B0" w:rsidR="000B43C2" w:rsidRDefault="000B43C2">
      <w:pPr>
        <w:rPr>
          <w:lang w:val="en-US"/>
        </w:rPr>
      </w:pPr>
      <w:r>
        <w:rPr>
          <w:lang w:val="en-US"/>
        </w:rPr>
        <w:t>At Board level Joseph is incredibly weak.</w:t>
      </w:r>
    </w:p>
    <w:p w14:paraId="36E7F367" w14:textId="7B718CCF" w:rsidR="000B43C2" w:rsidRPr="000B43C2" w:rsidRDefault="000B43C2">
      <w:pPr>
        <w:rPr>
          <w:lang w:val="en-US"/>
        </w:rPr>
      </w:pPr>
    </w:p>
    <w:p w14:paraId="4E33CB99" w14:textId="4FA7490A" w:rsidR="000B43C2" w:rsidRPr="000B43C2" w:rsidRDefault="000B43C2">
      <w:pPr>
        <w:rPr>
          <w:u w:val="single"/>
          <w:lang w:val="en-US"/>
        </w:rPr>
      </w:pPr>
      <w:r w:rsidRPr="000B43C2">
        <w:rPr>
          <w:u w:val="single"/>
          <w:lang w:val="en-US"/>
        </w:rPr>
        <w:t>Shareholder Level</w:t>
      </w:r>
      <w:r>
        <w:rPr>
          <w:u w:val="single"/>
          <w:lang w:val="en-US"/>
        </w:rPr>
        <w:t>:</w:t>
      </w:r>
    </w:p>
    <w:p w14:paraId="40B6DEAF" w14:textId="27C0DC16" w:rsidR="000B43C2" w:rsidRDefault="000B43C2">
      <w:pPr>
        <w:rPr>
          <w:lang w:val="en-US"/>
        </w:rPr>
      </w:pPr>
      <w:r w:rsidRPr="000B43C2">
        <w:rPr>
          <w:lang w:val="en-US"/>
        </w:rPr>
        <w:t>As Joseph holds 25% share he can require directors to call a general meeting s303 (2(a)).</w:t>
      </w:r>
      <w:r>
        <w:rPr>
          <w:lang w:val="en-US"/>
        </w:rPr>
        <w:t xml:space="preserve"> As the quorum is 2 art 11 (MMA) Monica and Jen could hold the meeting without Joseph. As Monica alone can pass ordinary resolutions. While Monica and Jen hold 75% shares and will vote together they are able to pass special resolutions. As voting is by majority they would outvote Joseph. </w:t>
      </w:r>
    </w:p>
    <w:p w14:paraId="2CC80B17" w14:textId="115E35B1" w:rsidR="000B43C2" w:rsidRDefault="000B43C2">
      <w:pPr>
        <w:rPr>
          <w:lang w:val="en-US"/>
        </w:rPr>
      </w:pPr>
    </w:p>
    <w:p w14:paraId="663E93F3" w14:textId="05A6C795" w:rsidR="000B43C2" w:rsidRDefault="000B43C2">
      <w:pPr>
        <w:rPr>
          <w:lang w:val="en-US"/>
        </w:rPr>
      </w:pPr>
      <w:proofErr w:type="spellStart"/>
      <w:r>
        <w:rPr>
          <w:lang w:val="en-US"/>
        </w:rPr>
        <w:t>Josph</w:t>
      </w:r>
      <w:proofErr w:type="spellEnd"/>
      <w:r>
        <w:rPr>
          <w:lang w:val="en-US"/>
        </w:rPr>
        <w:t xml:space="preserve"> position at </w:t>
      </w:r>
      <w:proofErr w:type="spellStart"/>
      <w:r>
        <w:rPr>
          <w:lang w:val="en-US"/>
        </w:rPr>
        <w:t>share holder</w:t>
      </w:r>
      <w:proofErr w:type="spellEnd"/>
      <w:r>
        <w:rPr>
          <w:lang w:val="en-US"/>
        </w:rPr>
        <w:t xml:space="preserve"> level is weak.</w:t>
      </w:r>
    </w:p>
    <w:p w14:paraId="6A435D04" w14:textId="35546401" w:rsidR="000B43C2" w:rsidRDefault="000B43C2">
      <w:pPr>
        <w:rPr>
          <w:lang w:val="en-US"/>
        </w:rPr>
      </w:pPr>
    </w:p>
    <w:p w14:paraId="5ACFFF72" w14:textId="0A3BD4CD" w:rsidR="00E64628" w:rsidRPr="000B43C2" w:rsidRDefault="000B43C2" w:rsidP="00E64628">
      <w:pPr>
        <w:rPr>
          <w:lang w:val="en-US"/>
        </w:rPr>
      </w:pPr>
      <w:r>
        <w:rPr>
          <w:lang w:val="en-US"/>
        </w:rPr>
        <w:t xml:space="preserve">As per the above Joseph would not be able to reject the transaction. At this point Joseph would be able to apply under s994 s1 (A) The companies Act 2006 to the court for an order against Monica and Jen to remove them as directors. </w:t>
      </w:r>
      <w:r w:rsidR="00E64628">
        <w:rPr>
          <w:lang w:val="en-US"/>
        </w:rPr>
        <w:t>S260 (2)(b)</w:t>
      </w:r>
      <w:r w:rsidR="00E64628">
        <w:rPr>
          <w:lang w:val="en-US"/>
        </w:rPr>
        <w:t xml:space="preserve"> Monica is breaching her duty to the company as she is undervaluing the stock. Joseph is not rejecting the purchase to her for any reason other than the undervaluing so as per this section she is breaching her fiduciary duty to the company.</w:t>
      </w:r>
    </w:p>
    <w:p w14:paraId="018D5661" w14:textId="7887AC2D" w:rsidR="000B43C2" w:rsidRPr="000B43C2" w:rsidRDefault="000B43C2">
      <w:pPr>
        <w:rPr>
          <w:lang w:val="en-US"/>
        </w:rPr>
      </w:pPr>
      <w:r>
        <w:rPr>
          <w:lang w:val="en-US"/>
        </w:rPr>
        <w:t xml:space="preserve">As a limited company is required to have at least one director s154 The companies Act Joseph could present himself as this option or they could agree to employee someone. </w:t>
      </w:r>
    </w:p>
    <w:p w14:paraId="0D4700FC" w14:textId="345F6755" w:rsidR="000F27AF" w:rsidRDefault="000F27AF">
      <w:pPr>
        <w:rPr>
          <w:lang w:val="en-US"/>
        </w:rPr>
      </w:pPr>
    </w:p>
    <w:p w14:paraId="4B0BFDD2" w14:textId="2615483E" w:rsidR="00E64628" w:rsidRDefault="00E64628">
      <w:pPr>
        <w:rPr>
          <w:lang w:val="en-US"/>
        </w:rPr>
      </w:pPr>
    </w:p>
    <w:p w14:paraId="19813C08" w14:textId="57071536" w:rsidR="00E64628" w:rsidRPr="00E64628" w:rsidRDefault="00E64628">
      <w:pPr>
        <w:rPr>
          <w:b/>
          <w:bCs/>
          <w:lang w:val="en-US"/>
        </w:rPr>
      </w:pPr>
      <w:r w:rsidRPr="00E64628">
        <w:rPr>
          <w:b/>
          <w:bCs/>
          <w:lang w:val="en-US"/>
        </w:rPr>
        <w:t>4.</w:t>
      </w:r>
    </w:p>
    <w:p w14:paraId="4A715B05" w14:textId="31F25DEA" w:rsidR="00E64628" w:rsidRDefault="00E64628">
      <w:pPr>
        <w:rPr>
          <w:lang w:val="en-US"/>
        </w:rPr>
      </w:pPr>
      <w:r>
        <w:rPr>
          <w:lang w:val="en-US"/>
        </w:rPr>
        <w:lastRenderedPageBreak/>
        <w:t xml:space="preserve">A debenture is a form of debt finance. It essentially a document that creates or acknowledges the debt (levy v </w:t>
      </w:r>
      <w:proofErr w:type="spellStart"/>
      <w:r>
        <w:rPr>
          <w:lang w:val="en-US"/>
        </w:rPr>
        <w:t>abercorris</w:t>
      </w:r>
      <w:proofErr w:type="spellEnd"/>
      <w:r>
        <w:rPr>
          <w:lang w:val="en-US"/>
        </w:rPr>
        <w:t xml:space="preserve"> slate and steel 1887). The type of debenture explained her is a single debenture. </w:t>
      </w:r>
    </w:p>
    <w:p w14:paraId="3A09B426" w14:textId="38AD6FC4" w:rsidR="00E64628" w:rsidRDefault="00E64628">
      <w:pPr>
        <w:rPr>
          <w:lang w:val="en-US"/>
        </w:rPr>
      </w:pPr>
      <w:r>
        <w:rPr>
          <w:lang w:val="en-US"/>
        </w:rPr>
        <w:t xml:space="preserve">As per the companies act s849 (a) (1) Both fixed and floating charges must be registered with the registrar of companies within 21 days of being created. Without this it is not registered and will not be enforceable by the debenture holder and will </w:t>
      </w:r>
      <w:proofErr w:type="spellStart"/>
      <w:r>
        <w:rPr>
          <w:lang w:val="en-US"/>
        </w:rPr>
        <w:t>therefor</w:t>
      </w:r>
      <w:proofErr w:type="spellEnd"/>
      <w:r>
        <w:rPr>
          <w:lang w:val="en-US"/>
        </w:rPr>
        <w:t xml:space="preserve"> be an unsecured creditor. If failure to file was accidental under s859f The </w:t>
      </w:r>
      <w:proofErr w:type="spellStart"/>
      <w:r>
        <w:rPr>
          <w:lang w:val="en-US"/>
        </w:rPr>
        <w:t>comapies</w:t>
      </w:r>
      <w:proofErr w:type="spellEnd"/>
      <w:r>
        <w:rPr>
          <w:lang w:val="en-US"/>
        </w:rPr>
        <w:t xml:space="preserve"> Act 2006 to extend the 21 day period. If this is successful however priority will only be given to the creditor from actual date of registration.</w:t>
      </w:r>
    </w:p>
    <w:p w14:paraId="64B39F4D" w14:textId="59F3398B" w:rsidR="00E64628" w:rsidRDefault="00E64628">
      <w:pPr>
        <w:rPr>
          <w:lang w:val="en-US"/>
        </w:rPr>
      </w:pPr>
      <w:r>
        <w:rPr>
          <w:lang w:val="en-US"/>
        </w:rPr>
        <w:t>Under s741 (1) The companies act the bank must register the debenture within 2 months. Failure to for this will result in the charges being void to a liquidator of the company.</w:t>
      </w:r>
    </w:p>
    <w:p w14:paraId="64A21D77" w14:textId="706EC620" w:rsidR="00E64628" w:rsidRDefault="00E64628">
      <w:pPr>
        <w:rPr>
          <w:lang w:val="en-US"/>
        </w:rPr>
      </w:pPr>
      <w:r>
        <w:rPr>
          <w:lang w:val="en-US"/>
        </w:rPr>
        <w:t xml:space="preserve">Under s 741 (3) The companies Act failure to do so can result in conviction to a fine. </w:t>
      </w:r>
    </w:p>
    <w:p w14:paraId="2FE880D0" w14:textId="4A9EC4CC" w:rsidR="00E64628" w:rsidRDefault="00E64628">
      <w:pPr>
        <w:rPr>
          <w:lang w:val="en-US"/>
        </w:rPr>
      </w:pPr>
      <w:r>
        <w:rPr>
          <w:lang w:val="en-US"/>
        </w:rPr>
        <w:t xml:space="preserve">Under s743 (1)(a) The company must keep a register of the debenture at their registered office along with the MR01 form for inspection. Failure to do this is a criminal offence. </w:t>
      </w:r>
    </w:p>
    <w:p w14:paraId="0D3D4836" w14:textId="77777777" w:rsidR="00E64628" w:rsidRDefault="00E64628">
      <w:pPr>
        <w:rPr>
          <w:lang w:val="en-US"/>
        </w:rPr>
      </w:pPr>
    </w:p>
    <w:p w14:paraId="585F9840" w14:textId="77777777" w:rsidR="00E64628" w:rsidRPr="000F27AF" w:rsidRDefault="00E64628">
      <w:pPr>
        <w:rPr>
          <w:lang w:val="en-US"/>
        </w:rPr>
      </w:pPr>
    </w:p>
    <w:sectPr w:rsidR="00E64628" w:rsidRPr="000F27AF">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436CE3" w14:textId="77777777" w:rsidR="002B64DD" w:rsidRDefault="002B64DD" w:rsidP="00116901">
      <w:r>
        <w:separator/>
      </w:r>
    </w:p>
  </w:endnote>
  <w:endnote w:type="continuationSeparator" w:id="0">
    <w:p w14:paraId="7577173D" w14:textId="77777777" w:rsidR="002B64DD" w:rsidRDefault="002B64DD" w:rsidP="00116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33008F" w14:textId="77777777" w:rsidR="002B64DD" w:rsidRDefault="002B64DD" w:rsidP="00116901">
      <w:r>
        <w:separator/>
      </w:r>
    </w:p>
  </w:footnote>
  <w:footnote w:type="continuationSeparator" w:id="0">
    <w:p w14:paraId="52C67B75" w14:textId="77777777" w:rsidR="002B64DD" w:rsidRDefault="002B64DD" w:rsidP="001169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BA03F0" w14:textId="1C8AB9AC" w:rsidR="00116901" w:rsidRDefault="00116901">
    <w:pPr>
      <w:pStyle w:val="Header"/>
    </w:pPr>
    <w:r>
      <w:t>Marie Morgan, Business Law, Exam – 10.01.2021</w:t>
    </w:r>
  </w:p>
  <w:p w14:paraId="7473D669" w14:textId="77777777" w:rsidR="00116901" w:rsidRDefault="0011690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901"/>
    <w:rsid w:val="000B43C2"/>
    <w:rsid w:val="000C5942"/>
    <w:rsid w:val="000F27AF"/>
    <w:rsid w:val="00116901"/>
    <w:rsid w:val="002B64DD"/>
    <w:rsid w:val="005539B2"/>
    <w:rsid w:val="00E64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9429BD"/>
  <w15:chartTrackingRefBased/>
  <w15:docId w15:val="{5277262C-F2FA-9A43-A4E0-1236F1566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6901"/>
    <w:pPr>
      <w:tabs>
        <w:tab w:val="center" w:pos="4513"/>
        <w:tab w:val="right" w:pos="9026"/>
      </w:tabs>
    </w:pPr>
  </w:style>
  <w:style w:type="character" w:customStyle="1" w:styleId="HeaderChar">
    <w:name w:val="Header Char"/>
    <w:basedOn w:val="DefaultParagraphFont"/>
    <w:link w:val="Header"/>
    <w:uiPriority w:val="99"/>
    <w:rsid w:val="00116901"/>
  </w:style>
  <w:style w:type="paragraph" w:styleId="Footer">
    <w:name w:val="footer"/>
    <w:basedOn w:val="Normal"/>
    <w:link w:val="FooterChar"/>
    <w:uiPriority w:val="99"/>
    <w:unhideWhenUsed/>
    <w:rsid w:val="00116901"/>
    <w:pPr>
      <w:tabs>
        <w:tab w:val="center" w:pos="4513"/>
        <w:tab w:val="right" w:pos="9026"/>
      </w:tabs>
    </w:pPr>
  </w:style>
  <w:style w:type="character" w:customStyle="1" w:styleId="FooterChar">
    <w:name w:val="Footer Char"/>
    <w:basedOn w:val="DefaultParagraphFont"/>
    <w:link w:val="Footer"/>
    <w:uiPriority w:val="99"/>
    <w:rsid w:val="00116901"/>
  </w:style>
  <w:style w:type="table" w:styleId="TableGrid">
    <w:name w:val="Table Grid"/>
    <w:basedOn w:val="TableNormal"/>
    <w:uiPriority w:val="39"/>
    <w:rsid w:val="000F27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3</Pages>
  <Words>1046</Words>
  <Characters>5965</Characters>
  <Application>Microsoft Office Word</Application>
  <DocSecurity>0</DocSecurity>
  <Lines>49</Lines>
  <Paragraphs>13</Paragraphs>
  <ScaleCrop>false</ScaleCrop>
  <Company/>
  <LinksUpToDate>false</LinksUpToDate>
  <CharactersWithSpaces>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Morgan (2018298)</dc:creator>
  <cp:keywords/>
  <dc:description/>
  <cp:lastModifiedBy>Marie Morgan (2018298)</cp:lastModifiedBy>
  <cp:revision>4</cp:revision>
  <dcterms:created xsi:type="dcterms:W3CDTF">2022-01-10T09:37:00Z</dcterms:created>
  <dcterms:modified xsi:type="dcterms:W3CDTF">2022-01-10T12:06:00Z</dcterms:modified>
</cp:coreProperties>
</file>