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EACD5" w14:textId="77777777" w:rsidR="00C71287" w:rsidRPr="007C0CD5" w:rsidRDefault="00C71287"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One</w:t>
      </w:r>
    </w:p>
    <w:p w14:paraId="4F74EF98" w14:textId="5BA3B74D" w:rsidR="00853389"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significance of an inclusive leader within a certain scenario will be evaluated critically in this section. According to Ferdman (2021), inclusive leadership is a willingness to </w:t>
      </w:r>
      <w:r w:rsidR="00B5512F" w:rsidRPr="007C0CD5">
        <w:rPr>
          <w:rFonts w:ascii="Arial" w:hAnsi="Arial" w:cs="Arial"/>
          <w:color w:val="0D0D0D" w:themeColor="text1" w:themeTint="F2"/>
          <w:sz w:val="24"/>
          <w:szCs w:val="24"/>
        </w:rPr>
        <w:t>promote</w:t>
      </w:r>
      <w:r w:rsidRPr="007C0CD5">
        <w:rPr>
          <w:rFonts w:ascii="Arial" w:hAnsi="Arial" w:cs="Arial"/>
          <w:color w:val="0D0D0D" w:themeColor="text1" w:themeTint="F2"/>
          <w:sz w:val="24"/>
          <w:szCs w:val="24"/>
        </w:rPr>
        <w:t xml:space="preserve"> inclusion across various groups, organisations, communities, and cultures.</w:t>
      </w:r>
    </w:p>
    <w:p w14:paraId="74827C49" w14:textId="7B2122B5" w:rsidR="00B36BFA"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Childhood Education International (2021)</w:t>
      </w:r>
      <w:r w:rsidR="00B36BFA" w:rsidRPr="007C0CD5">
        <w:rPr>
          <w:rFonts w:ascii="Arial" w:hAnsi="Arial" w:cs="Arial"/>
          <w:color w:val="0D0D0D" w:themeColor="text1" w:themeTint="F2"/>
          <w:sz w:val="24"/>
          <w:szCs w:val="24"/>
        </w:rPr>
        <w:t xml:space="preserve"> states</w:t>
      </w:r>
      <w:r w:rsidRPr="007C0CD5">
        <w:rPr>
          <w:rFonts w:ascii="Arial" w:hAnsi="Arial" w:cs="Arial"/>
          <w:color w:val="0D0D0D" w:themeColor="text1" w:themeTint="F2"/>
          <w:sz w:val="24"/>
          <w:szCs w:val="24"/>
        </w:rPr>
        <w:t>, inclusive leadership is the dedication to ensuring equality</w:t>
      </w:r>
      <w:r w:rsidR="006E154F" w:rsidRPr="007C0CD5">
        <w:rPr>
          <w:rFonts w:ascii="Arial" w:hAnsi="Arial" w:cs="Arial"/>
          <w:color w:val="0D0D0D" w:themeColor="text1" w:themeTint="F2"/>
          <w:sz w:val="24"/>
          <w:szCs w:val="24"/>
        </w:rPr>
        <w:t xml:space="preserve"> and </w:t>
      </w:r>
      <w:r w:rsidRPr="007C0CD5">
        <w:rPr>
          <w:rFonts w:ascii="Arial" w:hAnsi="Arial" w:cs="Arial"/>
          <w:color w:val="0D0D0D" w:themeColor="text1" w:themeTint="F2"/>
          <w:sz w:val="24"/>
          <w:szCs w:val="24"/>
        </w:rPr>
        <w:t xml:space="preserve">fairness for all children in </w:t>
      </w:r>
      <w:r w:rsidR="006E154F" w:rsidRPr="007C0CD5">
        <w:rPr>
          <w:rFonts w:ascii="Arial" w:hAnsi="Arial" w:cs="Arial"/>
          <w:color w:val="0D0D0D" w:themeColor="text1" w:themeTint="F2"/>
          <w:sz w:val="24"/>
          <w:szCs w:val="24"/>
        </w:rPr>
        <w:t>education</w:t>
      </w:r>
      <w:r w:rsidRPr="007C0CD5">
        <w:rPr>
          <w:rFonts w:ascii="Arial" w:hAnsi="Arial" w:cs="Arial"/>
          <w:color w:val="0D0D0D" w:themeColor="text1" w:themeTint="F2"/>
          <w:sz w:val="24"/>
          <w:szCs w:val="24"/>
        </w:rPr>
        <w:t xml:space="preserve">. According to Bortini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(2016), who concur, an inclusive leadership technique recognises values through appreciating every </w:t>
      </w:r>
      <w:r w:rsidR="006E154F" w:rsidRPr="007C0CD5">
        <w:rPr>
          <w:rFonts w:ascii="Arial" w:hAnsi="Arial" w:cs="Arial"/>
          <w:color w:val="0D0D0D" w:themeColor="text1" w:themeTint="F2"/>
          <w:sz w:val="24"/>
          <w:szCs w:val="24"/>
        </w:rPr>
        <w:t>individuals’</w:t>
      </w:r>
      <w:r w:rsidR="00A21AF3"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distinctive needs. </w:t>
      </w:r>
    </w:p>
    <w:p w14:paraId="4DF5E376" w14:textId="770C4F0B" w:rsidR="00B36BFA" w:rsidRPr="007C0CD5" w:rsidRDefault="003B5F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In agreeance with this F</w:t>
      </w:r>
      <w:r w:rsidR="00B36BFA" w:rsidRPr="007C0CD5">
        <w:rPr>
          <w:rFonts w:ascii="Arial" w:hAnsi="Arial" w:cs="Arial"/>
          <w:color w:val="0D0D0D" w:themeColor="text1" w:themeTint="F2"/>
          <w:sz w:val="24"/>
          <w:szCs w:val="24"/>
        </w:rPr>
        <w:t>erdman</w:t>
      </w:r>
      <w:r w:rsidRPr="007C0CD5">
        <w:rPr>
          <w:rFonts w:ascii="Arial" w:hAnsi="Arial" w:cs="Arial"/>
          <w:color w:val="0D0D0D" w:themeColor="text1" w:themeTint="F2"/>
          <w:sz w:val="24"/>
          <w:szCs w:val="24"/>
        </w:rPr>
        <w:t xml:space="preserve"> (2014)</w:t>
      </w:r>
      <w:r w:rsidR="00B36BFA" w:rsidRPr="007C0CD5">
        <w:rPr>
          <w:rFonts w:ascii="Arial" w:hAnsi="Arial" w:cs="Arial"/>
          <w:color w:val="0D0D0D" w:themeColor="text1" w:themeTint="F2"/>
          <w:sz w:val="24"/>
          <w:szCs w:val="24"/>
        </w:rPr>
        <w:t xml:space="preserve"> believes inclusiveness is crucial for </w:t>
      </w:r>
      <w:r w:rsidR="008D1909" w:rsidRPr="007C0CD5">
        <w:rPr>
          <w:rFonts w:ascii="Arial" w:hAnsi="Arial" w:cs="Arial"/>
          <w:color w:val="0D0D0D" w:themeColor="text1" w:themeTint="F2"/>
          <w:sz w:val="24"/>
          <w:szCs w:val="24"/>
        </w:rPr>
        <w:t>several types</w:t>
      </w:r>
      <w:r w:rsidR="00B36BFA" w:rsidRPr="007C0CD5">
        <w:rPr>
          <w:rFonts w:ascii="Arial" w:hAnsi="Arial" w:cs="Arial"/>
          <w:color w:val="0D0D0D" w:themeColor="text1" w:themeTint="F2"/>
          <w:sz w:val="24"/>
          <w:szCs w:val="24"/>
        </w:rPr>
        <w:t xml:space="preserve"> of diverse groups to feel as if they belong.</w:t>
      </w:r>
      <w:r w:rsidR="006E154F" w:rsidRPr="007C0CD5">
        <w:rPr>
          <w:rFonts w:ascii="Arial" w:hAnsi="Arial" w:cs="Arial"/>
          <w:color w:val="0D0D0D" w:themeColor="text1" w:themeTint="F2"/>
          <w:sz w:val="24"/>
          <w:szCs w:val="24"/>
        </w:rPr>
        <w:t xml:space="preserve"> </w:t>
      </w:r>
      <w:r w:rsidR="00B36BFA" w:rsidRPr="007C0CD5">
        <w:rPr>
          <w:rFonts w:ascii="Arial" w:hAnsi="Arial" w:cs="Arial"/>
          <w:color w:val="0D0D0D" w:themeColor="text1" w:themeTint="F2"/>
          <w:sz w:val="24"/>
          <w:szCs w:val="24"/>
        </w:rPr>
        <w:t xml:space="preserve">As inclusion promotes connections to be formed between people from </w:t>
      </w:r>
      <w:r w:rsidR="008D1909" w:rsidRPr="007C0CD5">
        <w:rPr>
          <w:rFonts w:ascii="Arial" w:hAnsi="Arial" w:cs="Arial"/>
          <w:color w:val="0D0D0D" w:themeColor="text1" w:themeTint="F2"/>
          <w:sz w:val="24"/>
          <w:szCs w:val="24"/>
        </w:rPr>
        <w:t>diver</w:t>
      </w:r>
      <w:r w:rsidR="00A21AF3" w:rsidRPr="007C0CD5">
        <w:rPr>
          <w:rFonts w:ascii="Arial" w:hAnsi="Arial" w:cs="Arial"/>
          <w:color w:val="0D0D0D" w:themeColor="text1" w:themeTint="F2"/>
          <w:sz w:val="24"/>
          <w:szCs w:val="24"/>
        </w:rPr>
        <w:t>se</w:t>
      </w:r>
      <w:r w:rsidR="008D1909" w:rsidRPr="007C0CD5">
        <w:rPr>
          <w:rFonts w:ascii="Arial" w:hAnsi="Arial" w:cs="Arial"/>
          <w:color w:val="0D0D0D" w:themeColor="text1" w:themeTint="F2"/>
          <w:sz w:val="24"/>
          <w:szCs w:val="24"/>
        </w:rPr>
        <w:t xml:space="preserve"> backgrounds</w:t>
      </w:r>
      <w:r w:rsidR="00B36BFA" w:rsidRPr="007C0CD5">
        <w:rPr>
          <w:rFonts w:ascii="Arial" w:hAnsi="Arial" w:cs="Arial"/>
          <w:color w:val="0D0D0D" w:themeColor="text1" w:themeTint="F2"/>
          <w:sz w:val="24"/>
          <w:szCs w:val="24"/>
        </w:rPr>
        <w:t xml:space="preserve">, areas and who share different perspectives and </w:t>
      </w:r>
      <w:r w:rsidR="00F13BC1" w:rsidRPr="007C0CD5">
        <w:rPr>
          <w:rFonts w:ascii="Arial" w:hAnsi="Arial" w:cs="Arial"/>
          <w:color w:val="0D0D0D" w:themeColor="text1" w:themeTint="F2"/>
          <w:sz w:val="24"/>
          <w:szCs w:val="24"/>
        </w:rPr>
        <w:t>beliefs. Bringing</w:t>
      </w:r>
      <w:r w:rsidR="00B36BFA" w:rsidRPr="007C0CD5">
        <w:rPr>
          <w:rFonts w:ascii="Arial" w:hAnsi="Arial" w:cs="Arial"/>
          <w:color w:val="0D0D0D" w:themeColor="text1" w:themeTint="F2"/>
          <w:sz w:val="24"/>
          <w:szCs w:val="24"/>
        </w:rPr>
        <w:t xml:space="preserve"> different individual together from different diverse groups helps within ensuring everyone </w:t>
      </w:r>
      <w:r w:rsidR="00A21AF3" w:rsidRPr="007C0CD5">
        <w:rPr>
          <w:rFonts w:ascii="Arial" w:hAnsi="Arial" w:cs="Arial"/>
          <w:color w:val="0D0D0D" w:themeColor="text1" w:themeTint="F2"/>
          <w:sz w:val="24"/>
          <w:szCs w:val="24"/>
        </w:rPr>
        <w:t>is able to express their</w:t>
      </w:r>
      <w:r w:rsidR="00B36BFA"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voice and</w:t>
      </w:r>
      <w:r w:rsidR="00B36BFA" w:rsidRPr="007C0CD5">
        <w:rPr>
          <w:rFonts w:ascii="Arial" w:hAnsi="Arial" w:cs="Arial"/>
          <w:color w:val="0D0D0D" w:themeColor="text1" w:themeTint="F2"/>
          <w:sz w:val="24"/>
          <w:szCs w:val="24"/>
        </w:rPr>
        <w:t xml:space="preserve"> has equal opportunities to provide their perspective and </w:t>
      </w:r>
      <w:r w:rsidR="00A21AF3" w:rsidRPr="007C0CD5">
        <w:rPr>
          <w:rFonts w:ascii="Arial" w:hAnsi="Arial" w:cs="Arial"/>
          <w:color w:val="0D0D0D" w:themeColor="text1" w:themeTint="F2"/>
          <w:sz w:val="24"/>
          <w:szCs w:val="24"/>
        </w:rPr>
        <w:t>highlight</w:t>
      </w:r>
      <w:r w:rsidR="00B36BFA" w:rsidRPr="007C0CD5">
        <w:rPr>
          <w:rFonts w:ascii="Arial" w:hAnsi="Arial" w:cs="Arial"/>
          <w:color w:val="0D0D0D" w:themeColor="text1" w:themeTint="F2"/>
          <w:sz w:val="24"/>
          <w:szCs w:val="24"/>
        </w:rPr>
        <w:t xml:space="preserve"> what they believe in (Ferdman, 2021).</w:t>
      </w:r>
    </w:p>
    <w:p w14:paraId="0F0F1F24" w14:textId="335C16E7" w:rsidR="004A5FEA" w:rsidRPr="007C0CD5" w:rsidRDefault="004A5FE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Furthermore, inclusive leadership is an integrated approach to help everybody </w:t>
      </w:r>
      <w:r w:rsidR="00F13BC1" w:rsidRPr="007C0CD5">
        <w:rPr>
          <w:rFonts w:ascii="Arial" w:hAnsi="Arial" w:cs="Arial"/>
          <w:color w:val="0D0D0D" w:themeColor="text1" w:themeTint="F2"/>
          <w:sz w:val="24"/>
          <w:szCs w:val="24"/>
        </w:rPr>
        <w:t>collaborate,</w:t>
      </w:r>
      <w:r w:rsidRPr="007C0CD5">
        <w:rPr>
          <w:rFonts w:ascii="Arial" w:hAnsi="Arial" w:cs="Arial"/>
          <w:color w:val="0D0D0D" w:themeColor="text1" w:themeTint="F2"/>
          <w:sz w:val="24"/>
          <w:szCs w:val="24"/>
        </w:rPr>
        <w:t xml:space="preserve"> regarding how they can best meet a shared </w:t>
      </w:r>
      <w:r w:rsidR="00511C44" w:rsidRPr="007C0CD5">
        <w:rPr>
          <w:rFonts w:ascii="Arial" w:hAnsi="Arial" w:cs="Arial"/>
          <w:color w:val="0D0D0D" w:themeColor="text1" w:themeTint="F2"/>
          <w:sz w:val="24"/>
          <w:szCs w:val="24"/>
        </w:rPr>
        <w:t>vision</w:t>
      </w:r>
      <w:r w:rsidRPr="007C0CD5">
        <w:rPr>
          <w:rFonts w:ascii="Arial" w:hAnsi="Arial" w:cs="Arial"/>
          <w:color w:val="0D0D0D" w:themeColor="text1" w:themeTint="F2"/>
          <w:sz w:val="24"/>
          <w:szCs w:val="24"/>
        </w:rPr>
        <w:t xml:space="preserve"> within a particular goal. As a result, in order to </w:t>
      </w:r>
      <w:r w:rsidR="00B5512F" w:rsidRPr="007C0CD5">
        <w:rPr>
          <w:rFonts w:ascii="Arial" w:hAnsi="Arial" w:cs="Arial"/>
          <w:color w:val="0D0D0D" w:themeColor="text1" w:themeTint="F2"/>
          <w:sz w:val="24"/>
          <w:szCs w:val="24"/>
        </w:rPr>
        <w:t xml:space="preserve">implement inclusivity </w:t>
      </w:r>
      <w:r w:rsidRPr="007C0CD5">
        <w:rPr>
          <w:rFonts w:ascii="Arial" w:hAnsi="Arial" w:cs="Arial"/>
          <w:color w:val="0D0D0D" w:themeColor="text1" w:themeTint="F2"/>
          <w:sz w:val="24"/>
          <w:szCs w:val="24"/>
        </w:rPr>
        <w:t>successfully</w:t>
      </w:r>
      <w:r w:rsidR="00F13BC1"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inclusive leaders need to understand the value of diversity and have the necessary skills and knowledge </w:t>
      </w:r>
      <w:r w:rsidR="00A21AF3" w:rsidRPr="007C0CD5">
        <w:rPr>
          <w:rFonts w:ascii="Arial" w:hAnsi="Arial" w:cs="Arial"/>
          <w:color w:val="0D0D0D" w:themeColor="text1" w:themeTint="F2"/>
          <w:sz w:val="24"/>
          <w:szCs w:val="24"/>
        </w:rPr>
        <w:t xml:space="preserve">to promote it in the correct form </w:t>
      </w:r>
      <w:r w:rsidRPr="007C0CD5">
        <w:rPr>
          <w:rFonts w:ascii="Arial" w:hAnsi="Arial" w:cs="Arial"/>
          <w:color w:val="0D0D0D" w:themeColor="text1" w:themeTint="F2"/>
          <w:sz w:val="24"/>
          <w:szCs w:val="24"/>
        </w:rPr>
        <w:t>(Booysen, 2014; Ferdman, 2014; Ferdman, Prime, and Riggio, 2020).</w:t>
      </w:r>
    </w:p>
    <w:p w14:paraId="41FF0780" w14:textId="31EF3121" w:rsidR="00B6066B" w:rsidRPr="007C0CD5" w:rsidRDefault="00B6066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Additionally, Rodd (2013) emphasises that inclusive leadership </w:t>
      </w:r>
      <w:r w:rsidR="00B5512F" w:rsidRPr="007C0CD5">
        <w:rPr>
          <w:rFonts w:ascii="Arial" w:hAnsi="Arial" w:cs="Arial"/>
          <w:color w:val="0D0D0D" w:themeColor="text1" w:themeTint="F2"/>
          <w:sz w:val="24"/>
          <w:szCs w:val="24"/>
        </w:rPr>
        <w:t>requires</w:t>
      </w:r>
      <w:r w:rsidRPr="007C0CD5">
        <w:rPr>
          <w:rFonts w:ascii="Arial" w:hAnsi="Arial" w:cs="Arial"/>
          <w:color w:val="0D0D0D" w:themeColor="text1" w:themeTint="F2"/>
          <w:sz w:val="24"/>
          <w:szCs w:val="24"/>
        </w:rPr>
        <w:t xml:space="preserve"> the capacity to cooperate with others rather than establish control over them. Communication can play a big part within ensuring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inclusive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w:t>
      </w:r>
      <w:r w:rsidR="00F13BC1" w:rsidRPr="007C0CD5">
        <w:rPr>
          <w:rFonts w:ascii="Arial" w:hAnsi="Arial" w:cs="Arial"/>
          <w:color w:val="0D0D0D" w:themeColor="text1" w:themeTint="F2"/>
          <w:sz w:val="24"/>
          <w:szCs w:val="24"/>
        </w:rPr>
        <w:t>where</w:t>
      </w:r>
      <w:r w:rsidRPr="007C0CD5">
        <w:rPr>
          <w:rFonts w:ascii="Arial" w:hAnsi="Arial" w:cs="Arial"/>
          <w:color w:val="0D0D0D" w:themeColor="text1" w:themeTint="F2"/>
          <w:sz w:val="24"/>
          <w:szCs w:val="24"/>
        </w:rPr>
        <w:t xml:space="preserve"> richly enhanced conversations are had between leaders and </w:t>
      </w:r>
      <w:r w:rsidR="00AF7F72" w:rsidRPr="007C0CD5">
        <w:rPr>
          <w:rFonts w:ascii="Arial" w:hAnsi="Arial" w:cs="Arial"/>
          <w:color w:val="0D0D0D" w:themeColor="text1" w:themeTint="F2"/>
          <w:sz w:val="24"/>
          <w:szCs w:val="24"/>
        </w:rPr>
        <w:t>practitioners</w:t>
      </w:r>
      <w:r w:rsidRPr="007C0CD5">
        <w:rPr>
          <w:rFonts w:ascii="Arial" w:hAnsi="Arial" w:cs="Arial"/>
          <w:color w:val="0D0D0D" w:themeColor="text1" w:themeTint="F2"/>
          <w:sz w:val="24"/>
          <w:szCs w:val="24"/>
        </w:rPr>
        <w:t xml:space="preserve"> it </w:t>
      </w:r>
      <w:r w:rsidR="00511C44" w:rsidRPr="007C0CD5">
        <w:rPr>
          <w:rFonts w:ascii="Arial" w:hAnsi="Arial" w:cs="Arial"/>
          <w:color w:val="0D0D0D" w:themeColor="text1" w:themeTint="F2"/>
          <w:sz w:val="24"/>
          <w:szCs w:val="24"/>
        </w:rPr>
        <w:t>allows</w:t>
      </w:r>
      <w:r w:rsidRPr="007C0CD5">
        <w:rPr>
          <w:rFonts w:ascii="Arial" w:hAnsi="Arial" w:cs="Arial"/>
          <w:color w:val="0D0D0D" w:themeColor="text1" w:themeTint="F2"/>
          <w:sz w:val="24"/>
          <w:szCs w:val="24"/>
        </w:rPr>
        <w:t xml:space="preserve"> for a range of perspective to be shared providing unique input in reaching the goal at hand (</w:t>
      </w:r>
      <w:r w:rsidR="00511C44" w:rsidRPr="007C0CD5">
        <w:rPr>
          <w:rFonts w:ascii="Arial" w:hAnsi="Arial" w:cs="Arial"/>
          <w:color w:val="0D0D0D" w:themeColor="text1" w:themeTint="F2"/>
          <w:sz w:val="24"/>
          <w:szCs w:val="24"/>
        </w:rPr>
        <w:t>Ramadhini,</w:t>
      </w:r>
      <w:r w:rsidRPr="007C0CD5">
        <w:rPr>
          <w:rFonts w:ascii="Arial" w:hAnsi="Arial" w:cs="Arial"/>
          <w:color w:val="0D0D0D" w:themeColor="text1" w:themeTint="F2"/>
          <w:sz w:val="24"/>
          <w:szCs w:val="24"/>
        </w:rPr>
        <w:t xml:space="preserve"> Manafe 2022). The capacity to provide children with high-quality practise in settings is dependent on inclusive leadership (Newstead and Isles-Buck, 2019). According to Bowers, Robertson, and Parchman (2012), inclusive leadership is crucial because </w:t>
      </w:r>
      <w:r w:rsidR="00F13BC1" w:rsidRPr="007C0CD5">
        <w:rPr>
          <w:rFonts w:ascii="Arial" w:hAnsi="Arial" w:cs="Arial"/>
          <w:color w:val="0D0D0D" w:themeColor="text1" w:themeTint="F2"/>
          <w:sz w:val="24"/>
          <w:szCs w:val="24"/>
        </w:rPr>
        <w:t>practitioners</w:t>
      </w:r>
      <w:r w:rsidRPr="007C0CD5">
        <w:rPr>
          <w:rFonts w:ascii="Arial" w:hAnsi="Arial" w:cs="Arial"/>
          <w:color w:val="0D0D0D" w:themeColor="text1" w:themeTint="F2"/>
          <w:sz w:val="24"/>
          <w:szCs w:val="24"/>
        </w:rPr>
        <w:t xml:space="preserve"> feel equal, appreciated, and free to speak out and express their thoughts.</w:t>
      </w:r>
    </w:p>
    <w:p w14:paraId="60B5F525" w14:textId="6CA38A29" w:rsidR="00D43964" w:rsidRPr="007C0CD5" w:rsidRDefault="00D4396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The following scenario was observed by a practitioner who then made use of their position as an inclusive leader to foster an inclusive atmosphere for the benefit of everyone who were involved</w:t>
      </w:r>
      <w:r w:rsidR="008414E6" w:rsidRPr="007C0CD5">
        <w:rPr>
          <w:rFonts w:ascii="Arial" w:hAnsi="Arial" w:cs="Arial"/>
          <w:color w:val="0D0D0D" w:themeColor="text1" w:themeTint="F2"/>
          <w:sz w:val="24"/>
          <w:szCs w:val="24"/>
        </w:rPr>
        <w:t xml:space="preserve"> </w:t>
      </w:r>
      <w:r w:rsidR="000C733F" w:rsidRPr="007C0CD5">
        <w:rPr>
          <w:rFonts w:ascii="Arial" w:hAnsi="Arial" w:cs="Arial"/>
          <w:color w:val="0D0D0D" w:themeColor="text1" w:themeTint="F2"/>
          <w:sz w:val="24"/>
          <w:szCs w:val="24"/>
        </w:rPr>
        <w:t xml:space="preserve">ensuring that their </w:t>
      </w:r>
      <w:r w:rsidRPr="007C0CD5">
        <w:rPr>
          <w:rFonts w:ascii="Arial" w:hAnsi="Arial" w:cs="Arial"/>
          <w:color w:val="0D0D0D" w:themeColor="text1" w:themeTint="F2"/>
          <w:sz w:val="24"/>
          <w:szCs w:val="24"/>
        </w:rPr>
        <w:t>welfare</w:t>
      </w:r>
      <w:r w:rsidR="000C733F" w:rsidRPr="007C0CD5">
        <w:rPr>
          <w:rFonts w:ascii="Arial" w:hAnsi="Arial" w:cs="Arial"/>
          <w:color w:val="0D0D0D" w:themeColor="text1" w:themeTint="F2"/>
          <w:sz w:val="24"/>
          <w:szCs w:val="24"/>
        </w:rPr>
        <w:t xml:space="preserve"> was of  high </w:t>
      </w:r>
      <w:r w:rsidR="00511C44" w:rsidRPr="007C0CD5">
        <w:rPr>
          <w:rFonts w:ascii="Arial" w:hAnsi="Arial" w:cs="Arial"/>
          <w:color w:val="0D0D0D" w:themeColor="text1" w:themeTint="F2"/>
          <w:sz w:val="24"/>
          <w:szCs w:val="24"/>
        </w:rPr>
        <w:t>priority</w:t>
      </w:r>
      <w:r w:rsidRPr="007C0CD5">
        <w:rPr>
          <w:rFonts w:ascii="Arial" w:hAnsi="Arial" w:cs="Arial"/>
          <w:color w:val="0D0D0D" w:themeColor="text1" w:themeTint="F2"/>
          <w:sz w:val="24"/>
          <w:szCs w:val="24"/>
        </w:rPr>
        <w:t xml:space="preserve"> (Randel et al., 2018).</w:t>
      </w:r>
      <w:r w:rsidR="008414E6" w:rsidRPr="007C0CD5">
        <w:rPr>
          <w:rFonts w:ascii="Arial" w:hAnsi="Arial" w:cs="Arial"/>
          <w:color w:val="0D0D0D" w:themeColor="text1" w:themeTint="F2"/>
          <w:sz w:val="24"/>
          <w:szCs w:val="24"/>
        </w:rPr>
        <w:t xml:space="preserve"> A father who turned to alcohol after the passing of his wife</w:t>
      </w:r>
      <w:r w:rsidR="000C733F" w:rsidRPr="007C0CD5">
        <w:rPr>
          <w:rFonts w:ascii="Arial" w:hAnsi="Arial" w:cs="Arial"/>
          <w:color w:val="0D0D0D" w:themeColor="text1" w:themeTint="F2"/>
          <w:sz w:val="24"/>
          <w:szCs w:val="24"/>
        </w:rPr>
        <w:t xml:space="preserve"> </w:t>
      </w:r>
      <w:r w:rsidR="00A21AF3" w:rsidRPr="007C0CD5">
        <w:rPr>
          <w:rFonts w:ascii="Arial" w:hAnsi="Arial" w:cs="Arial"/>
          <w:color w:val="0D0D0D" w:themeColor="text1" w:themeTint="F2"/>
          <w:sz w:val="24"/>
          <w:szCs w:val="24"/>
        </w:rPr>
        <w:t>when Gracelynn was a month old.</w:t>
      </w:r>
      <w:r w:rsidR="008414E6" w:rsidRPr="007C0CD5">
        <w:rPr>
          <w:rFonts w:ascii="Arial" w:hAnsi="Arial" w:cs="Arial"/>
          <w:color w:val="0D0D0D" w:themeColor="text1" w:themeTint="F2"/>
          <w:sz w:val="24"/>
          <w:szCs w:val="24"/>
        </w:rPr>
        <w:t xml:space="preserve"> Has overcome his addiction and been granted full custody of Gracely</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n his 4year old daughter. Gracelyn</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 xml:space="preserve"> academically in school is above her developmental norm. </w:t>
      </w:r>
      <w:r w:rsidR="000C733F" w:rsidRPr="007C0CD5">
        <w:rPr>
          <w:rFonts w:ascii="Arial" w:hAnsi="Arial" w:cs="Arial"/>
          <w:color w:val="0D0D0D" w:themeColor="text1" w:themeTint="F2"/>
          <w:sz w:val="24"/>
          <w:szCs w:val="24"/>
        </w:rPr>
        <w:t>However,</w:t>
      </w:r>
      <w:r w:rsidR="008414E6" w:rsidRPr="007C0CD5">
        <w:rPr>
          <w:rFonts w:ascii="Arial" w:hAnsi="Arial" w:cs="Arial"/>
          <w:color w:val="0D0D0D" w:themeColor="text1" w:themeTint="F2"/>
          <w:sz w:val="24"/>
          <w:szCs w:val="24"/>
        </w:rPr>
        <w:t xml:space="preserve"> it has been noted by the staff in her setting that Gracely</w:t>
      </w:r>
      <w:r w:rsidR="00835A97" w:rsidRPr="007C0CD5">
        <w:rPr>
          <w:rFonts w:ascii="Arial" w:hAnsi="Arial" w:cs="Arial"/>
          <w:color w:val="0D0D0D" w:themeColor="text1" w:themeTint="F2"/>
          <w:sz w:val="24"/>
          <w:szCs w:val="24"/>
        </w:rPr>
        <w:t>n</w:t>
      </w:r>
      <w:r w:rsidR="008414E6" w:rsidRPr="007C0CD5">
        <w:rPr>
          <w:rFonts w:ascii="Arial" w:hAnsi="Arial" w:cs="Arial"/>
          <w:color w:val="0D0D0D" w:themeColor="text1" w:themeTint="F2"/>
          <w:sz w:val="24"/>
          <w:szCs w:val="24"/>
        </w:rPr>
        <w:t xml:space="preserve">n is very shy and does not interact with anyone and instead prefers to be alone during breaks and in the classroom. Yet, staff have also noticed that Gracelyn father is shy and does not engage with other parents at the school collection point and is not invited to do so </w:t>
      </w:r>
      <w:r w:rsidR="000C733F" w:rsidRPr="007C0CD5">
        <w:rPr>
          <w:rFonts w:ascii="Arial" w:hAnsi="Arial" w:cs="Arial"/>
          <w:color w:val="0D0D0D" w:themeColor="text1" w:themeTint="F2"/>
          <w:sz w:val="24"/>
          <w:szCs w:val="24"/>
        </w:rPr>
        <w:t>by others. When teachers have previously tried to invite him to talk through parents evening, he has not attended. In response to this circumstance, the practitioner aimed to put support into place to provide Gracelynn and her father a feeling of belonging at the school (Booysen, 2014).</w:t>
      </w:r>
    </w:p>
    <w:p w14:paraId="11461CB2" w14:textId="0B37A1E3" w:rsidR="00DF2CDE" w:rsidRPr="007C0CD5" w:rsidRDefault="00DF2CDE"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How parents feel about the care and education their child is receiving is </w:t>
      </w:r>
      <w:r w:rsidR="008D1909" w:rsidRPr="007C0CD5">
        <w:rPr>
          <w:rFonts w:ascii="Arial" w:hAnsi="Arial" w:cs="Arial"/>
          <w:color w:val="0D0D0D" w:themeColor="text1" w:themeTint="F2"/>
          <w:sz w:val="24"/>
          <w:szCs w:val="24"/>
        </w:rPr>
        <w:t>influenced</w:t>
      </w:r>
      <w:r w:rsidRPr="007C0CD5">
        <w:rPr>
          <w:rFonts w:ascii="Arial" w:hAnsi="Arial" w:cs="Arial"/>
          <w:color w:val="0D0D0D" w:themeColor="text1" w:themeTint="F2"/>
          <w:sz w:val="24"/>
          <w:szCs w:val="24"/>
        </w:rPr>
        <w:t xml:space="preserve"> by the positive interactions they have with their children's teachers. </w:t>
      </w:r>
      <w:r w:rsidR="00F13BC1" w:rsidRPr="007C0CD5">
        <w:rPr>
          <w:rFonts w:ascii="Arial" w:hAnsi="Arial" w:cs="Arial"/>
          <w:color w:val="0D0D0D" w:themeColor="text1" w:themeTint="F2"/>
          <w:sz w:val="24"/>
          <w:szCs w:val="24"/>
        </w:rPr>
        <w:t>P</w:t>
      </w:r>
      <w:r w:rsidRPr="007C0CD5">
        <w:rPr>
          <w:rFonts w:ascii="Arial" w:hAnsi="Arial" w:cs="Arial"/>
          <w:color w:val="0D0D0D" w:themeColor="text1" w:themeTint="F2"/>
          <w:sz w:val="24"/>
          <w:szCs w:val="24"/>
        </w:rPr>
        <w:t>arents</w:t>
      </w:r>
      <w:r w:rsidR="00F13BC1"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perceptions of the level of care their child is receiving and their propensity to respond to teacher-initiated interactions are both significantly influenced by their trust in the teacher or carer (Mensing, French, Fuller, &amp; Kagan, 2000).Parents have a tendency to respect teachers who exhibit an affectionate disposition towards them and their children as well as being attentive to their needs (Olson &amp; Hyson, 2005).</w:t>
      </w:r>
    </w:p>
    <w:p w14:paraId="528495B4" w14:textId="623BCE2E" w:rsidR="00C42011" w:rsidRPr="007C0CD5" w:rsidRDefault="00C4201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Working collaboratively is a crucial component </w:t>
      </w:r>
      <w:r w:rsidR="00835A97" w:rsidRPr="007C0CD5">
        <w:rPr>
          <w:rFonts w:ascii="Arial" w:hAnsi="Arial" w:cs="Arial"/>
          <w:color w:val="0D0D0D" w:themeColor="text1" w:themeTint="F2"/>
          <w:sz w:val="24"/>
          <w:szCs w:val="24"/>
        </w:rPr>
        <w:t xml:space="preserve">within maintaining the pathways of </w:t>
      </w:r>
      <w:r w:rsidRPr="007C0CD5">
        <w:rPr>
          <w:rFonts w:ascii="Arial" w:hAnsi="Arial" w:cs="Arial"/>
          <w:color w:val="0D0D0D" w:themeColor="text1" w:themeTint="F2"/>
          <w:sz w:val="24"/>
          <w:szCs w:val="24"/>
        </w:rPr>
        <w:t xml:space="preserve">inclusive </w:t>
      </w:r>
      <w:r w:rsidR="005612F7" w:rsidRPr="007C0CD5">
        <w:rPr>
          <w:rFonts w:ascii="Arial" w:hAnsi="Arial" w:cs="Arial"/>
          <w:color w:val="0D0D0D" w:themeColor="text1" w:themeTint="F2"/>
          <w:sz w:val="24"/>
          <w:szCs w:val="24"/>
        </w:rPr>
        <w:t>leader</w:t>
      </w:r>
      <w:r w:rsidR="00F13BC1" w:rsidRPr="007C0CD5">
        <w:rPr>
          <w:rFonts w:ascii="Arial" w:hAnsi="Arial" w:cs="Arial"/>
          <w:color w:val="0D0D0D" w:themeColor="text1" w:themeTint="F2"/>
          <w:sz w:val="24"/>
          <w:szCs w:val="24"/>
        </w:rPr>
        <w:t>ship</w:t>
      </w:r>
      <w:r w:rsidR="005612F7" w:rsidRPr="007C0CD5">
        <w:rPr>
          <w:rFonts w:ascii="Arial" w:hAnsi="Arial" w:cs="Arial"/>
          <w:color w:val="0D0D0D" w:themeColor="text1" w:themeTint="F2"/>
          <w:sz w:val="24"/>
          <w:szCs w:val="24"/>
        </w:rPr>
        <w:t>, according</w:t>
      </w:r>
      <w:r w:rsidRPr="007C0CD5">
        <w:rPr>
          <w:rFonts w:ascii="Arial" w:hAnsi="Arial" w:cs="Arial"/>
          <w:color w:val="0D0D0D" w:themeColor="text1" w:themeTint="F2"/>
          <w:sz w:val="24"/>
          <w:szCs w:val="24"/>
        </w:rPr>
        <w:t xml:space="preserve"> to Scanlan and Johnson (2020)</w:t>
      </w:r>
      <w:r w:rsidR="00835A97" w:rsidRPr="007C0CD5">
        <w:rPr>
          <w:rFonts w:ascii="Arial" w:hAnsi="Arial" w:cs="Arial"/>
          <w:color w:val="0D0D0D" w:themeColor="text1" w:themeTint="F2"/>
          <w:sz w:val="24"/>
          <w:szCs w:val="24"/>
        </w:rPr>
        <w:t xml:space="preserve">. Without collaboration </w:t>
      </w:r>
      <w:r w:rsidRPr="007C0CD5">
        <w:rPr>
          <w:rFonts w:ascii="Arial" w:hAnsi="Arial" w:cs="Arial"/>
          <w:color w:val="0D0D0D" w:themeColor="text1" w:themeTint="F2"/>
          <w:sz w:val="24"/>
          <w:szCs w:val="24"/>
        </w:rPr>
        <w:t xml:space="preserve">families feel </w:t>
      </w:r>
      <w:r w:rsidR="00835A97" w:rsidRPr="007C0CD5">
        <w:rPr>
          <w:rFonts w:ascii="Arial" w:hAnsi="Arial" w:cs="Arial"/>
          <w:color w:val="0D0D0D" w:themeColor="text1" w:themeTint="F2"/>
          <w:sz w:val="24"/>
          <w:szCs w:val="24"/>
        </w:rPr>
        <w:t>un</w:t>
      </w:r>
      <w:r w:rsidRPr="007C0CD5">
        <w:rPr>
          <w:rFonts w:ascii="Arial" w:hAnsi="Arial" w:cs="Arial"/>
          <w:color w:val="0D0D0D" w:themeColor="text1" w:themeTint="F2"/>
          <w:sz w:val="24"/>
          <w:szCs w:val="24"/>
        </w:rPr>
        <w:t xml:space="preserve">appreciated by </w:t>
      </w:r>
      <w:r w:rsidR="00835A97" w:rsidRPr="007C0CD5">
        <w:rPr>
          <w:rFonts w:ascii="Arial" w:hAnsi="Arial" w:cs="Arial"/>
          <w:color w:val="0D0D0D" w:themeColor="text1" w:themeTint="F2"/>
          <w:sz w:val="24"/>
          <w:szCs w:val="24"/>
        </w:rPr>
        <w:t>practitioners. As w</w:t>
      </w:r>
      <w:r w:rsidRPr="007C0CD5">
        <w:rPr>
          <w:rFonts w:ascii="Arial" w:hAnsi="Arial" w:cs="Arial"/>
          <w:color w:val="0D0D0D" w:themeColor="text1" w:themeTint="F2"/>
          <w:sz w:val="24"/>
          <w:szCs w:val="24"/>
        </w:rPr>
        <w:t xml:space="preserve">orking in cooperation with parents is crucial for fulfilling a child's needs because it </w:t>
      </w:r>
      <w:r w:rsidR="00835A97" w:rsidRPr="007C0CD5">
        <w:rPr>
          <w:rFonts w:ascii="Arial" w:hAnsi="Arial" w:cs="Arial"/>
          <w:color w:val="0D0D0D" w:themeColor="text1" w:themeTint="F2"/>
          <w:sz w:val="24"/>
          <w:szCs w:val="24"/>
        </w:rPr>
        <w:t>identifies</w:t>
      </w:r>
      <w:r w:rsidRPr="007C0CD5">
        <w:rPr>
          <w:rFonts w:ascii="Arial" w:hAnsi="Arial" w:cs="Arial"/>
          <w:color w:val="0D0D0D" w:themeColor="text1" w:themeTint="F2"/>
          <w:sz w:val="24"/>
          <w:szCs w:val="24"/>
        </w:rPr>
        <w:t xml:space="preserve"> the connection</w:t>
      </w:r>
      <w:r w:rsidR="00835A97" w:rsidRPr="007C0CD5">
        <w:rPr>
          <w:rFonts w:ascii="Arial" w:hAnsi="Arial" w:cs="Arial"/>
          <w:color w:val="0D0D0D" w:themeColor="text1" w:themeTint="F2"/>
          <w:sz w:val="24"/>
          <w:szCs w:val="24"/>
        </w:rPr>
        <w:t xml:space="preserve">s that are necessary to be formed at </w:t>
      </w:r>
      <w:r w:rsidRPr="007C0CD5">
        <w:rPr>
          <w:rFonts w:ascii="Arial" w:hAnsi="Arial" w:cs="Arial"/>
          <w:color w:val="0D0D0D" w:themeColor="text1" w:themeTint="F2"/>
          <w:sz w:val="24"/>
          <w:szCs w:val="24"/>
        </w:rPr>
        <w:t xml:space="preserve">home and </w:t>
      </w:r>
      <w:r w:rsidR="005612F7" w:rsidRPr="007C0CD5">
        <w:rPr>
          <w:rFonts w:ascii="Arial" w:hAnsi="Arial" w:cs="Arial"/>
          <w:color w:val="0D0D0D" w:themeColor="text1" w:themeTint="F2"/>
          <w:sz w:val="24"/>
          <w:szCs w:val="24"/>
        </w:rPr>
        <w:t>school. Subsequently</w:t>
      </w:r>
      <w:r w:rsidR="00835A97" w:rsidRPr="007C0CD5">
        <w:rPr>
          <w:rFonts w:ascii="Arial" w:hAnsi="Arial" w:cs="Arial"/>
          <w:color w:val="0D0D0D" w:themeColor="text1" w:themeTint="F2"/>
          <w:sz w:val="24"/>
          <w:szCs w:val="24"/>
        </w:rPr>
        <w:t xml:space="preserve"> this provides </w:t>
      </w:r>
      <w:r w:rsidRPr="007C0CD5">
        <w:rPr>
          <w:rFonts w:ascii="Arial" w:hAnsi="Arial" w:cs="Arial"/>
          <w:color w:val="0D0D0D" w:themeColor="text1" w:themeTint="F2"/>
          <w:sz w:val="24"/>
          <w:szCs w:val="24"/>
        </w:rPr>
        <w:t>parents</w:t>
      </w:r>
      <w:r w:rsidR="00835A97" w:rsidRPr="007C0CD5">
        <w:rPr>
          <w:rFonts w:ascii="Arial" w:hAnsi="Arial" w:cs="Arial"/>
          <w:color w:val="0D0D0D" w:themeColor="text1" w:themeTint="F2"/>
          <w:sz w:val="24"/>
          <w:szCs w:val="24"/>
        </w:rPr>
        <w:t xml:space="preserve"> with</w:t>
      </w:r>
      <w:r w:rsidRPr="007C0CD5">
        <w:rPr>
          <w:rFonts w:ascii="Arial" w:hAnsi="Arial" w:cs="Arial"/>
          <w:color w:val="0D0D0D" w:themeColor="text1" w:themeTint="F2"/>
          <w:sz w:val="24"/>
          <w:szCs w:val="24"/>
        </w:rPr>
        <w:t xml:space="preserve"> a sense of value by letting them know they are an important part of their child's life and education (LINC, 2020). Additionally, Adams, Harris, and Jones (2018) as well as DeMatthews (2021) emphasise that when properly supported by an inclusive leader, working in cooperation with families is helpful and </w:t>
      </w:r>
      <w:r w:rsidR="00F13BC1" w:rsidRPr="007C0CD5">
        <w:rPr>
          <w:rFonts w:ascii="Arial" w:hAnsi="Arial" w:cs="Arial"/>
          <w:color w:val="0D0D0D" w:themeColor="text1" w:themeTint="F2"/>
          <w:sz w:val="24"/>
          <w:szCs w:val="24"/>
        </w:rPr>
        <w:t xml:space="preserve">can </w:t>
      </w:r>
      <w:r w:rsidRPr="007C0CD5">
        <w:rPr>
          <w:rFonts w:ascii="Arial" w:hAnsi="Arial" w:cs="Arial"/>
          <w:color w:val="0D0D0D" w:themeColor="text1" w:themeTint="F2"/>
          <w:sz w:val="24"/>
          <w:szCs w:val="24"/>
        </w:rPr>
        <w:t>provide positive outcome</w:t>
      </w:r>
      <w:r w:rsidR="00F13BC1" w:rsidRPr="007C0CD5">
        <w:rPr>
          <w:rFonts w:ascii="Arial" w:hAnsi="Arial" w:cs="Arial"/>
          <w:color w:val="0D0D0D" w:themeColor="text1" w:themeTint="F2"/>
          <w:sz w:val="24"/>
          <w:szCs w:val="24"/>
        </w:rPr>
        <w:t>s</w:t>
      </w:r>
      <w:r w:rsidRPr="007C0CD5">
        <w:rPr>
          <w:rFonts w:ascii="Arial" w:hAnsi="Arial" w:cs="Arial"/>
          <w:color w:val="0D0D0D" w:themeColor="text1" w:themeTint="F2"/>
          <w:sz w:val="24"/>
          <w:szCs w:val="24"/>
        </w:rPr>
        <w:t>. Hence, why through acknowledging such, information by inviting Gracelynn and her father to a meeting that is arranged with the teacher and himself</w:t>
      </w:r>
      <w:r w:rsidR="00F13BC1" w:rsidRPr="007C0CD5">
        <w:rPr>
          <w:rFonts w:ascii="Arial" w:hAnsi="Arial" w:cs="Arial"/>
          <w:color w:val="0D0D0D" w:themeColor="text1" w:themeTint="F2"/>
          <w:sz w:val="24"/>
          <w:szCs w:val="24"/>
        </w:rPr>
        <w:t>. E</w:t>
      </w:r>
      <w:r w:rsidRPr="007C0CD5">
        <w:rPr>
          <w:rFonts w:ascii="Arial" w:hAnsi="Arial" w:cs="Arial"/>
          <w:color w:val="0D0D0D" w:themeColor="text1" w:themeTint="F2"/>
          <w:sz w:val="24"/>
          <w:szCs w:val="24"/>
        </w:rPr>
        <w:t xml:space="preserve">nsuring, that he is able to arrange the meeting to best </w:t>
      </w:r>
      <w:r w:rsidRPr="007C0CD5">
        <w:rPr>
          <w:rFonts w:ascii="Arial" w:hAnsi="Arial" w:cs="Arial"/>
          <w:color w:val="0D0D0D" w:themeColor="text1" w:themeTint="F2"/>
          <w:sz w:val="24"/>
          <w:szCs w:val="24"/>
        </w:rPr>
        <w:lastRenderedPageBreak/>
        <w:t xml:space="preserve">meet his requirement and schedule. This will promote the likeliness him showing as he had full involvement in the arrangement of said meeting (Auty., </w:t>
      </w:r>
      <w:r w:rsidR="00511C44" w:rsidRPr="007C0CD5">
        <w:rPr>
          <w:rFonts w:ascii="Arial" w:hAnsi="Arial" w:cs="Arial"/>
          <w:color w:val="0D0D0D" w:themeColor="text1" w:themeTint="F2"/>
          <w:sz w:val="24"/>
          <w:szCs w:val="24"/>
        </w:rPr>
        <w:t>Harris,</w:t>
      </w:r>
      <w:r w:rsidRPr="007C0CD5">
        <w:rPr>
          <w:rFonts w:ascii="Arial" w:hAnsi="Arial" w:cs="Arial"/>
          <w:color w:val="0D0D0D" w:themeColor="text1" w:themeTint="F2"/>
          <w:sz w:val="24"/>
          <w:szCs w:val="24"/>
        </w:rPr>
        <w:t xml:space="preserve"> and Holes</w:t>
      </w:r>
      <w:r w:rsidR="00961540"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1992) </w:t>
      </w:r>
    </w:p>
    <w:p w14:paraId="064CD70E" w14:textId="5D94A877" w:rsidR="001D0B96" w:rsidRPr="007C0CD5" w:rsidRDefault="001D0B96"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Gracelynn should be offered to attend the meeting alongside her dad . By treating the child equally, the practitioner is able to be more inclusive (Archard, 2014). The United Nations Convention on the Rights of the </w:t>
      </w:r>
      <w:r w:rsidR="00A21AF3" w:rsidRPr="007C0CD5">
        <w:rPr>
          <w:rFonts w:ascii="Arial" w:hAnsi="Arial" w:cs="Arial"/>
          <w:color w:val="0D0D0D" w:themeColor="text1" w:themeTint="F2"/>
          <w:sz w:val="24"/>
          <w:szCs w:val="24"/>
        </w:rPr>
        <w:t>Child</w:t>
      </w:r>
      <w:r w:rsidRPr="007C0CD5">
        <w:rPr>
          <w:rFonts w:ascii="Arial" w:hAnsi="Arial" w:cs="Arial"/>
          <w:color w:val="0D0D0D" w:themeColor="text1" w:themeTint="F2"/>
          <w:sz w:val="24"/>
          <w:szCs w:val="24"/>
        </w:rPr>
        <w:t xml:space="preserve"> (No date) declares children's rights in a variety of areas, but articles 12 and 13 highlight how each child has a right to their own voice, the ability to express their ideas and feelings on any issues that concern them, and the right to be heard </w:t>
      </w:r>
      <w:r w:rsidR="000A6B6A" w:rsidRPr="007C0CD5">
        <w:rPr>
          <w:rFonts w:ascii="Arial" w:hAnsi="Arial" w:cs="Arial"/>
          <w:color w:val="0D0D0D" w:themeColor="text1" w:themeTint="F2"/>
          <w:sz w:val="24"/>
          <w:szCs w:val="24"/>
        </w:rPr>
        <w:t>(Facca,Gladstone, and Teachman,</w:t>
      </w:r>
      <w:r w:rsidR="00F60D9C" w:rsidRPr="007C0CD5">
        <w:rPr>
          <w:rFonts w:ascii="Arial" w:hAnsi="Arial" w:cs="Arial"/>
          <w:color w:val="0D0D0D" w:themeColor="text1" w:themeTint="F2"/>
          <w:sz w:val="24"/>
          <w:szCs w:val="24"/>
        </w:rPr>
        <w:t xml:space="preserve"> </w:t>
      </w:r>
      <w:r w:rsidR="000A6B6A" w:rsidRPr="007C0CD5">
        <w:rPr>
          <w:rFonts w:ascii="Arial" w:hAnsi="Arial" w:cs="Arial"/>
          <w:color w:val="0D0D0D" w:themeColor="text1" w:themeTint="F2"/>
          <w:sz w:val="24"/>
          <w:szCs w:val="24"/>
        </w:rPr>
        <w:t>2020</w:t>
      </w:r>
      <w:r w:rsidR="00F60D9C" w:rsidRPr="007C0CD5">
        <w:rPr>
          <w:rFonts w:ascii="Arial" w:hAnsi="Arial" w:cs="Arial"/>
          <w:color w:val="0D0D0D" w:themeColor="text1" w:themeTint="F2"/>
          <w:sz w:val="24"/>
          <w:szCs w:val="24"/>
        </w:rPr>
        <w:t>)</w:t>
      </w:r>
      <w:r w:rsidR="00A21AF3" w:rsidRPr="007C0CD5">
        <w:rPr>
          <w:rFonts w:ascii="Arial" w:hAnsi="Arial" w:cs="Arial"/>
          <w:color w:val="0D0D0D" w:themeColor="text1" w:themeTint="F2"/>
          <w:sz w:val="24"/>
          <w:szCs w:val="24"/>
        </w:rPr>
        <w:t>.</w:t>
      </w:r>
    </w:p>
    <w:p w14:paraId="1FF63E00" w14:textId="05B63C13" w:rsidR="00697D44" w:rsidRPr="007C0CD5" w:rsidRDefault="00697D4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Brown (2020), an inclusive leader considers when power is shared with others, it expands and becomes </w:t>
      </w:r>
      <w:r w:rsidR="005612F7" w:rsidRPr="007C0CD5">
        <w:rPr>
          <w:rFonts w:ascii="Arial" w:hAnsi="Arial" w:cs="Arial"/>
          <w:color w:val="0D0D0D" w:themeColor="text1" w:themeTint="F2"/>
          <w:sz w:val="24"/>
          <w:szCs w:val="24"/>
        </w:rPr>
        <w:t>boundless. Providing</w:t>
      </w:r>
      <w:r w:rsidR="00835A97"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an</w:t>
      </w:r>
      <w:r w:rsidR="00835A97"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environment</w:t>
      </w:r>
      <w:r w:rsidR="00835A97" w:rsidRPr="007C0CD5">
        <w:rPr>
          <w:rFonts w:ascii="Arial" w:hAnsi="Arial" w:cs="Arial"/>
          <w:color w:val="0D0D0D" w:themeColor="text1" w:themeTint="F2"/>
          <w:sz w:val="24"/>
          <w:szCs w:val="24"/>
        </w:rPr>
        <w:t xml:space="preserve"> that is free from </w:t>
      </w:r>
      <w:r w:rsidR="005612F7" w:rsidRPr="007C0CD5">
        <w:rPr>
          <w:rFonts w:ascii="Arial" w:hAnsi="Arial" w:cs="Arial"/>
          <w:color w:val="0D0D0D" w:themeColor="text1" w:themeTint="F2"/>
          <w:sz w:val="24"/>
          <w:szCs w:val="24"/>
        </w:rPr>
        <w:t>judgment</w:t>
      </w:r>
      <w:r w:rsidR="00835A97" w:rsidRPr="007C0CD5">
        <w:rPr>
          <w:rFonts w:ascii="Arial" w:hAnsi="Arial" w:cs="Arial"/>
          <w:color w:val="0D0D0D" w:themeColor="text1" w:themeTint="F2"/>
          <w:sz w:val="24"/>
          <w:szCs w:val="24"/>
        </w:rPr>
        <w:t xml:space="preserve"> and </w:t>
      </w:r>
      <w:r w:rsidRPr="007C0CD5">
        <w:rPr>
          <w:rFonts w:ascii="Arial" w:hAnsi="Arial" w:cs="Arial"/>
          <w:color w:val="0D0D0D" w:themeColor="text1" w:themeTint="F2"/>
          <w:sz w:val="24"/>
          <w:szCs w:val="24"/>
        </w:rPr>
        <w:t xml:space="preserve"> </w:t>
      </w:r>
      <w:r w:rsidR="00835A97" w:rsidRPr="007C0CD5">
        <w:rPr>
          <w:rFonts w:ascii="Arial" w:hAnsi="Arial" w:cs="Arial"/>
          <w:color w:val="0D0D0D" w:themeColor="text1" w:themeTint="F2"/>
          <w:sz w:val="24"/>
          <w:szCs w:val="24"/>
        </w:rPr>
        <w:t>concepts can</w:t>
      </w:r>
      <w:r w:rsidRPr="007C0CD5">
        <w:rPr>
          <w:rFonts w:ascii="Arial" w:hAnsi="Arial" w:cs="Arial"/>
          <w:color w:val="0D0D0D" w:themeColor="text1" w:themeTint="F2"/>
          <w:sz w:val="24"/>
          <w:szCs w:val="24"/>
        </w:rPr>
        <w:t xml:space="preserve"> flourish, and the voices of people who ordinarily feel </w:t>
      </w:r>
      <w:r w:rsidR="00835A97" w:rsidRPr="007C0CD5">
        <w:rPr>
          <w:rFonts w:ascii="Arial" w:hAnsi="Arial" w:cs="Arial"/>
          <w:color w:val="0D0D0D" w:themeColor="text1" w:themeTint="F2"/>
          <w:sz w:val="24"/>
          <w:szCs w:val="24"/>
        </w:rPr>
        <w:t>they are not of power or worth</w:t>
      </w:r>
      <w:r w:rsidRPr="007C0CD5">
        <w:rPr>
          <w:rFonts w:ascii="Arial" w:hAnsi="Arial" w:cs="Arial"/>
          <w:color w:val="0D0D0D" w:themeColor="text1" w:themeTint="F2"/>
          <w:sz w:val="24"/>
          <w:szCs w:val="24"/>
        </w:rPr>
        <w:t xml:space="preserve"> come to the fore</w:t>
      </w:r>
      <w:r w:rsidR="00835A97" w:rsidRPr="007C0CD5">
        <w:rPr>
          <w:rFonts w:ascii="Arial" w:hAnsi="Arial" w:cs="Arial"/>
          <w:color w:val="0D0D0D" w:themeColor="text1" w:themeTint="F2"/>
          <w:sz w:val="24"/>
          <w:szCs w:val="24"/>
        </w:rPr>
        <w:t>front</w:t>
      </w:r>
      <w:r w:rsidRPr="007C0CD5">
        <w:rPr>
          <w:rFonts w:ascii="Arial" w:hAnsi="Arial" w:cs="Arial"/>
          <w:color w:val="0D0D0D" w:themeColor="text1" w:themeTint="F2"/>
          <w:sz w:val="24"/>
          <w:szCs w:val="24"/>
        </w:rPr>
        <w:t xml:space="preserve"> and are heard</w:t>
      </w:r>
      <w:r w:rsidR="00F13BC1" w:rsidRPr="007C0CD5">
        <w:rPr>
          <w:rFonts w:ascii="Arial" w:hAnsi="Arial" w:cs="Arial"/>
          <w:color w:val="0D0D0D" w:themeColor="text1" w:themeTint="F2"/>
          <w:sz w:val="24"/>
          <w:szCs w:val="24"/>
        </w:rPr>
        <w:t>.C</w:t>
      </w:r>
      <w:r w:rsidRPr="007C0CD5">
        <w:rPr>
          <w:rFonts w:ascii="Arial" w:hAnsi="Arial" w:cs="Arial"/>
          <w:color w:val="0D0D0D" w:themeColor="text1" w:themeTint="F2"/>
          <w:sz w:val="24"/>
          <w:szCs w:val="24"/>
        </w:rPr>
        <w:t xml:space="preserve">reating an atmosphere of equality, worth, and belonging. </w:t>
      </w:r>
      <w:r w:rsidR="005612F7" w:rsidRPr="007C0CD5">
        <w:rPr>
          <w:rFonts w:ascii="Arial" w:hAnsi="Arial" w:cs="Arial"/>
          <w:color w:val="0D0D0D" w:themeColor="text1" w:themeTint="F2"/>
          <w:sz w:val="24"/>
          <w:szCs w:val="24"/>
        </w:rPr>
        <w:t>However,</w:t>
      </w:r>
      <w:r w:rsidR="00835A97" w:rsidRPr="007C0CD5">
        <w:rPr>
          <w:rFonts w:ascii="Arial" w:hAnsi="Arial" w:cs="Arial"/>
          <w:color w:val="0D0D0D" w:themeColor="text1" w:themeTint="F2"/>
          <w:sz w:val="24"/>
          <w:szCs w:val="24"/>
        </w:rPr>
        <w:t xml:space="preserve"> this can only occur when, pa</w:t>
      </w:r>
      <w:r w:rsidRPr="007C0CD5">
        <w:rPr>
          <w:rFonts w:ascii="Arial" w:hAnsi="Arial" w:cs="Arial"/>
          <w:color w:val="0D0D0D" w:themeColor="text1" w:themeTint="F2"/>
          <w:sz w:val="24"/>
          <w:szCs w:val="24"/>
        </w:rPr>
        <w:t>rtnerships and relationships</w:t>
      </w:r>
      <w:r w:rsidR="00835A97" w:rsidRPr="007C0CD5">
        <w:rPr>
          <w:rFonts w:ascii="Arial" w:hAnsi="Arial" w:cs="Arial"/>
          <w:color w:val="0D0D0D" w:themeColor="text1" w:themeTint="F2"/>
          <w:sz w:val="24"/>
          <w:szCs w:val="24"/>
        </w:rPr>
        <w:t xml:space="preserve"> of great strength are formed</w:t>
      </w:r>
      <w:r w:rsidRPr="007C0CD5">
        <w:rPr>
          <w:rFonts w:ascii="Arial" w:hAnsi="Arial" w:cs="Arial"/>
          <w:color w:val="0D0D0D" w:themeColor="text1" w:themeTint="F2"/>
          <w:sz w:val="24"/>
          <w:szCs w:val="24"/>
        </w:rPr>
        <w:t xml:space="preserve"> between professionals, children, and families </w:t>
      </w:r>
      <w:r w:rsidR="00732C03" w:rsidRPr="007C0CD5">
        <w:rPr>
          <w:rFonts w:ascii="Arial" w:hAnsi="Arial" w:cs="Arial"/>
          <w:color w:val="0D0D0D" w:themeColor="text1" w:themeTint="F2"/>
          <w:sz w:val="24"/>
          <w:szCs w:val="24"/>
        </w:rPr>
        <w:t>as</w:t>
      </w:r>
      <w:r w:rsidRPr="007C0CD5">
        <w:rPr>
          <w:rFonts w:ascii="Arial" w:hAnsi="Arial" w:cs="Arial"/>
          <w:color w:val="0D0D0D" w:themeColor="text1" w:themeTint="F2"/>
          <w:sz w:val="24"/>
          <w:szCs w:val="24"/>
        </w:rPr>
        <w:t xml:space="preserve"> inclusive leaders engage and work with children. This can help children transition from a position of powerlessness to one of empowerment and value (Boland et al.).</w:t>
      </w:r>
    </w:p>
    <w:p w14:paraId="2A98C0EB" w14:textId="06D73120" w:rsidR="00F60D9C" w:rsidRPr="007C0CD5" w:rsidRDefault="00F60D9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In accordance with the guidelines from article 12 of the UNCRC (No date), sufficient consideration should be given to the child's perceives in accordance with the maturity and age of the child. Murray (2019) explains how the age of the child can </w:t>
      </w:r>
      <w:r w:rsidR="008D1909" w:rsidRPr="007C0CD5">
        <w:rPr>
          <w:rFonts w:ascii="Arial" w:hAnsi="Arial" w:cs="Arial"/>
          <w:color w:val="0D0D0D" w:themeColor="text1" w:themeTint="F2"/>
          <w:sz w:val="24"/>
          <w:szCs w:val="24"/>
        </w:rPr>
        <w:t>function as</w:t>
      </w:r>
      <w:r w:rsidRPr="007C0CD5">
        <w:rPr>
          <w:rFonts w:ascii="Arial" w:hAnsi="Arial" w:cs="Arial"/>
          <w:color w:val="0D0D0D" w:themeColor="text1" w:themeTint="F2"/>
          <w:sz w:val="24"/>
          <w:szCs w:val="24"/>
        </w:rPr>
        <w:t xml:space="preserve"> a barrier to a child having a voice as the child might be non-verbal or even if the child is verbal dependent on their age their perspective may be overlooked.</w:t>
      </w:r>
      <w:r w:rsidR="003B7D3A" w:rsidRPr="007C0CD5">
        <w:rPr>
          <w:rFonts w:ascii="Arial" w:hAnsi="Arial" w:cs="Arial"/>
          <w:color w:val="0D0D0D" w:themeColor="text1" w:themeTint="F2"/>
          <w:sz w:val="24"/>
          <w:szCs w:val="24"/>
        </w:rPr>
        <w:t xml:space="preserve"> </w:t>
      </w:r>
    </w:p>
    <w:p w14:paraId="7F28AE6C" w14:textId="43CF9D25" w:rsidR="00F176D9" w:rsidRPr="007C0CD5" w:rsidRDefault="00F176D9"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O'Connor et al. (2011), there is a significant association between the impacts of social difficulties and effective </w:t>
      </w:r>
      <w:r w:rsidR="00511C44" w:rsidRPr="007C0CD5">
        <w:rPr>
          <w:rFonts w:ascii="Arial" w:hAnsi="Arial" w:cs="Arial"/>
          <w:color w:val="0D0D0D" w:themeColor="text1" w:themeTint="F2"/>
          <w:sz w:val="24"/>
          <w:szCs w:val="24"/>
        </w:rPr>
        <w:t>communication. As</w:t>
      </w:r>
      <w:r w:rsidRPr="007C0CD5">
        <w:rPr>
          <w:rFonts w:ascii="Arial" w:hAnsi="Arial" w:cs="Arial"/>
          <w:color w:val="0D0D0D" w:themeColor="text1" w:themeTint="F2"/>
          <w:sz w:val="24"/>
          <w:szCs w:val="24"/>
        </w:rPr>
        <w:t xml:space="preserve"> a result, it presents a barrier for the child's inclusion in communicating and expressing themselves in the meeting.  When fostering a setting where the child's voice </w:t>
      </w:r>
      <w:r w:rsidR="00732C03" w:rsidRPr="007C0CD5">
        <w:rPr>
          <w:rFonts w:ascii="Arial" w:hAnsi="Arial" w:cs="Arial"/>
          <w:color w:val="0D0D0D" w:themeColor="text1" w:themeTint="F2"/>
          <w:sz w:val="24"/>
          <w:szCs w:val="24"/>
        </w:rPr>
        <w:t>is</w:t>
      </w:r>
      <w:r w:rsidRPr="007C0CD5">
        <w:rPr>
          <w:rFonts w:ascii="Arial" w:hAnsi="Arial" w:cs="Arial"/>
          <w:color w:val="0D0D0D" w:themeColor="text1" w:themeTint="F2"/>
          <w:sz w:val="24"/>
          <w:szCs w:val="24"/>
        </w:rPr>
        <w:t xml:space="preserve"> heard, an inclusive leader would need to be sympathetic, patient, and supportive (Dewey, 2020).</w:t>
      </w:r>
    </w:p>
    <w:p w14:paraId="2DD316D3" w14:textId="2B5DC373" w:rsidR="00C71287" w:rsidRPr="007C0CD5" w:rsidRDefault="0048301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father in the example has conquered addiction and demonstrated his ability to care for his child, therefore through the usage of multi-agency approaches such as, social workers and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alcohol specialist</w:t>
      </w:r>
      <w:r w:rsidRPr="007C0CD5">
        <w:rPr>
          <w:rFonts w:ascii="Arial" w:hAnsi="Arial" w:cs="Arial"/>
          <w:color w:val="0D0D0D" w:themeColor="text1" w:themeTint="F2"/>
          <w:sz w:val="24"/>
          <w:szCs w:val="24"/>
        </w:rPr>
        <w:t xml:space="preserve"> has led to a positive outcome for Gracelynn </w:t>
      </w:r>
      <w:r w:rsidRPr="007C0CD5">
        <w:rPr>
          <w:rFonts w:ascii="Arial" w:hAnsi="Arial" w:cs="Arial"/>
          <w:color w:val="0D0D0D" w:themeColor="text1" w:themeTint="F2"/>
          <w:sz w:val="24"/>
          <w:szCs w:val="24"/>
        </w:rPr>
        <w:lastRenderedPageBreak/>
        <w:t>and her father (Hafford-Letchfield et al. 2014).</w:t>
      </w:r>
      <w:r w:rsidR="00511C44" w:rsidRPr="007C0CD5">
        <w:rPr>
          <w:rFonts w:ascii="Arial" w:hAnsi="Arial" w:cs="Arial"/>
          <w:color w:val="0D0D0D" w:themeColor="text1" w:themeTint="F2"/>
          <w:sz w:val="24"/>
          <w:szCs w:val="24"/>
        </w:rPr>
        <w:t>Acknowledging</w:t>
      </w:r>
      <w:r w:rsidRPr="007C0CD5">
        <w:rPr>
          <w:rFonts w:ascii="Arial" w:hAnsi="Arial" w:cs="Arial"/>
          <w:color w:val="0D0D0D" w:themeColor="text1" w:themeTint="F2"/>
          <w:sz w:val="24"/>
          <w:szCs w:val="24"/>
        </w:rPr>
        <w:t xml:space="preserve"> the fathers past is </w:t>
      </w:r>
      <w:r w:rsidR="00732C03" w:rsidRPr="007C0CD5">
        <w:rPr>
          <w:rFonts w:ascii="Arial" w:hAnsi="Arial" w:cs="Arial"/>
          <w:color w:val="0D0D0D" w:themeColor="text1" w:themeTint="F2"/>
          <w:sz w:val="24"/>
          <w:szCs w:val="24"/>
        </w:rPr>
        <w:t>valuable</w:t>
      </w:r>
      <w:r w:rsidRPr="007C0CD5">
        <w:rPr>
          <w:rFonts w:ascii="Arial" w:hAnsi="Arial" w:cs="Arial"/>
          <w:color w:val="0D0D0D" w:themeColor="text1" w:themeTint="F2"/>
          <w:sz w:val="24"/>
          <w:szCs w:val="24"/>
        </w:rPr>
        <w:t xml:space="preserve"> in understanding support he may require. A variety of multi-agency professionals will be involved to assist Gracelynn wellbeing and development.  As well as the fathers' recovery and providing parenting support</w:t>
      </w:r>
      <w:r w:rsidR="00E06007"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and support to keep him sober and reduce the likelihood of him relapsing (NSPCC, 2019). </w:t>
      </w:r>
    </w:p>
    <w:p w14:paraId="4C4DC2EE" w14:textId="0EE723E3" w:rsidR="00E06007" w:rsidRPr="007C0CD5" w:rsidRDefault="00F12F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Lack of involvement is something </w:t>
      </w:r>
      <w:r w:rsidR="00732C03" w:rsidRPr="007C0CD5">
        <w:rPr>
          <w:rFonts w:ascii="Arial" w:hAnsi="Arial" w:cs="Arial"/>
          <w:color w:val="0D0D0D" w:themeColor="text1" w:themeTint="F2"/>
          <w:sz w:val="24"/>
          <w:szCs w:val="24"/>
        </w:rPr>
        <w:t xml:space="preserve">that </w:t>
      </w:r>
      <w:r w:rsidRPr="007C0CD5">
        <w:rPr>
          <w:rFonts w:ascii="Arial" w:hAnsi="Arial" w:cs="Arial"/>
          <w:color w:val="0D0D0D" w:themeColor="text1" w:themeTint="F2"/>
          <w:sz w:val="24"/>
          <w:szCs w:val="24"/>
        </w:rPr>
        <w:t>has been observed by the practitioner</w:t>
      </w:r>
      <w:r w:rsidR="00732C03"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w:t>
      </w:r>
      <w:r w:rsidR="00732C03" w:rsidRPr="007C0CD5">
        <w:rPr>
          <w:rFonts w:ascii="Arial" w:hAnsi="Arial" w:cs="Arial"/>
          <w:color w:val="0D0D0D" w:themeColor="text1" w:themeTint="F2"/>
          <w:sz w:val="24"/>
          <w:szCs w:val="24"/>
        </w:rPr>
        <w:t xml:space="preserve">As </w:t>
      </w:r>
      <w:r w:rsidRPr="007C0CD5">
        <w:rPr>
          <w:rFonts w:ascii="Arial" w:hAnsi="Arial" w:cs="Arial"/>
          <w:color w:val="0D0D0D" w:themeColor="text1" w:themeTint="F2"/>
          <w:sz w:val="24"/>
          <w:szCs w:val="24"/>
        </w:rPr>
        <w:t xml:space="preserve">Gracelynn dad in reluctant to involve himself in conversations with both practitioners and other </w:t>
      </w:r>
      <w:r w:rsidR="00511C44" w:rsidRPr="007C0CD5">
        <w:rPr>
          <w:rFonts w:ascii="Arial" w:hAnsi="Arial" w:cs="Arial"/>
          <w:color w:val="0D0D0D" w:themeColor="text1" w:themeTint="F2"/>
          <w:sz w:val="24"/>
          <w:szCs w:val="24"/>
        </w:rPr>
        <w:t>parents. Mullins</w:t>
      </w:r>
      <w:r w:rsidRPr="007C0CD5">
        <w:rPr>
          <w:rFonts w:ascii="Arial" w:hAnsi="Arial" w:cs="Arial"/>
          <w:color w:val="0D0D0D" w:themeColor="text1" w:themeTint="F2"/>
          <w:sz w:val="24"/>
          <w:szCs w:val="24"/>
        </w:rPr>
        <w:t xml:space="preserve"> (2021) and Greiger (2016) assert that the father may be reluctant to engage with those who surround him, because he feels embarrassed and stigmatised upon his past and now current position of being a recovering single </w:t>
      </w:r>
      <w:r w:rsidR="00511C44" w:rsidRPr="007C0CD5">
        <w:rPr>
          <w:rFonts w:ascii="Arial" w:hAnsi="Arial" w:cs="Arial"/>
          <w:color w:val="0D0D0D" w:themeColor="text1" w:themeTint="F2"/>
          <w:sz w:val="24"/>
          <w:szCs w:val="24"/>
        </w:rPr>
        <w:t>father. As</w:t>
      </w:r>
      <w:r w:rsidRPr="007C0CD5">
        <w:rPr>
          <w:rFonts w:ascii="Arial" w:hAnsi="Arial" w:cs="Arial"/>
          <w:color w:val="0D0D0D" w:themeColor="text1" w:themeTint="F2"/>
          <w:sz w:val="24"/>
          <w:szCs w:val="24"/>
        </w:rPr>
        <w:t xml:space="preserve"> a result of the engagement of several agencies previously that led </w:t>
      </w:r>
      <w:r w:rsidR="00E06007" w:rsidRPr="007C0CD5">
        <w:rPr>
          <w:rFonts w:ascii="Arial" w:hAnsi="Arial" w:cs="Arial"/>
          <w:color w:val="0D0D0D" w:themeColor="text1" w:themeTint="F2"/>
          <w:sz w:val="24"/>
          <w:szCs w:val="24"/>
        </w:rPr>
        <w:t>to Gracelynn</w:t>
      </w:r>
      <w:r w:rsidRPr="007C0CD5">
        <w:rPr>
          <w:rFonts w:ascii="Arial" w:hAnsi="Arial" w:cs="Arial"/>
          <w:color w:val="0D0D0D" w:themeColor="text1" w:themeTint="F2"/>
          <w:sz w:val="24"/>
          <w:szCs w:val="24"/>
        </w:rPr>
        <w:t xml:space="preserve"> being removed the negative association with certain </w:t>
      </w:r>
      <w:r w:rsidR="00E06007" w:rsidRPr="007C0CD5">
        <w:rPr>
          <w:rFonts w:ascii="Arial" w:hAnsi="Arial" w:cs="Arial"/>
          <w:color w:val="0D0D0D" w:themeColor="text1" w:themeTint="F2"/>
          <w:sz w:val="24"/>
          <w:szCs w:val="24"/>
        </w:rPr>
        <w:t>agencies</w:t>
      </w:r>
      <w:r w:rsidRPr="007C0CD5">
        <w:rPr>
          <w:rFonts w:ascii="Arial" w:hAnsi="Arial" w:cs="Arial"/>
          <w:color w:val="0D0D0D" w:themeColor="text1" w:themeTint="F2"/>
          <w:sz w:val="24"/>
          <w:szCs w:val="24"/>
        </w:rPr>
        <w:t xml:space="preserve"> may hinder possibilities for discourse to occur as he is unsure </w:t>
      </w:r>
      <w:r w:rsidR="00E06007" w:rsidRPr="007C0CD5">
        <w:rPr>
          <w:rFonts w:ascii="Arial" w:hAnsi="Arial" w:cs="Arial"/>
          <w:color w:val="0D0D0D" w:themeColor="text1" w:themeTint="F2"/>
          <w:sz w:val="24"/>
          <w:szCs w:val="24"/>
        </w:rPr>
        <w:t xml:space="preserve">of </w:t>
      </w:r>
      <w:r w:rsidRPr="007C0CD5">
        <w:rPr>
          <w:rFonts w:ascii="Arial" w:hAnsi="Arial" w:cs="Arial"/>
          <w:color w:val="0D0D0D" w:themeColor="text1" w:themeTint="F2"/>
          <w:sz w:val="24"/>
          <w:szCs w:val="24"/>
        </w:rPr>
        <w:t xml:space="preserve">who to trust. </w:t>
      </w:r>
    </w:p>
    <w:p w14:paraId="36E77D67" w14:textId="6E51289C" w:rsidR="00F12F6A" w:rsidRPr="007C0CD5" w:rsidRDefault="00F12F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Smith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(2020), additional obstacles to </w:t>
      </w:r>
      <w:r w:rsidR="00E06007" w:rsidRPr="007C0CD5">
        <w:rPr>
          <w:rFonts w:ascii="Arial" w:hAnsi="Arial" w:cs="Arial"/>
          <w:color w:val="0D0D0D" w:themeColor="text1" w:themeTint="F2"/>
          <w:sz w:val="24"/>
          <w:szCs w:val="24"/>
        </w:rPr>
        <w:t xml:space="preserve">being a </w:t>
      </w:r>
      <w:r w:rsidRPr="007C0CD5">
        <w:rPr>
          <w:rFonts w:ascii="Arial" w:hAnsi="Arial" w:cs="Arial"/>
          <w:color w:val="0D0D0D" w:themeColor="text1" w:themeTint="F2"/>
          <w:sz w:val="24"/>
          <w:szCs w:val="24"/>
        </w:rPr>
        <w:t xml:space="preserve">inclusive leader </w:t>
      </w:r>
      <w:r w:rsidR="00E06007" w:rsidRPr="007C0CD5">
        <w:rPr>
          <w:rFonts w:ascii="Arial" w:hAnsi="Arial" w:cs="Arial"/>
          <w:color w:val="0D0D0D" w:themeColor="text1" w:themeTint="F2"/>
          <w:sz w:val="24"/>
          <w:szCs w:val="24"/>
        </w:rPr>
        <w:t xml:space="preserve">is </w:t>
      </w:r>
      <w:r w:rsidRPr="007C0CD5">
        <w:rPr>
          <w:rFonts w:ascii="Arial" w:hAnsi="Arial" w:cs="Arial"/>
          <w:color w:val="0D0D0D" w:themeColor="text1" w:themeTint="F2"/>
          <w:sz w:val="24"/>
          <w:szCs w:val="24"/>
        </w:rPr>
        <w:t>facilitating working with the family</w:t>
      </w:r>
      <w:r w:rsidR="00E06007" w:rsidRPr="007C0CD5">
        <w:rPr>
          <w:rFonts w:ascii="Arial" w:hAnsi="Arial" w:cs="Arial"/>
          <w:color w:val="0D0D0D" w:themeColor="text1" w:themeTint="F2"/>
          <w:sz w:val="24"/>
          <w:szCs w:val="24"/>
        </w:rPr>
        <w:t>.</w:t>
      </w:r>
      <w:r w:rsidRPr="007C0CD5">
        <w:rPr>
          <w:rFonts w:ascii="Arial" w:hAnsi="Arial" w:cs="Arial"/>
          <w:color w:val="0D0D0D" w:themeColor="text1" w:themeTint="F2"/>
          <w:sz w:val="24"/>
          <w:szCs w:val="24"/>
        </w:rPr>
        <w:t xml:space="preserve"> </w:t>
      </w:r>
      <w:r w:rsidR="00E06007" w:rsidRPr="007C0CD5">
        <w:rPr>
          <w:rFonts w:ascii="Arial" w:hAnsi="Arial" w:cs="Arial"/>
          <w:color w:val="0D0D0D" w:themeColor="text1" w:themeTint="F2"/>
          <w:sz w:val="24"/>
          <w:szCs w:val="24"/>
        </w:rPr>
        <w:t>Every family is unique yet a</w:t>
      </w:r>
      <w:r w:rsidRPr="007C0CD5">
        <w:rPr>
          <w:rFonts w:ascii="Arial" w:hAnsi="Arial" w:cs="Arial"/>
          <w:color w:val="0D0D0D" w:themeColor="text1" w:themeTint="F2"/>
          <w:sz w:val="24"/>
          <w:szCs w:val="24"/>
        </w:rPr>
        <w:t xml:space="preserve"> lack of understanding </w:t>
      </w:r>
      <w:r w:rsidR="00E06007" w:rsidRPr="007C0CD5">
        <w:rPr>
          <w:rFonts w:ascii="Arial" w:hAnsi="Arial" w:cs="Arial"/>
          <w:color w:val="0D0D0D" w:themeColor="text1" w:themeTint="F2"/>
          <w:sz w:val="24"/>
          <w:szCs w:val="24"/>
        </w:rPr>
        <w:t xml:space="preserve">of </w:t>
      </w:r>
      <w:r w:rsidRPr="007C0CD5">
        <w:rPr>
          <w:rFonts w:ascii="Arial" w:hAnsi="Arial" w:cs="Arial"/>
          <w:color w:val="0D0D0D" w:themeColor="text1" w:themeTint="F2"/>
          <w:sz w:val="24"/>
          <w:szCs w:val="24"/>
        </w:rPr>
        <w:t xml:space="preserve">the value of working in partnership </w:t>
      </w:r>
      <w:r w:rsidR="00E06007" w:rsidRPr="007C0CD5">
        <w:rPr>
          <w:rFonts w:ascii="Arial" w:hAnsi="Arial" w:cs="Arial"/>
          <w:color w:val="0D0D0D" w:themeColor="text1" w:themeTint="F2"/>
          <w:sz w:val="24"/>
          <w:szCs w:val="24"/>
        </w:rPr>
        <w:t xml:space="preserve">can be one of the barriers within forming crucial partnerships. Alongside the parents’ </w:t>
      </w:r>
      <w:r w:rsidRPr="007C0CD5">
        <w:rPr>
          <w:rFonts w:ascii="Arial" w:hAnsi="Arial" w:cs="Arial"/>
          <w:color w:val="0D0D0D" w:themeColor="text1" w:themeTint="F2"/>
          <w:sz w:val="24"/>
          <w:szCs w:val="24"/>
        </w:rPr>
        <w:t>perception that the school does not want them to be involved. This can result in families' lack of engagement as they do not see the benefits to such engagements and how they can prove effective</w:t>
      </w:r>
      <w:r w:rsidR="00732C03" w:rsidRPr="007C0CD5">
        <w:rPr>
          <w:rFonts w:ascii="Arial" w:hAnsi="Arial" w:cs="Arial"/>
          <w:color w:val="0D0D0D" w:themeColor="text1" w:themeTint="F2"/>
          <w:sz w:val="24"/>
          <w:szCs w:val="24"/>
        </w:rPr>
        <w:t>.</w:t>
      </w:r>
    </w:p>
    <w:p w14:paraId="2F59E3F9" w14:textId="664337CF" w:rsidR="00F255C0" w:rsidRPr="007C0CD5" w:rsidRDefault="00F255C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power dynamics in an untrustworthy relationship with the social worker may also worry the father. According to Ferguson et al. (2021), the majority of parental involvement with social workers is not of </w:t>
      </w:r>
      <w:r w:rsidR="00511C44" w:rsidRPr="007C0CD5">
        <w:rPr>
          <w:rFonts w:ascii="Arial" w:hAnsi="Arial" w:cs="Arial"/>
          <w:color w:val="0D0D0D" w:themeColor="text1" w:themeTint="F2"/>
          <w:sz w:val="24"/>
          <w:szCs w:val="24"/>
        </w:rPr>
        <w:t>choice by</w:t>
      </w:r>
      <w:r w:rsidRPr="007C0CD5">
        <w:rPr>
          <w:rFonts w:ascii="Arial" w:hAnsi="Arial" w:cs="Arial"/>
          <w:color w:val="0D0D0D" w:themeColor="text1" w:themeTint="F2"/>
          <w:sz w:val="24"/>
          <w:szCs w:val="24"/>
        </w:rPr>
        <w:t xml:space="preserve"> the parent. The ability of social workers to intervene to ensure the safety of children may make a father fearful that he will act inappropriately or say something that will prompt the social worker to take further </w:t>
      </w:r>
      <w:r w:rsidR="00511C44" w:rsidRPr="007C0CD5">
        <w:rPr>
          <w:rFonts w:ascii="Arial" w:hAnsi="Arial" w:cs="Arial"/>
          <w:color w:val="0D0D0D" w:themeColor="text1" w:themeTint="F2"/>
          <w:sz w:val="24"/>
          <w:szCs w:val="24"/>
        </w:rPr>
        <w:t>action. This</w:t>
      </w:r>
      <w:r w:rsidR="00177B53" w:rsidRPr="007C0CD5">
        <w:rPr>
          <w:rFonts w:ascii="Arial" w:hAnsi="Arial" w:cs="Arial"/>
          <w:color w:val="0D0D0D" w:themeColor="text1" w:themeTint="F2"/>
          <w:sz w:val="24"/>
          <w:szCs w:val="24"/>
        </w:rPr>
        <w:t xml:space="preserve"> can build up a negative </w:t>
      </w:r>
      <w:r w:rsidR="00511C44" w:rsidRPr="007C0CD5">
        <w:rPr>
          <w:rFonts w:ascii="Arial" w:hAnsi="Arial" w:cs="Arial"/>
          <w:color w:val="0D0D0D" w:themeColor="text1" w:themeTint="F2"/>
          <w:sz w:val="24"/>
          <w:szCs w:val="24"/>
        </w:rPr>
        <w:t>perspective</w:t>
      </w:r>
      <w:r w:rsidR="00177B53" w:rsidRPr="007C0CD5">
        <w:rPr>
          <w:rFonts w:ascii="Arial" w:hAnsi="Arial" w:cs="Arial"/>
          <w:color w:val="0D0D0D" w:themeColor="text1" w:themeTint="F2"/>
          <w:sz w:val="24"/>
          <w:szCs w:val="24"/>
        </w:rPr>
        <w:t xml:space="preserve"> since they believe social workers have authority over them rather than are there to help them (Hasenfield, 1987; Ward et al. 2014). As a result, they feel helpless, voiceless, and impotent in decision-making </w:t>
      </w:r>
      <w:r w:rsidR="00511C44" w:rsidRPr="007C0CD5">
        <w:rPr>
          <w:rFonts w:ascii="Arial" w:hAnsi="Arial" w:cs="Arial"/>
          <w:color w:val="0D0D0D" w:themeColor="text1" w:themeTint="F2"/>
          <w:sz w:val="24"/>
          <w:szCs w:val="24"/>
        </w:rPr>
        <w:t>in regard to</w:t>
      </w:r>
      <w:r w:rsidR="00177B53" w:rsidRPr="007C0CD5">
        <w:rPr>
          <w:rFonts w:ascii="Arial" w:hAnsi="Arial" w:cs="Arial"/>
          <w:color w:val="0D0D0D" w:themeColor="text1" w:themeTint="F2"/>
          <w:sz w:val="24"/>
          <w:szCs w:val="24"/>
        </w:rPr>
        <w:t xml:space="preserve"> their child. </w:t>
      </w:r>
      <w:r w:rsidRPr="007C0CD5">
        <w:rPr>
          <w:rFonts w:ascii="Arial" w:hAnsi="Arial" w:cs="Arial"/>
          <w:color w:val="0D0D0D" w:themeColor="text1" w:themeTint="F2"/>
          <w:sz w:val="24"/>
          <w:szCs w:val="24"/>
        </w:rPr>
        <w:t>As previous interactions with the social services did lea</w:t>
      </w:r>
      <w:r w:rsidR="00781B36" w:rsidRPr="007C0CD5">
        <w:rPr>
          <w:rFonts w:ascii="Arial" w:hAnsi="Arial" w:cs="Arial"/>
          <w:color w:val="0D0D0D" w:themeColor="text1" w:themeTint="F2"/>
          <w:sz w:val="24"/>
          <w:szCs w:val="24"/>
        </w:rPr>
        <w:t>d</w:t>
      </w:r>
      <w:r w:rsidRPr="007C0CD5">
        <w:rPr>
          <w:rFonts w:ascii="Arial" w:hAnsi="Arial" w:cs="Arial"/>
          <w:color w:val="0D0D0D" w:themeColor="text1" w:themeTint="F2"/>
          <w:sz w:val="24"/>
          <w:szCs w:val="24"/>
        </w:rPr>
        <w:t xml:space="preserve"> to the </w:t>
      </w:r>
      <w:r w:rsidR="00511C44" w:rsidRPr="007C0CD5">
        <w:rPr>
          <w:rFonts w:ascii="Arial" w:hAnsi="Arial" w:cs="Arial"/>
          <w:color w:val="0D0D0D" w:themeColor="text1" w:themeTint="F2"/>
          <w:sz w:val="24"/>
          <w:szCs w:val="24"/>
        </w:rPr>
        <w:t>removable</w:t>
      </w:r>
      <w:r w:rsidRPr="007C0CD5">
        <w:rPr>
          <w:rFonts w:ascii="Arial" w:hAnsi="Arial" w:cs="Arial"/>
          <w:color w:val="0D0D0D" w:themeColor="text1" w:themeTint="F2"/>
          <w:sz w:val="24"/>
          <w:szCs w:val="24"/>
        </w:rPr>
        <w:t xml:space="preserve"> of </w:t>
      </w:r>
      <w:r w:rsidR="00511C44" w:rsidRPr="007C0CD5">
        <w:rPr>
          <w:rFonts w:ascii="Arial" w:hAnsi="Arial" w:cs="Arial"/>
          <w:color w:val="0D0D0D" w:themeColor="text1" w:themeTint="F2"/>
          <w:sz w:val="24"/>
          <w:szCs w:val="24"/>
        </w:rPr>
        <w:t>Gracelynn</w:t>
      </w:r>
      <w:r w:rsidRPr="007C0CD5">
        <w:rPr>
          <w:rFonts w:ascii="Arial" w:hAnsi="Arial" w:cs="Arial"/>
          <w:color w:val="0D0D0D" w:themeColor="text1" w:themeTint="F2"/>
          <w:sz w:val="24"/>
          <w:szCs w:val="24"/>
        </w:rPr>
        <w:t xml:space="preserve"> a </w:t>
      </w:r>
      <w:r w:rsidR="00511C44" w:rsidRPr="007C0CD5">
        <w:rPr>
          <w:rFonts w:ascii="Arial" w:hAnsi="Arial" w:cs="Arial"/>
          <w:color w:val="0D0D0D" w:themeColor="text1" w:themeTint="F2"/>
          <w:sz w:val="24"/>
          <w:szCs w:val="24"/>
        </w:rPr>
        <w:t>build-up</w:t>
      </w:r>
      <w:r w:rsidRPr="007C0CD5">
        <w:rPr>
          <w:rFonts w:ascii="Arial" w:hAnsi="Arial" w:cs="Arial"/>
          <w:color w:val="0D0D0D" w:themeColor="text1" w:themeTint="F2"/>
          <w:sz w:val="24"/>
          <w:szCs w:val="24"/>
        </w:rPr>
        <w:t xml:space="preserve"> of the sense of being </w:t>
      </w:r>
      <w:r w:rsidR="00E06007" w:rsidRPr="007C0CD5">
        <w:rPr>
          <w:rFonts w:ascii="Arial" w:hAnsi="Arial" w:cs="Arial"/>
          <w:color w:val="0D0D0D" w:themeColor="text1" w:themeTint="F2"/>
          <w:sz w:val="24"/>
          <w:szCs w:val="24"/>
        </w:rPr>
        <w:t xml:space="preserve">uneasy </w:t>
      </w:r>
      <w:r w:rsidR="00511C44" w:rsidRPr="007C0CD5">
        <w:rPr>
          <w:rFonts w:ascii="Arial" w:hAnsi="Arial" w:cs="Arial"/>
          <w:color w:val="0D0D0D" w:themeColor="text1" w:themeTint="F2"/>
          <w:sz w:val="24"/>
          <w:szCs w:val="24"/>
        </w:rPr>
        <w:t>encase,</w:t>
      </w:r>
      <w:r w:rsidRPr="007C0CD5">
        <w:rPr>
          <w:rFonts w:ascii="Arial" w:hAnsi="Arial" w:cs="Arial"/>
          <w:color w:val="0D0D0D" w:themeColor="text1" w:themeTint="F2"/>
          <w:sz w:val="24"/>
          <w:szCs w:val="24"/>
        </w:rPr>
        <w:t xml:space="preserve"> he </w:t>
      </w:r>
      <w:r w:rsidR="00511C44" w:rsidRPr="007C0CD5">
        <w:rPr>
          <w:rFonts w:ascii="Arial" w:hAnsi="Arial" w:cs="Arial"/>
          <w:color w:val="0D0D0D" w:themeColor="text1" w:themeTint="F2"/>
          <w:sz w:val="24"/>
          <w:szCs w:val="24"/>
        </w:rPr>
        <w:t>says</w:t>
      </w:r>
      <w:r w:rsidRPr="007C0CD5">
        <w:rPr>
          <w:rFonts w:ascii="Arial" w:hAnsi="Arial" w:cs="Arial"/>
          <w:color w:val="0D0D0D" w:themeColor="text1" w:themeTint="F2"/>
          <w:sz w:val="24"/>
          <w:szCs w:val="24"/>
        </w:rPr>
        <w:t xml:space="preserve"> something that will cause the removeable of </w:t>
      </w:r>
      <w:r w:rsidR="00511C44" w:rsidRPr="007C0CD5">
        <w:rPr>
          <w:rFonts w:ascii="Arial" w:hAnsi="Arial" w:cs="Arial"/>
          <w:color w:val="0D0D0D" w:themeColor="text1" w:themeTint="F2"/>
          <w:sz w:val="24"/>
          <w:szCs w:val="24"/>
        </w:rPr>
        <w:t>Gracelynn</w:t>
      </w:r>
      <w:r w:rsidRPr="007C0CD5">
        <w:rPr>
          <w:rFonts w:ascii="Arial" w:hAnsi="Arial" w:cs="Arial"/>
          <w:color w:val="0D0D0D" w:themeColor="text1" w:themeTint="F2"/>
          <w:sz w:val="24"/>
          <w:szCs w:val="24"/>
        </w:rPr>
        <w:t xml:space="preserve"> again lies heavily in all information he does choose to disclose.</w:t>
      </w:r>
    </w:p>
    <w:p w14:paraId="5CAE1ECF" w14:textId="6590B11C" w:rsidR="009C37A4" w:rsidRPr="007C0CD5" w:rsidRDefault="009C37A4" w:rsidP="007C0CD5">
      <w:pPr>
        <w:spacing w:after="0"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On the other hand, research by Douglass (2019) indicates that areas like professional development and preparedness require more development to enable a practitioner who has power to apply it successfully. However, there are challenges to enabling power and sharing power for others in a form that it would be </w:t>
      </w:r>
      <w:r w:rsidR="008D1909" w:rsidRPr="007C0CD5">
        <w:rPr>
          <w:rFonts w:ascii="Arial" w:hAnsi="Arial" w:cs="Arial"/>
          <w:color w:val="0D0D0D" w:themeColor="text1" w:themeTint="F2"/>
          <w:sz w:val="24"/>
          <w:szCs w:val="24"/>
        </w:rPr>
        <w:t>implemented</w:t>
      </w:r>
      <w:r w:rsidRPr="007C0CD5">
        <w:rPr>
          <w:rFonts w:ascii="Arial" w:hAnsi="Arial" w:cs="Arial"/>
          <w:color w:val="0D0D0D" w:themeColor="text1" w:themeTint="F2"/>
          <w:sz w:val="24"/>
          <w:szCs w:val="24"/>
        </w:rPr>
        <w:t xml:space="preserve"> </w:t>
      </w:r>
      <w:r w:rsidR="008D1909" w:rsidRPr="007C0CD5">
        <w:rPr>
          <w:rFonts w:ascii="Arial" w:hAnsi="Arial" w:cs="Arial"/>
          <w:color w:val="0D0D0D" w:themeColor="text1" w:themeTint="F2"/>
          <w:sz w:val="24"/>
          <w:szCs w:val="24"/>
        </w:rPr>
        <w:t>effectively</w:t>
      </w:r>
      <w:r w:rsidRPr="007C0CD5">
        <w:rPr>
          <w:rFonts w:ascii="Arial" w:hAnsi="Arial" w:cs="Arial"/>
          <w:color w:val="0D0D0D" w:themeColor="text1" w:themeTint="F2"/>
          <w:sz w:val="24"/>
          <w:szCs w:val="24"/>
        </w:rPr>
        <w:t>.</w:t>
      </w:r>
    </w:p>
    <w:p w14:paraId="1BAA1319" w14:textId="77777777" w:rsidR="00E06007" w:rsidRPr="007C0CD5" w:rsidRDefault="00E06007" w:rsidP="007C0CD5">
      <w:pPr>
        <w:spacing w:after="0" w:line="360" w:lineRule="auto"/>
        <w:rPr>
          <w:rFonts w:ascii="Arial" w:hAnsi="Arial" w:cs="Arial"/>
          <w:color w:val="0D0D0D" w:themeColor="text1" w:themeTint="F2"/>
          <w:sz w:val="24"/>
          <w:szCs w:val="24"/>
        </w:rPr>
      </w:pPr>
    </w:p>
    <w:p w14:paraId="7A2C1CB2" w14:textId="377F803F" w:rsidR="00FA7AAA" w:rsidRPr="007C0CD5" w:rsidRDefault="00FA7AA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Stemming further, Murray and </w:t>
      </w:r>
      <w:r w:rsidRPr="007C0CD5">
        <w:rPr>
          <w:rFonts w:ascii="Arial" w:hAnsi="Arial" w:cs="Arial"/>
          <w:color w:val="0D0D0D" w:themeColor="text1" w:themeTint="F2"/>
          <w:sz w:val="24"/>
          <w:szCs w:val="24"/>
          <w:shd w:val="clear" w:color="auto" w:fill="FFFFFF"/>
        </w:rPr>
        <w:t>Elcher</w:t>
      </w:r>
      <w:r w:rsidRPr="007C0CD5">
        <w:rPr>
          <w:rFonts w:ascii="Arial" w:hAnsi="Arial" w:cs="Arial"/>
          <w:color w:val="0D0D0D" w:themeColor="text1" w:themeTint="F2"/>
          <w:sz w:val="24"/>
          <w:szCs w:val="24"/>
        </w:rPr>
        <w:t xml:space="preserve"> (2020) also depict the difficulties practitioners may encounter when attempting to work in partnership with families due to a family's unfavourable past interactions with authorities and schools, which may leave the family lacking trust in practitioners and professionals. An inclusive leader that is open-minded, inquisitive, and compassionate will be needed for this kind of parent engagement and cooperation (Nakamura, Milner, and Milner, 2020). According to Friere (2005) and Randel et al. (2018), the practitioner also has to be open to working with others and using their influence as an inclusive leader for the good of the child and the family in order to create a sense of belonging.</w:t>
      </w:r>
    </w:p>
    <w:p w14:paraId="57DF5AB0" w14:textId="699BB0F4" w:rsidR="003125B7" w:rsidRPr="007C0CD5" w:rsidRDefault="00E0600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Moving on,</w:t>
      </w:r>
      <w:r w:rsidR="003125B7" w:rsidRPr="007C0CD5">
        <w:rPr>
          <w:rFonts w:ascii="Arial" w:hAnsi="Arial" w:cs="Arial"/>
          <w:color w:val="0D0D0D" w:themeColor="text1" w:themeTint="F2"/>
          <w:sz w:val="24"/>
          <w:szCs w:val="24"/>
        </w:rPr>
        <w:t xml:space="preserve"> other parents do not interact with or invite the father into a conversation in this scenario. Given that the father is a single parent, an addict in recovery, and a low socioeconomic status, this might be attributed to intersectional stigma. Bradsley (2013) agrees, pointing out that stigmatisation and misconceptions of single parents are pervasive and can commonly lead to low self-esteem and challenges in accessing help. According to Berger and Langton (2011), parents at the school's unfavourable attitudes are influenced by the idea that single dads are at therefore are disadvantaged and are less likely to have the financial stability to provide for their children and do not commit themselves to their child's well-being.</w:t>
      </w:r>
    </w:p>
    <w:p w14:paraId="6D2AD81C" w14:textId="5C823874" w:rsidR="007F7049" w:rsidRPr="007C0CD5" w:rsidRDefault="00FA7AAA" w:rsidP="007C0CD5">
      <w:pPr>
        <w:spacing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t xml:space="preserve">Highlighted by, </w:t>
      </w:r>
      <w:r w:rsidR="007F7049" w:rsidRPr="007C0CD5">
        <w:rPr>
          <w:rFonts w:ascii="Arial" w:hAnsi="Arial" w:cs="Arial"/>
          <w:color w:val="0D0D0D" w:themeColor="text1" w:themeTint="F2"/>
          <w:sz w:val="24"/>
          <w:szCs w:val="24"/>
          <w:lang w:eastAsia="en-GB"/>
        </w:rPr>
        <w:t xml:space="preserve">Cottle and Alexander (2014), practitioners may judge parents and classify them as having "problem families" because of their lifestyles or lower socioeconomic level. In a comparable manner, if parents choose not to interact with professionals, it may be assumed that </w:t>
      </w:r>
      <w:r w:rsidR="003125B7" w:rsidRPr="007C0CD5">
        <w:rPr>
          <w:rFonts w:ascii="Arial" w:hAnsi="Arial" w:cs="Arial"/>
          <w:color w:val="0D0D0D" w:themeColor="text1" w:themeTint="F2"/>
          <w:sz w:val="24"/>
          <w:szCs w:val="24"/>
          <w:lang w:eastAsia="en-GB"/>
        </w:rPr>
        <w:t xml:space="preserve">they do not want to engage about their child and establish their wellbeing and development </w:t>
      </w:r>
      <w:r w:rsidR="007F7049" w:rsidRPr="007C0CD5">
        <w:rPr>
          <w:rFonts w:ascii="Arial" w:hAnsi="Arial" w:cs="Arial"/>
          <w:color w:val="0D0D0D" w:themeColor="text1" w:themeTint="F2"/>
          <w:sz w:val="24"/>
          <w:szCs w:val="24"/>
          <w:lang w:eastAsia="en-GB"/>
        </w:rPr>
        <w:t xml:space="preserve">(Epstein, 2018).  These issues and the general sense that they are not doing enough are only made worse by the intense demands of societal criticism </w:t>
      </w:r>
      <w:r w:rsidRPr="007C0CD5">
        <w:rPr>
          <w:rFonts w:ascii="Arial" w:hAnsi="Arial" w:cs="Arial"/>
          <w:color w:val="0D0D0D" w:themeColor="text1" w:themeTint="F2"/>
          <w:sz w:val="24"/>
          <w:szCs w:val="24"/>
          <w:lang w:eastAsia="en-GB"/>
        </w:rPr>
        <w:t xml:space="preserve">and the fear of saying the wrong thing </w:t>
      </w:r>
      <w:r w:rsidR="007F7049" w:rsidRPr="007C0CD5">
        <w:rPr>
          <w:rFonts w:ascii="Arial" w:hAnsi="Arial" w:cs="Arial"/>
          <w:color w:val="0D0D0D" w:themeColor="text1" w:themeTint="F2"/>
          <w:sz w:val="24"/>
          <w:szCs w:val="24"/>
          <w:lang w:eastAsia="en-GB"/>
        </w:rPr>
        <w:t>(Hays 1996; Wall 2010).</w:t>
      </w:r>
    </w:p>
    <w:p w14:paraId="2038208F" w14:textId="77AA63D8" w:rsidR="007F7049" w:rsidRPr="007C0CD5" w:rsidRDefault="00511C44" w:rsidP="007C0CD5">
      <w:pPr>
        <w:spacing w:after="0"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lastRenderedPageBreak/>
        <w:t>Considering</w:t>
      </w:r>
      <w:r w:rsidR="007F7049" w:rsidRPr="007C0CD5">
        <w:rPr>
          <w:rFonts w:ascii="Arial" w:hAnsi="Arial" w:cs="Arial"/>
          <w:color w:val="0D0D0D" w:themeColor="text1" w:themeTint="F2"/>
          <w:sz w:val="24"/>
          <w:szCs w:val="24"/>
          <w:lang w:eastAsia="en-GB"/>
        </w:rPr>
        <w:t xml:space="preserve"> the beliefs of previous generations, caring for others compels men to practise feminine characteristics of care such as positive emotion, interdependence, and relationality, modern theorists of masculinity highlight caregiving as a vital locus of transformation (Elliott 2016).</w:t>
      </w:r>
    </w:p>
    <w:p w14:paraId="2445C65F" w14:textId="77777777" w:rsidR="007F7049" w:rsidRPr="007C0CD5" w:rsidRDefault="007F7049" w:rsidP="007C0CD5">
      <w:pPr>
        <w:spacing w:after="0" w:line="360" w:lineRule="auto"/>
        <w:rPr>
          <w:rFonts w:ascii="Arial" w:hAnsi="Arial" w:cs="Arial"/>
          <w:color w:val="0D0D0D" w:themeColor="text1" w:themeTint="F2"/>
          <w:sz w:val="24"/>
          <w:szCs w:val="24"/>
          <w:lang w:eastAsia="en-GB"/>
        </w:rPr>
      </w:pPr>
    </w:p>
    <w:p w14:paraId="3E3AF2B2" w14:textId="6EDD521C" w:rsidR="007F7049" w:rsidRPr="007C0CD5" w:rsidRDefault="007F7049" w:rsidP="007C0CD5">
      <w:pPr>
        <w:spacing w:after="0" w:line="360" w:lineRule="auto"/>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lang w:eastAsia="en-GB"/>
        </w:rPr>
        <w:t xml:space="preserve">If adopting the socially subjugated status of carer entails </w:t>
      </w:r>
      <w:r w:rsidR="00511C44" w:rsidRPr="007C0CD5">
        <w:rPr>
          <w:rFonts w:ascii="Arial" w:hAnsi="Arial" w:cs="Arial"/>
          <w:color w:val="0D0D0D" w:themeColor="text1" w:themeTint="F2"/>
          <w:sz w:val="24"/>
          <w:szCs w:val="24"/>
          <w:lang w:eastAsia="en-GB"/>
        </w:rPr>
        <w:t>renunciation</w:t>
      </w:r>
      <w:r w:rsidRPr="007C0CD5">
        <w:rPr>
          <w:rFonts w:ascii="Arial" w:hAnsi="Arial" w:cs="Arial"/>
          <w:color w:val="0D0D0D" w:themeColor="text1" w:themeTint="F2"/>
          <w:sz w:val="24"/>
          <w:szCs w:val="24"/>
          <w:lang w:eastAsia="en-GB"/>
        </w:rPr>
        <w:t xml:space="preserve"> the benefits of hegemonic masculinity and puts one at danger of social exclusion by defying traditional male norms, doing so might be considered resistance to inequality (Elliott 2016; Hanlon 2012; Kimmel 2010).</w:t>
      </w:r>
      <w:r w:rsidR="00FA7AAA" w:rsidRPr="007C0CD5">
        <w:rPr>
          <w:rFonts w:ascii="Arial" w:hAnsi="Arial" w:cs="Arial"/>
          <w:color w:val="0D0D0D" w:themeColor="text1" w:themeTint="F2"/>
          <w:sz w:val="24"/>
          <w:szCs w:val="24"/>
          <w:lang w:eastAsia="en-GB"/>
        </w:rPr>
        <w:t xml:space="preserve"> Furthermore, a dad raising a daughter can be seen as socially incorrect in the eyes of some as there is a belief that daughters need their mothers in order to be successful. As a dad can be considered to be </w:t>
      </w:r>
      <w:r w:rsidR="00511C44" w:rsidRPr="007C0CD5">
        <w:rPr>
          <w:rFonts w:ascii="Arial" w:hAnsi="Arial" w:cs="Arial"/>
          <w:color w:val="0D0D0D" w:themeColor="text1" w:themeTint="F2"/>
          <w:sz w:val="24"/>
          <w:szCs w:val="24"/>
          <w:lang w:eastAsia="en-GB"/>
        </w:rPr>
        <w:t>unable</w:t>
      </w:r>
      <w:r w:rsidR="00FA7AAA" w:rsidRPr="007C0CD5">
        <w:rPr>
          <w:rFonts w:ascii="Arial" w:hAnsi="Arial" w:cs="Arial"/>
          <w:color w:val="0D0D0D" w:themeColor="text1" w:themeTint="F2"/>
          <w:sz w:val="24"/>
          <w:szCs w:val="24"/>
          <w:lang w:eastAsia="en-GB"/>
        </w:rPr>
        <w:t xml:space="preserve"> to support his child as effectively as the mother would have </w:t>
      </w:r>
      <w:r w:rsidR="00511C44" w:rsidRPr="007C0CD5">
        <w:rPr>
          <w:rFonts w:ascii="Arial" w:hAnsi="Arial" w:cs="Arial"/>
          <w:color w:val="0D0D0D" w:themeColor="text1" w:themeTint="F2"/>
          <w:sz w:val="24"/>
          <w:szCs w:val="24"/>
          <w:lang w:eastAsia="en-GB"/>
        </w:rPr>
        <w:t>in regard to</w:t>
      </w:r>
      <w:r w:rsidR="00FA7AAA" w:rsidRPr="007C0CD5">
        <w:rPr>
          <w:rFonts w:ascii="Arial" w:hAnsi="Arial" w:cs="Arial"/>
          <w:color w:val="0D0D0D" w:themeColor="text1" w:themeTint="F2"/>
          <w:sz w:val="24"/>
          <w:szCs w:val="24"/>
          <w:lang w:eastAsia="en-GB"/>
        </w:rPr>
        <w:t xml:space="preserve">, their first day of school, doing their hair and showing them how to use a </w:t>
      </w:r>
      <w:r w:rsidR="00511C44" w:rsidRPr="007C0CD5">
        <w:rPr>
          <w:rFonts w:ascii="Arial" w:hAnsi="Arial" w:cs="Arial"/>
          <w:color w:val="0D0D0D" w:themeColor="text1" w:themeTint="F2"/>
          <w:sz w:val="24"/>
          <w:szCs w:val="24"/>
          <w:lang w:eastAsia="en-GB"/>
        </w:rPr>
        <w:t>hairbrush</w:t>
      </w:r>
      <w:r w:rsidR="00FA7AAA" w:rsidRPr="007C0CD5">
        <w:rPr>
          <w:rFonts w:ascii="Arial" w:hAnsi="Arial" w:cs="Arial"/>
          <w:color w:val="0D0D0D" w:themeColor="text1" w:themeTint="F2"/>
          <w:sz w:val="24"/>
          <w:szCs w:val="24"/>
          <w:lang w:eastAsia="en-GB"/>
        </w:rPr>
        <w:t>. Painting their nails and going shopping and general occurrences that happens as a girl grows up.</w:t>
      </w:r>
      <w:r w:rsidR="00FA7AAA" w:rsidRPr="007C0CD5">
        <w:rPr>
          <w:rFonts w:ascii="Arial" w:hAnsi="Arial" w:cs="Arial"/>
          <w:color w:val="0D0D0D" w:themeColor="text1" w:themeTint="F2"/>
          <w:sz w:val="24"/>
          <w:szCs w:val="24"/>
          <w:shd w:val="clear" w:color="auto" w:fill="FFFFFF"/>
        </w:rPr>
        <w:t xml:space="preserve"> (Edelman, 2014)</w:t>
      </w:r>
    </w:p>
    <w:p w14:paraId="44DB8DFC" w14:textId="77777777" w:rsidR="00873374" w:rsidRPr="007C0CD5" w:rsidRDefault="00873374" w:rsidP="007C0CD5">
      <w:pPr>
        <w:spacing w:after="0" w:line="360" w:lineRule="auto"/>
        <w:rPr>
          <w:rFonts w:ascii="Arial" w:hAnsi="Arial" w:cs="Arial"/>
          <w:color w:val="0D0D0D" w:themeColor="text1" w:themeTint="F2"/>
          <w:sz w:val="24"/>
          <w:szCs w:val="24"/>
          <w:shd w:val="clear" w:color="auto" w:fill="FFFFFF"/>
        </w:rPr>
      </w:pPr>
    </w:p>
    <w:p w14:paraId="323F842F" w14:textId="6A9BEEDC" w:rsidR="00873374" w:rsidRPr="007C0CD5" w:rsidRDefault="00E06007" w:rsidP="007C0CD5">
      <w:pPr>
        <w:spacing w:after="0" w:line="360" w:lineRule="auto"/>
        <w:rPr>
          <w:rFonts w:ascii="Arial" w:hAnsi="Arial" w:cs="Arial"/>
          <w:color w:val="0D0D0D" w:themeColor="text1" w:themeTint="F2"/>
          <w:sz w:val="24"/>
          <w:szCs w:val="24"/>
          <w:lang w:eastAsia="en-GB"/>
        </w:rPr>
      </w:pPr>
      <w:r w:rsidRPr="007C0CD5">
        <w:rPr>
          <w:rFonts w:ascii="Arial" w:hAnsi="Arial" w:cs="Arial"/>
          <w:color w:val="0D0D0D" w:themeColor="text1" w:themeTint="F2"/>
          <w:sz w:val="24"/>
          <w:szCs w:val="24"/>
          <w:lang w:eastAsia="en-GB"/>
        </w:rPr>
        <w:t>To support Gracelynn dad in  overcoming the potential stigmas that he feel surrounds him.</w:t>
      </w:r>
      <w:r w:rsidR="00873374" w:rsidRPr="007C0CD5">
        <w:rPr>
          <w:rFonts w:ascii="Arial" w:hAnsi="Arial" w:cs="Arial"/>
          <w:color w:val="0D0D0D" w:themeColor="text1" w:themeTint="F2"/>
          <w:sz w:val="24"/>
          <w:szCs w:val="24"/>
          <w:lang w:eastAsia="en-GB"/>
        </w:rPr>
        <w:t xml:space="preserve">The practitioner suggested during the meeting that </w:t>
      </w:r>
      <w:r w:rsidR="00511C44" w:rsidRPr="007C0CD5">
        <w:rPr>
          <w:rFonts w:ascii="Arial" w:hAnsi="Arial" w:cs="Arial"/>
          <w:color w:val="0D0D0D" w:themeColor="text1" w:themeTint="F2"/>
          <w:sz w:val="24"/>
          <w:szCs w:val="24"/>
          <w:lang w:eastAsia="en-GB"/>
        </w:rPr>
        <w:t>Gracelynn’s</w:t>
      </w:r>
      <w:r w:rsidR="00873374" w:rsidRPr="007C0CD5">
        <w:rPr>
          <w:rFonts w:ascii="Arial" w:hAnsi="Arial" w:cs="Arial"/>
          <w:color w:val="0D0D0D" w:themeColor="text1" w:themeTint="F2"/>
          <w:sz w:val="24"/>
          <w:szCs w:val="24"/>
          <w:lang w:eastAsia="en-GB"/>
        </w:rPr>
        <w:t xml:space="preserve"> dad might enjoy going to a Dad's Group with Gracelynn. This could give both Gracelynn and her father a chance to make friends and relationships with others giving them the sense that they belong (Oberle et al., 2019).  Through this, it will also allow Gracelynn dad to meet fathers who may be in similar situations and </w:t>
      </w:r>
      <w:r w:rsidR="008D1909" w:rsidRPr="007C0CD5">
        <w:rPr>
          <w:rFonts w:ascii="Arial" w:hAnsi="Arial" w:cs="Arial"/>
          <w:color w:val="0D0D0D" w:themeColor="text1" w:themeTint="F2"/>
          <w:sz w:val="24"/>
          <w:szCs w:val="24"/>
          <w:lang w:eastAsia="en-GB"/>
        </w:rPr>
        <w:t>to which he can relate</w:t>
      </w:r>
      <w:r w:rsidR="00511C44" w:rsidRPr="007C0CD5">
        <w:rPr>
          <w:rFonts w:ascii="Arial" w:hAnsi="Arial" w:cs="Arial"/>
          <w:color w:val="0D0D0D" w:themeColor="text1" w:themeTint="F2"/>
          <w:sz w:val="24"/>
          <w:szCs w:val="24"/>
          <w:lang w:eastAsia="en-GB"/>
        </w:rPr>
        <w:t>. Whether</w:t>
      </w:r>
      <w:r w:rsidR="00873374" w:rsidRPr="007C0CD5">
        <w:rPr>
          <w:rFonts w:ascii="Arial" w:hAnsi="Arial" w:cs="Arial"/>
          <w:color w:val="0D0D0D" w:themeColor="text1" w:themeTint="F2"/>
          <w:sz w:val="24"/>
          <w:szCs w:val="24"/>
          <w:lang w:eastAsia="en-GB"/>
        </w:rPr>
        <w:t xml:space="preserve"> it is raising a </w:t>
      </w:r>
      <w:r w:rsidR="00511C44" w:rsidRPr="007C0CD5">
        <w:rPr>
          <w:rFonts w:ascii="Arial" w:hAnsi="Arial" w:cs="Arial"/>
          <w:color w:val="0D0D0D" w:themeColor="text1" w:themeTint="F2"/>
          <w:sz w:val="24"/>
          <w:szCs w:val="24"/>
          <w:lang w:eastAsia="en-GB"/>
        </w:rPr>
        <w:t>child or</w:t>
      </w:r>
      <w:r w:rsidR="00873374" w:rsidRPr="007C0CD5">
        <w:rPr>
          <w:rFonts w:ascii="Arial" w:hAnsi="Arial" w:cs="Arial"/>
          <w:color w:val="0D0D0D" w:themeColor="text1" w:themeTint="F2"/>
          <w:sz w:val="24"/>
          <w:szCs w:val="24"/>
          <w:lang w:eastAsia="en-GB"/>
        </w:rPr>
        <w:t xml:space="preserve"> asking them how they do their daughters hair. A sense of belonging can lead to friendships being formed that can help </w:t>
      </w:r>
      <w:r w:rsidR="00511C44" w:rsidRPr="007C0CD5">
        <w:rPr>
          <w:rFonts w:ascii="Arial" w:hAnsi="Arial" w:cs="Arial"/>
          <w:color w:val="0D0D0D" w:themeColor="text1" w:themeTint="F2"/>
          <w:sz w:val="24"/>
          <w:szCs w:val="24"/>
          <w:lang w:eastAsia="en-GB"/>
        </w:rPr>
        <w:t>create</w:t>
      </w:r>
      <w:r w:rsidR="00873374" w:rsidRPr="007C0CD5">
        <w:rPr>
          <w:rFonts w:ascii="Arial" w:hAnsi="Arial" w:cs="Arial"/>
          <w:color w:val="0D0D0D" w:themeColor="text1" w:themeTint="F2"/>
          <w:sz w:val="24"/>
          <w:szCs w:val="24"/>
          <w:lang w:eastAsia="en-GB"/>
        </w:rPr>
        <w:t xml:space="preserve"> a supportive atmosphere where they can be their true self whilst, </w:t>
      </w:r>
      <w:r w:rsidR="00511C44" w:rsidRPr="007C0CD5">
        <w:rPr>
          <w:rFonts w:ascii="Arial" w:hAnsi="Arial" w:cs="Arial"/>
          <w:color w:val="0D0D0D" w:themeColor="text1" w:themeTint="F2"/>
          <w:sz w:val="24"/>
          <w:szCs w:val="24"/>
          <w:lang w:eastAsia="en-GB"/>
        </w:rPr>
        <w:t>being</w:t>
      </w:r>
      <w:r w:rsidR="00873374" w:rsidRPr="007C0CD5">
        <w:rPr>
          <w:rFonts w:ascii="Arial" w:hAnsi="Arial" w:cs="Arial"/>
          <w:color w:val="0D0D0D" w:themeColor="text1" w:themeTint="F2"/>
          <w:sz w:val="24"/>
          <w:szCs w:val="24"/>
          <w:lang w:eastAsia="en-GB"/>
        </w:rPr>
        <w:t xml:space="preserve"> able </w:t>
      </w:r>
      <w:r w:rsidR="00511C44" w:rsidRPr="007C0CD5">
        <w:rPr>
          <w:rFonts w:ascii="Arial" w:hAnsi="Arial" w:cs="Arial"/>
          <w:color w:val="0D0D0D" w:themeColor="text1" w:themeTint="F2"/>
          <w:sz w:val="24"/>
          <w:szCs w:val="24"/>
          <w:lang w:eastAsia="en-GB"/>
        </w:rPr>
        <w:t>to</w:t>
      </w:r>
      <w:r w:rsidR="00873374" w:rsidRPr="007C0CD5">
        <w:rPr>
          <w:rFonts w:ascii="Arial" w:hAnsi="Arial" w:cs="Arial"/>
          <w:color w:val="0D0D0D" w:themeColor="text1" w:themeTint="F2"/>
          <w:sz w:val="24"/>
          <w:szCs w:val="24"/>
          <w:lang w:eastAsia="en-GB"/>
        </w:rPr>
        <w:t xml:space="preserve"> discuss things that people who have not been through what they have been through may not </w:t>
      </w:r>
      <w:r w:rsidR="00511C44" w:rsidRPr="007C0CD5">
        <w:rPr>
          <w:rFonts w:ascii="Arial" w:hAnsi="Arial" w:cs="Arial"/>
          <w:color w:val="0D0D0D" w:themeColor="text1" w:themeTint="F2"/>
          <w:sz w:val="24"/>
          <w:szCs w:val="24"/>
          <w:lang w:eastAsia="en-GB"/>
        </w:rPr>
        <w:t>understand</w:t>
      </w:r>
      <w:r w:rsidR="00873374" w:rsidRPr="007C0CD5">
        <w:rPr>
          <w:rFonts w:ascii="Arial" w:hAnsi="Arial" w:cs="Arial"/>
          <w:color w:val="0D0D0D" w:themeColor="text1" w:themeTint="F2"/>
          <w:sz w:val="24"/>
          <w:szCs w:val="24"/>
          <w:lang w:eastAsia="en-GB"/>
        </w:rPr>
        <w:t xml:space="preserve"> and therefore, may feel if they were to ask someone who had not experienced it may judge.</w:t>
      </w:r>
    </w:p>
    <w:p w14:paraId="457D0ABC" w14:textId="77777777" w:rsidR="00511C44" w:rsidRPr="007C0CD5" w:rsidRDefault="00511C44" w:rsidP="007C0CD5">
      <w:pPr>
        <w:spacing w:after="0" w:line="360" w:lineRule="auto"/>
        <w:rPr>
          <w:rFonts w:ascii="Arial" w:hAnsi="Arial" w:cs="Arial"/>
          <w:color w:val="0D0D0D" w:themeColor="text1" w:themeTint="F2"/>
          <w:sz w:val="24"/>
          <w:szCs w:val="24"/>
          <w:lang w:eastAsia="en-GB"/>
        </w:rPr>
      </w:pPr>
    </w:p>
    <w:p w14:paraId="1F270495" w14:textId="5B3C8436" w:rsidR="00F12F6A" w:rsidRPr="007C0CD5" w:rsidRDefault="009E6216"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Through the practitioner who is supporting </w:t>
      </w:r>
      <w:r w:rsidR="00511C44" w:rsidRPr="007C0CD5">
        <w:rPr>
          <w:rFonts w:ascii="Arial" w:hAnsi="Arial" w:cs="Arial"/>
          <w:color w:val="0D0D0D" w:themeColor="text1" w:themeTint="F2"/>
          <w:sz w:val="24"/>
          <w:szCs w:val="24"/>
        </w:rPr>
        <w:t>Gracelynn’s</w:t>
      </w:r>
      <w:r w:rsidRPr="007C0CD5">
        <w:rPr>
          <w:rFonts w:ascii="Arial" w:hAnsi="Arial" w:cs="Arial"/>
          <w:color w:val="0D0D0D" w:themeColor="text1" w:themeTint="F2"/>
          <w:sz w:val="24"/>
          <w:szCs w:val="24"/>
        </w:rPr>
        <w:t xml:space="preserve"> father providing information and support as well as, assisting them to </w:t>
      </w:r>
      <w:r w:rsidR="00511C44" w:rsidRPr="007C0CD5">
        <w:rPr>
          <w:rFonts w:ascii="Arial" w:hAnsi="Arial" w:cs="Arial"/>
          <w:color w:val="0D0D0D" w:themeColor="text1" w:themeTint="F2"/>
          <w:sz w:val="24"/>
          <w:szCs w:val="24"/>
        </w:rPr>
        <w:t>participate</w:t>
      </w:r>
      <w:r w:rsidRPr="007C0CD5">
        <w:rPr>
          <w:rFonts w:ascii="Arial" w:hAnsi="Arial" w:cs="Arial"/>
          <w:color w:val="0D0D0D" w:themeColor="text1" w:themeTint="F2"/>
          <w:sz w:val="24"/>
          <w:szCs w:val="24"/>
        </w:rPr>
        <w:t xml:space="preserve"> in </w:t>
      </w:r>
      <w:r w:rsidR="00511C44" w:rsidRPr="007C0CD5">
        <w:rPr>
          <w:rFonts w:ascii="Arial" w:hAnsi="Arial" w:cs="Arial"/>
          <w:color w:val="0D0D0D" w:themeColor="text1" w:themeTint="F2"/>
          <w:sz w:val="24"/>
          <w:szCs w:val="24"/>
        </w:rPr>
        <w:t>beneficial</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opportunities</w:t>
      </w:r>
      <w:r w:rsidRPr="007C0CD5">
        <w:rPr>
          <w:rFonts w:ascii="Arial" w:hAnsi="Arial" w:cs="Arial"/>
          <w:color w:val="0D0D0D" w:themeColor="text1" w:themeTint="F2"/>
          <w:sz w:val="24"/>
          <w:szCs w:val="24"/>
        </w:rPr>
        <w:t xml:space="preserve"> that can engage them in the community to be able to form social connection .Such </w:t>
      </w:r>
      <w:r w:rsidR="00511C44" w:rsidRPr="007C0CD5">
        <w:rPr>
          <w:rFonts w:ascii="Arial" w:hAnsi="Arial" w:cs="Arial"/>
          <w:color w:val="0D0D0D" w:themeColor="text1" w:themeTint="F2"/>
          <w:sz w:val="24"/>
          <w:szCs w:val="24"/>
        </w:rPr>
        <w:t>support</w:t>
      </w:r>
      <w:r w:rsidRPr="007C0CD5">
        <w:rPr>
          <w:rFonts w:ascii="Arial" w:hAnsi="Arial" w:cs="Arial"/>
          <w:color w:val="0D0D0D" w:themeColor="text1" w:themeTint="F2"/>
          <w:sz w:val="24"/>
          <w:szCs w:val="24"/>
        </w:rPr>
        <w:t xml:space="preserve"> assist with ensuring inclusive practise takes place as by presenting chances and settings that will promote the growth of the family's social facets of existence will </w:t>
      </w:r>
      <w:r w:rsidRPr="007C0CD5">
        <w:rPr>
          <w:rFonts w:ascii="Arial" w:hAnsi="Arial" w:cs="Arial"/>
          <w:color w:val="0D0D0D" w:themeColor="text1" w:themeTint="F2"/>
          <w:sz w:val="24"/>
          <w:szCs w:val="24"/>
        </w:rPr>
        <w:lastRenderedPageBreak/>
        <w:t>overall give them a better quality of life (Lumby, 2013). Block (2018) contends that a crucial component of belongingness is community participation and knowing what families that surround you and the networks that can be formed.</w:t>
      </w:r>
    </w:p>
    <w:p w14:paraId="4CE5B1A4" w14:textId="5D549A55" w:rsidR="003125B7" w:rsidRPr="007C0CD5" w:rsidRDefault="003125B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A school should serve the needs of the entire community, not only the children that attend, according to the Welsh Government (2016)</w:t>
      </w:r>
      <w:r w:rsidR="00E06007" w:rsidRPr="007C0CD5">
        <w:rPr>
          <w:rFonts w:ascii="Arial" w:hAnsi="Arial" w:cs="Arial"/>
          <w:color w:val="0D0D0D" w:themeColor="text1" w:themeTint="F2"/>
          <w:sz w:val="24"/>
          <w:szCs w:val="24"/>
        </w:rPr>
        <w:t>. A</w:t>
      </w:r>
      <w:r w:rsidRPr="007C0CD5">
        <w:rPr>
          <w:rFonts w:ascii="Arial" w:hAnsi="Arial" w:cs="Arial"/>
          <w:color w:val="0D0D0D" w:themeColor="text1" w:themeTint="F2"/>
          <w:sz w:val="24"/>
          <w:szCs w:val="24"/>
        </w:rPr>
        <w:t xml:space="preserve">s a result, it should not be attainable to separate a school from the community it serves. However, there are barriers to inclusion in the community, such as poor involvement and other people in the community's lack of linguistic sensitivity, which makes other community members feel excluded and uncomfortable as </w:t>
      </w:r>
      <w:r w:rsidR="005612F7" w:rsidRPr="007C0CD5">
        <w:rPr>
          <w:rFonts w:ascii="Arial" w:hAnsi="Arial" w:cs="Arial"/>
          <w:color w:val="0D0D0D" w:themeColor="text1" w:themeTint="F2"/>
          <w:sz w:val="24"/>
          <w:szCs w:val="24"/>
        </w:rPr>
        <w:t>their</w:t>
      </w:r>
      <w:r w:rsidRPr="007C0CD5">
        <w:rPr>
          <w:rFonts w:ascii="Arial" w:hAnsi="Arial" w:cs="Arial"/>
          <w:color w:val="0D0D0D" w:themeColor="text1" w:themeTint="F2"/>
          <w:sz w:val="24"/>
          <w:szCs w:val="24"/>
        </w:rPr>
        <w:t xml:space="preserve"> current status may be misunderstood if the people in the community do not know their situation (Polat, 2011).</w:t>
      </w:r>
    </w:p>
    <w:p w14:paraId="18E5071D" w14:textId="552C73F3" w:rsidR="006E154F" w:rsidRPr="007C0CD5" w:rsidRDefault="006E154F"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To summarise, i</w:t>
      </w:r>
      <w:r w:rsidRPr="007C0CD5">
        <w:rPr>
          <w:rFonts w:ascii="Arial" w:hAnsi="Arial" w:cs="Arial"/>
          <w:color w:val="0D0D0D" w:themeColor="text1" w:themeTint="F2"/>
          <w:sz w:val="24"/>
          <w:szCs w:val="24"/>
        </w:rPr>
        <w:t xml:space="preserve">n order to create an atmosphere where children, families, and communities may experience a feeling of belonging, an inclusive leader needs a wide range of expertise. In the aforementioned instance, the practitioner exhibited inclusive practise by observing the circumstance, acting to assist and empower the family, and giving them access to information and opportunities to promote comfort and a sense of belonging.  Being culturally inclusive is a requirement for inclusive practise, and maintaining inclusivity and empathy requires practitioners to increase </w:t>
      </w:r>
      <w:r w:rsidRPr="007C0CD5">
        <w:rPr>
          <w:rFonts w:ascii="Arial" w:hAnsi="Arial" w:cs="Arial"/>
          <w:color w:val="0D0D0D" w:themeColor="text1" w:themeTint="F2"/>
          <w:sz w:val="24"/>
          <w:szCs w:val="24"/>
        </w:rPr>
        <w:t>with enhance in children development and provision</w:t>
      </w:r>
      <w:r w:rsidRPr="007C0CD5">
        <w:rPr>
          <w:rFonts w:ascii="Arial" w:hAnsi="Arial" w:cs="Arial"/>
          <w:color w:val="0D0D0D" w:themeColor="text1" w:themeTint="F2"/>
          <w:sz w:val="24"/>
          <w:szCs w:val="24"/>
        </w:rPr>
        <w:t xml:space="preserve">. To remain inclusive leaders, practitioners must receive ongoing professional development and seize personal opportunities that </w:t>
      </w:r>
      <w:r w:rsidRPr="007C0CD5">
        <w:rPr>
          <w:rFonts w:ascii="Arial" w:hAnsi="Arial" w:cs="Arial"/>
          <w:color w:val="0D0D0D" w:themeColor="text1" w:themeTint="F2"/>
          <w:sz w:val="24"/>
          <w:szCs w:val="24"/>
        </w:rPr>
        <w:t>are presented</w:t>
      </w:r>
      <w:r w:rsidRPr="007C0CD5">
        <w:rPr>
          <w:rFonts w:ascii="Arial" w:hAnsi="Arial" w:cs="Arial"/>
          <w:color w:val="0D0D0D" w:themeColor="text1" w:themeTint="F2"/>
          <w:sz w:val="24"/>
          <w:szCs w:val="24"/>
        </w:rPr>
        <w:t>.</w:t>
      </w:r>
    </w:p>
    <w:p w14:paraId="6026C9B4" w14:textId="553E2A32" w:rsidR="00C71287" w:rsidRPr="007C0CD5" w:rsidRDefault="00C71287"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2</w:t>
      </w:r>
    </w:p>
    <w:p w14:paraId="69A71564" w14:textId="147E466D" w:rsidR="0025534A" w:rsidRPr="007C0CD5" w:rsidRDefault="0025534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This section will assess the New Curriculum for Wales (Welsh Government, 2020) policy's ability to support inclusive leadership in early childhood education.</w:t>
      </w:r>
    </w:p>
    <w:p w14:paraId="37ABA1DE" w14:textId="3AD73B4D" w:rsidR="004969DC" w:rsidRPr="007C0CD5" w:rsidRDefault="004969D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chance to create an enhanced framework to guide a new generation of early childhood policies and practises is now presented by advances in the biological and social sciences. The extensive biological integration of early experiences into the development </w:t>
      </w:r>
      <w:r w:rsidR="006E154F" w:rsidRPr="007C0CD5">
        <w:rPr>
          <w:rFonts w:ascii="Arial" w:hAnsi="Arial" w:cs="Arial"/>
          <w:color w:val="0D0D0D" w:themeColor="text1" w:themeTint="F2"/>
          <w:sz w:val="24"/>
          <w:szCs w:val="24"/>
        </w:rPr>
        <w:t>of</w:t>
      </w:r>
      <w:r w:rsidRPr="007C0CD5">
        <w:rPr>
          <w:rFonts w:ascii="Arial" w:hAnsi="Arial" w:cs="Arial"/>
          <w:color w:val="0D0D0D" w:themeColor="text1" w:themeTint="F2"/>
          <w:sz w:val="24"/>
          <w:szCs w:val="24"/>
        </w:rPr>
        <w:t xml:space="preserve"> multiple organ systems, with long-term effects on metabolic control and cardiovascular health as well as the proficiency of cognitive, language, and social skills, provides </w:t>
      </w:r>
      <w:r w:rsidR="008D1909" w:rsidRPr="007C0CD5">
        <w:rPr>
          <w:rFonts w:ascii="Arial" w:hAnsi="Arial" w:cs="Arial"/>
          <w:color w:val="0D0D0D" w:themeColor="text1" w:themeTint="F2"/>
          <w:sz w:val="24"/>
          <w:szCs w:val="24"/>
        </w:rPr>
        <w:t>compelling evidence</w:t>
      </w:r>
      <w:r w:rsidRPr="007C0CD5">
        <w:rPr>
          <w:rFonts w:ascii="Arial" w:hAnsi="Arial" w:cs="Arial"/>
          <w:color w:val="0D0D0D" w:themeColor="text1" w:themeTint="F2"/>
          <w:sz w:val="24"/>
          <w:szCs w:val="24"/>
        </w:rPr>
        <w:t xml:space="preserve"> in support of this new framework (Hertzman, 2000; Meaney, 2010; Shonkoff, Boyce, &amp; McEwen, 2009). The suggested biodevelopmental framework informs decision-makers of the critical relevance of the biodevelopmental framework, beyond its potential advantages for </w:t>
      </w:r>
      <w:r w:rsidRPr="007C0CD5">
        <w:rPr>
          <w:rFonts w:ascii="Arial" w:hAnsi="Arial" w:cs="Arial"/>
          <w:color w:val="0D0D0D" w:themeColor="text1" w:themeTint="F2"/>
          <w:sz w:val="24"/>
          <w:szCs w:val="24"/>
        </w:rPr>
        <w:lastRenderedPageBreak/>
        <w:t>policies that touch all early children and can provide drastic effect upon their development.</w:t>
      </w:r>
    </w:p>
    <w:p w14:paraId="4B7F55EC" w14:textId="14FEE28B" w:rsidR="00251E03" w:rsidRPr="007C0CD5" w:rsidRDefault="00251E03"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In accordance with Amadei (2016) Policies, which have been formally approved by management, include high-level concepts or standards that a specific department or area within the organisation must adhere to. These regulations establish the general course of action for particular departments in the school and the </w:t>
      </w:r>
      <w:r w:rsidR="00511C44" w:rsidRPr="007C0CD5">
        <w:rPr>
          <w:rFonts w:ascii="Arial" w:hAnsi="Arial" w:cs="Arial"/>
          <w:color w:val="0D0D0D" w:themeColor="text1" w:themeTint="F2"/>
          <w:sz w:val="24"/>
          <w:szCs w:val="24"/>
        </w:rPr>
        <w:t>expectations</w:t>
      </w:r>
      <w:r w:rsidRPr="007C0CD5">
        <w:rPr>
          <w:rFonts w:ascii="Arial" w:hAnsi="Arial" w:cs="Arial"/>
          <w:color w:val="0D0D0D" w:themeColor="text1" w:themeTint="F2"/>
          <w:sz w:val="24"/>
          <w:szCs w:val="24"/>
        </w:rPr>
        <w:t xml:space="preserve"> they have meet to be in line with  the requirement as stated in the </w:t>
      </w:r>
      <w:r w:rsidR="00511C44" w:rsidRPr="007C0CD5">
        <w:rPr>
          <w:rFonts w:ascii="Arial" w:hAnsi="Arial" w:cs="Arial"/>
          <w:color w:val="0D0D0D" w:themeColor="text1" w:themeTint="F2"/>
          <w:sz w:val="24"/>
          <w:szCs w:val="24"/>
        </w:rPr>
        <w:t>policies. Education</w:t>
      </w:r>
      <w:r w:rsidRPr="007C0CD5">
        <w:rPr>
          <w:rFonts w:ascii="Arial" w:hAnsi="Arial" w:cs="Arial"/>
          <w:color w:val="0D0D0D" w:themeColor="text1" w:themeTint="F2"/>
          <w:sz w:val="24"/>
          <w:szCs w:val="24"/>
        </w:rPr>
        <w:t xml:space="preserve"> policy is crucial because it offers structure in order to ensure that all settings are on a cohesive pathway of what it </w:t>
      </w:r>
      <w:r w:rsidR="00511C44" w:rsidRPr="007C0CD5">
        <w:rPr>
          <w:rFonts w:ascii="Arial" w:hAnsi="Arial" w:cs="Arial"/>
          <w:color w:val="0D0D0D" w:themeColor="text1" w:themeTint="F2"/>
          <w:sz w:val="24"/>
          <w:szCs w:val="24"/>
        </w:rPr>
        <w:t>expected. This</w:t>
      </w:r>
      <w:r w:rsidRPr="007C0CD5">
        <w:rPr>
          <w:rFonts w:ascii="Arial" w:hAnsi="Arial" w:cs="Arial"/>
          <w:color w:val="0D0D0D" w:themeColor="text1" w:themeTint="F2"/>
          <w:sz w:val="24"/>
          <w:szCs w:val="24"/>
        </w:rPr>
        <w:t xml:space="preserve"> is in </w:t>
      </w:r>
      <w:r w:rsidR="00511C44" w:rsidRPr="007C0CD5">
        <w:rPr>
          <w:rFonts w:ascii="Arial" w:hAnsi="Arial" w:cs="Arial"/>
          <w:color w:val="0D0D0D" w:themeColor="text1" w:themeTint="F2"/>
          <w:sz w:val="24"/>
          <w:szCs w:val="24"/>
        </w:rPr>
        <w:t>order provide</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that allows children to reach their </w:t>
      </w:r>
      <w:r w:rsidR="00511C44" w:rsidRPr="007C0CD5">
        <w:rPr>
          <w:rFonts w:ascii="Arial" w:hAnsi="Arial" w:cs="Arial"/>
          <w:color w:val="0D0D0D" w:themeColor="text1" w:themeTint="F2"/>
          <w:sz w:val="24"/>
          <w:szCs w:val="24"/>
        </w:rPr>
        <w:t>potential</w:t>
      </w:r>
      <w:r w:rsidRPr="007C0CD5">
        <w:rPr>
          <w:rFonts w:ascii="Arial" w:hAnsi="Arial" w:cs="Arial"/>
          <w:color w:val="0D0D0D" w:themeColor="text1" w:themeTint="F2"/>
          <w:sz w:val="24"/>
          <w:szCs w:val="24"/>
        </w:rPr>
        <w:t xml:space="preserve"> in a safe and naturing </w:t>
      </w:r>
      <w:r w:rsidR="00511C44" w:rsidRPr="007C0CD5">
        <w:rPr>
          <w:rFonts w:ascii="Arial" w:hAnsi="Arial" w:cs="Arial"/>
          <w:color w:val="0D0D0D" w:themeColor="text1" w:themeTint="F2"/>
          <w:sz w:val="24"/>
          <w:szCs w:val="24"/>
        </w:rPr>
        <w:t>environment</w:t>
      </w:r>
      <w:r w:rsidRPr="007C0CD5">
        <w:rPr>
          <w:rFonts w:ascii="Arial" w:hAnsi="Arial" w:cs="Arial"/>
          <w:color w:val="0D0D0D" w:themeColor="text1" w:themeTint="F2"/>
          <w:sz w:val="24"/>
          <w:szCs w:val="24"/>
        </w:rPr>
        <w:t xml:space="preserve"> where they are provided with </w:t>
      </w:r>
      <w:r w:rsidR="00511C44" w:rsidRPr="007C0CD5">
        <w:rPr>
          <w:rFonts w:ascii="Arial" w:hAnsi="Arial" w:cs="Arial"/>
          <w:color w:val="0D0D0D" w:themeColor="text1" w:themeTint="F2"/>
          <w:sz w:val="24"/>
          <w:szCs w:val="24"/>
        </w:rPr>
        <w:t>assistance</w:t>
      </w:r>
      <w:r w:rsidRPr="007C0CD5">
        <w:rPr>
          <w:rFonts w:ascii="Arial" w:hAnsi="Arial" w:cs="Arial"/>
          <w:color w:val="0D0D0D" w:themeColor="text1" w:themeTint="F2"/>
          <w:sz w:val="24"/>
          <w:szCs w:val="24"/>
        </w:rPr>
        <w:t xml:space="preserve"> and guidance (McClure and Jaeger, 2008).</w:t>
      </w:r>
    </w:p>
    <w:p w14:paraId="376CFB8D" w14:textId="26D3462C" w:rsidR="00251E03" w:rsidRPr="007C0CD5" w:rsidRDefault="00251E03"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Whether a policy is macro or micro in scope can affect how it is implemented, hence why consideration of what type of policy that is going to be formed needs </w:t>
      </w:r>
      <w:r w:rsidR="00511C44" w:rsidRPr="007C0CD5">
        <w:rPr>
          <w:rFonts w:ascii="Arial" w:hAnsi="Arial" w:cs="Arial"/>
          <w:color w:val="0D0D0D" w:themeColor="text1" w:themeTint="F2"/>
          <w:sz w:val="24"/>
          <w:szCs w:val="24"/>
        </w:rPr>
        <w:t>careful</w:t>
      </w:r>
      <w:r w:rsidRPr="007C0CD5">
        <w:rPr>
          <w:rFonts w:ascii="Arial" w:hAnsi="Arial" w:cs="Arial"/>
          <w:color w:val="0D0D0D" w:themeColor="text1" w:themeTint="F2"/>
          <w:sz w:val="24"/>
          <w:szCs w:val="24"/>
        </w:rPr>
        <w:t xml:space="preserve"> consideration (Ferdman, 2021).</w:t>
      </w:r>
      <w:r w:rsidR="0096434D" w:rsidRPr="007C0CD5">
        <w:rPr>
          <w:rFonts w:ascii="Arial" w:hAnsi="Arial" w:cs="Arial"/>
          <w:color w:val="0D0D0D" w:themeColor="text1" w:themeTint="F2"/>
          <w:sz w:val="24"/>
          <w:szCs w:val="24"/>
        </w:rPr>
        <w:t xml:space="preserve"> Whether a policy is macro or micro in scope can affect how it is implemented (Ferdman, 2021). For accumulating and analysing </w:t>
      </w:r>
      <w:r w:rsidR="00511C44" w:rsidRPr="007C0CD5">
        <w:rPr>
          <w:rFonts w:ascii="Arial" w:hAnsi="Arial" w:cs="Arial"/>
          <w:color w:val="0D0D0D" w:themeColor="text1" w:themeTint="F2"/>
          <w:sz w:val="24"/>
          <w:szCs w:val="24"/>
        </w:rPr>
        <w:t>micro evidence</w:t>
      </w:r>
      <w:r w:rsidR="0096434D" w:rsidRPr="007C0CD5">
        <w:rPr>
          <w:rFonts w:ascii="Arial" w:hAnsi="Arial" w:cs="Arial"/>
          <w:color w:val="0D0D0D" w:themeColor="text1" w:themeTint="F2"/>
          <w:sz w:val="24"/>
          <w:szCs w:val="24"/>
        </w:rPr>
        <w:t xml:space="preserve"> and for going on to an evaluation of macro policy, macroeconomic models have important insights to provide (Buera, Kaboski, Townsend, 2023) According to Cascicio (2019), a macro level policy is one that the government establishes at the national level. In </w:t>
      </w:r>
      <w:r w:rsidR="00511C44" w:rsidRPr="007C0CD5">
        <w:rPr>
          <w:rFonts w:ascii="Arial" w:hAnsi="Arial" w:cs="Arial"/>
          <w:color w:val="0D0D0D" w:themeColor="text1" w:themeTint="F2"/>
          <w:sz w:val="24"/>
          <w:szCs w:val="24"/>
        </w:rPr>
        <w:t>comparison</w:t>
      </w:r>
      <w:r w:rsidR="0096434D" w:rsidRPr="007C0CD5">
        <w:rPr>
          <w:rFonts w:ascii="Arial" w:hAnsi="Arial" w:cs="Arial"/>
          <w:color w:val="0D0D0D" w:themeColor="text1" w:themeTint="F2"/>
          <w:sz w:val="24"/>
          <w:szCs w:val="24"/>
        </w:rPr>
        <w:t xml:space="preserve"> to micro level policies which are ones in which, Early Years setting might have </w:t>
      </w:r>
      <w:r w:rsidR="00511C44" w:rsidRPr="007C0CD5">
        <w:rPr>
          <w:rFonts w:ascii="Arial" w:hAnsi="Arial" w:cs="Arial"/>
          <w:color w:val="0D0D0D" w:themeColor="text1" w:themeTint="F2"/>
          <w:sz w:val="24"/>
          <w:szCs w:val="24"/>
        </w:rPr>
        <w:t>developed. A</w:t>
      </w:r>
      <w:r w:rsidR="0096434D" w:rsidRPr="007C0CD5">
        <w:rPr>
          <w:rFonts w:ascii="Arial" w:hAnsi="Arial" w:cs="Arial"/>
          <w:color w:val="0D0D0D" w:themeColor="text1" w:themeTint="F2"/>
          <w:sz w:val="24"/>
          <w:szCs w:val="24"/>
        </w:rPr>
        <w:t xml:space="preserve"> micro level policy, which corresponds to a far more basic form of </w:t>
      </w:r>
      <w:r w:rsidR="00511C44" w:rsidRPr="007C0CD5">
        <w:rPr>
          <w:rFonts w:ascii="Arial" w:hAnsi="Arial" w:cs="Arial"/>
          <w:color w:val="0D0D0D" w:themeColor="text1" w:themeTint="F2"/>
          <w:sz w:val="24"/>
          <w:szCs w:val="24"/>
        </w:rPr>
        <w:t>policy. Furthermore</w:t>
      </w:r>
      <w:r w:rsidR="0096434D" w:rsidRPr="007C0CD5">
        <w:rPr>
          <w:rFonts w:ascii="Arial" w:hAnsi="Arial" w:cs="Arial"/>
          <w:color w:val="0D0D0D" w:themeColor="text1" w:themeTint="F2"/>
          <w:sz w:val="24"/>
          <w:szCs w:val="24"/>
        </w:rPr>
        <w:t>, Finnigan (2012) argues that an inclusive leader is needed to implement both micro and macro policies which are effective.</w:t>
      </w:r>
    </w:p>
    <w:p w14:paraId="4584DD18" w14:textId="600FD1A1" w:rsidR="0096434D" w:rsidRPr="007C0CD5" w:rsidRDefault="0096434D"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Policies play a crucial role in setting compliance with legal requirements set out by the Welsh </w:t>
      </w:r>
      <w:r w:rsidR="00511C44" w:rsidRPr="007C0CD5">
        <w:rPr>
          <w:rFonts w:ascii="Arial" w:hAnsi="Arial" w:cs="Arial"/>
          <w:color w:val="0D0D0D" w:themeColor="text1" w:themeTint="F2"/>
          <w:sz w:val="24"/>
          <w:szCs w:val="24"/>
        </w:rPr>
        <w:t>Government</w:t>
      </w:r>
      <w:r w:rsidRPr="007C0CD5">
        <w:rPr>
          <w:rFonts w:ascii="Arial" w:hAnsi="Arial" w:cs="Arial"/>
          <w:color w:val="0D0D0D" w:themeColor="text1" w:themeTint="F2"/>
          <w:sz w:val="24"/>
          <w:szCs w:val="24"/>
        </w:rPr>
        <w:t xml:space="preserve"> because they express values, promote action, and provide settings structure of what is required to meet the </w:t>
      </w:r>
      <w:r w:rsidR="00511C44" w:rsidRPr="007C0CD5">
        <w:rPr>
          <w:rFonts w:ascii="Arial" w:hAnsi="Arial" w:cs="Arial"/>
          <w:color w:val="0D0D0D" w:themeColor="text1" w:themeTint="F2"/>
          <w:sz w:val="24"/>
          <w:szCs w:val="24"/>
        </w:rPr>
        <w:t>requirements</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remaining</w:t>
      </w:r>
      <w:r w:rsidRPr="007C0CD5">
        <w:rPr>
          <w:rFonts w:ascii="Arial" w:hAnsi="Arial" w:cs="Arial"/>
          <w:color w:val="0D0D0D" w:themeColor="text1" w:themeTint="F2"/>
          <w:sz w:val="24"/>
          <w:szCs w:val="24"/>
        </w:rPr>
        <w:t xml:space="preserve"> open (Schools and Regional Services Department of Education and Training, 2021). According to Hughes and Lewis (2020), curriculum development is primarily regulated by policymakers, and practitioners in educational settings are then required to put policy into practise in order to fulfil their duties effectively.</w:t>
      </w:r>
    </w:p>
    <w:p w14:paraId="19BF82BB" w14:textId="4B404ACF" w:rsidR="003125B7" w:rsidRPr="007C0CD5" w:rsidRDefault="003125B7"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New Curriculum for Wales (2020) intends to provide a more inclusive curriculum. Where within,  The New Curriculum for Wales policy seeks to create ethical, knowledgeable, and lifelong learners (Welsh Government, 2020; Donaldson </w:t>
      </w:r>
      <w:r w:rsidRPr="007C0CD5">
        <w:rPr>
          <w:rFonts w:ascii="Arial" w:hAnsi="Arial" w:cs="Arial"/>
          <w:color w:val="0D0D0D" w:themeColor="text1" w:themeTint="F2"/>
          <w:sz w:val="24"/>
          <w:szCs w:val="24"/>
        </w:rPr>
        <w:lastRenderedPageBreak/>
        <w:t xml:space="preserve">2015). </w:t>
      </w:r>
      <w:r w:rsidR="005612F7" w:rsidRPr="007C0CD5">
        <w:rPr>
          <w:rFonts w:ascii="Arial" w:hAnsi="Arial" w:cs="Arial"/>
          <w:color w:val="0D0D0D" w:themeColor="text1" w:themeTint="F2"/>
          <w:sz w:val="24"/>
          <w:szCs w:val="24"/>
        </w:rPr>
        <w:t>Nevertheless,</w:t>
      </w:r>
      <w:r w:rsidRPr="007C0CD5">
        <w:rPr>
          <w:rFonts w:ascii="Arial" w:hAnsi="Arial" w:cs="Arial"/>
          <w:color w:val="0D0D0D" w:themeColor="text1" w:themeTint="F2"/>
          <w:sz w:val="24"/>
          <w:szCs w:val="24"/>
        </w:rPr>
        <w:t xml:space="preserve"> educators and practitioners are under pressure to develop a fully inclusive curriculum that is appropriate for every child. Welsh Government (2015) is an example of how the New Curriculum seeks to promote growth rather than categorising students based on their ages.</w:t>
      </w:r>
    </w:p>
    <w:p w14:paraId="7AF9D414" w14:textId="77777777" w:rsidR="005612F7" w:rsidRPr="007C0CD5" w:rsidRDefault="00E4047F"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lists of experiences, knowledge, and abilities outlined in the Curriculum for Wales progression steps are  comparable  to the British Columbia "big ideas" in terms of generality. (Blades,2019; Wong,2022) However, unlike British Columbia, Wales emphasises  big </w:t>
      </w:r>
      <w:r w:rsidR="00511C44" w:rsidRPr="007C0CD5">
        <w:rPr>
          <w:rFonts w:ascii="Arial" w:hAnsi="Arial" w:cs="Arial"/>
          <w:color w:val="0D0D0D" w:themeColor="text1" w:themeTint="F2"/>
          <w:sz w:val="24"/>
          <w:szCs w:val="24"/>
        </w:rPr>
        <w:t>ideas. Therefore</w:t>
      </w:r>
      <w:r w:rsidRPr="007C0CD5">
        <w:rPr>
          <w:rFonts w:ascii="Arial" w:hAnsi="Arial" w:cs="Arial"/>
          <w:color w:val="0D0D0D" w:themeColor="text1" w:themeTint="F2"/>
          <w:sz w:val="24"/>
          <w:szCs w:val="24"/>
        </w:rPr>
        <w:t xml:space="preserve">, bases upon that it can be argued that </w:t>
      </w:r>
      <w:r w:rsidR="005612F7" w:rsidRPr="007C0CD5">
        <w:rPr>
          <w:rFonts w:ascii="Arial" w:hAnsi="Arial" w:cs="Arial"/>
          <w:color w:val="0D0D0D" w:themeColor="text1" w:themeTint="F2"/>
          <w:sz w:val="24"/>
          <w:szCs w:val="24"/>
        </w:rPr>
        <w:t>The New Curriculum for Wales is more in line with the current New Zealand Curriculum, which additionally includes big idea-like statements about the essential sections, such as the section of Identity, Culture, and Organisation in the Social Sciences, with brief basic terms statements for each learning area that explain what the learning area is about, why it should be studied, and how it is structured.( Sinnema, Nieveen, Priestley, 2020)</w:t>
      </w:r>
    </w:p>
    <w:p w14:paraId="442FA620" w14:textId="58D0D574" w:rsidR="00617268" w:rsidRPr="007C0CD5" w:rsidRDefault="00617268"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Curriculum for Wales' What Matter statements  have been broken down into sets of "experiences, knowledge, and skills" that are articulated at each stage of the progression step the child is meeting at that specific time. Regardless of the specification's formal status problems might still occur as each progression step can be interpretated into many </w:t>
      </w:r>
      <w:r w:rsidR="00511C44" w:rsidRPr="007C0CD5">
        <w:rPr>
          <w:rFonts w:ascii="Arial" w:hAnsi="Arial" w:cs="Arial"/>
          <w:color w:val="0D0D0D" w:themeColor="text1" w:themeTint="F2"/>
          <w:sz w:val="24"/>
          <w:szCs w:val="24"/>
        </w:rPr>
        <w:t>ways</w:t>
      </w:r>
      <w:r w:rsidRPr="007C0CD5">
        <w:rPr>
          <w:rFonts w:ascii="Arial" w:hAnsi="Arial" w:cs="Arial"/>
          <w:color w:val="0D0D0D" w:themeColor="text1" w:themeTint="F2"/>
          <w:sz w:val="24"/>
          <w:szCs w:val="24"/>
        </w:rPr>
        <w:t xml:space="preserve"> due to, the lack of clear formal structure of what </w:t>
      </w:r>
      <w:r w:rsidR="00511C44" w:rsidRPr="007C0CD5">
        <w:rPr>
          <w:rFonts w:ascii="Arial" w:hAnsi="Arial" w:cs="Arial"/>
          <w:color w:val="0D0D0D" w:themeColor="text1" w:themeTint="F2"/>
          <w:sz w:val="24"/>
          <w:szCs w:val="24"/>
        </w:rPr>
        <w:t>specific</w:t>
      </w:r>
      <w:r w:rsidRPr="007C0CD5">
        <w:rPr>
          <w:rFonts w:ascii="Arial" w:hAnsi="Arial" w:cs="Arial"/>
          <w:color w:val="0D0D0D" w:themeColor="text1" w:themeTint="F2"/>
          <w:sz w:val="24"/>
          <w:szCs w:val="24"/>
        </w:rPr>
        <w:t xml:space="preserve"> </w:t>
      </w:r>
      <w:r w:rsidR="00511C44" w:rsidRPr="007C0CD5">
        <w:rPr>
          <w:rFonts w:ascii="Arial" w:hAnsi="Arial" w:cs="Arial"/>
          <w:color w:val="0D0D0D" w:themeColor="text1" w:themeTint="F2"/>
          <w:sz w:val="24"/>
          <w:szCs w:val="24"/>
        </w:rPr>
        <w:t>criteria’s</w:t>
      </w:r>
      <w:r w:rsidRPr="007C0CD5">
        <w:rPr>
          <w:rFonts w:ascii="Arial" w:hAnsi="Arial" w:cs="Arial"/>
          <w:color w:val="0D0D0D" w:themeColor="text1" w:themeTint="F2"/>
          <w:sz w:val="24"/>
          <w:szCs w:val="24"/>
        </w:rPr>
        <w:t xml:space="preserve"> the child must reach and cover within the school year . Who will </w:t>
      </w:r>
      <w:r w:rsidR="008D1909" w:rsidRPr="007C0CD5">
        <w:rPr>
          <w:rFonts w:ascii="Arial" w:hAnsi="Arial" w:cs="Arial"/>
          <w:color w:val="0D0D0D" w:themeColor="text1" w:themeTint="F2"/>
          <w:sz w:val="24"/>
          <w:szCs w:val="24"/>
        </w:rPr>
        <w:t>use</w:t>
      </w:r>
      <w:r w:rsidRPr="007C0CD5">
        <w:rPr>
          <w:rFonts w:ascii="Arial" w:hAnsi="Arial" w:cs="Arial"/>
          <w:color w:val="0D0D0D" w:themeColor="text1" w:themeTint="F2"/>
          <w:sz w:val="24"/>
          <w:szCs w:val="24"/>
        </w:rPr>
        <w:t xml:space="preserve"> these standards and for what purposes will determine how to </w:t>
      </w:r>
      <w:r w:rsidR="008D1909" w:rsidRPr="007C0CD5">
        <w:rPr>
          <w:rFonts w:ascii="Arial" w:hAnsi="Arial" w:cs="Arial"/>
          <w:color w:val="0D0D0D" w:themeColor="text1" w:themeTint="F2"/>
          <w:sz w:val="24"/>
          <w:szCs w:val="24"/>
        </w:rPr>
        <w:t>oversee</w:t>
      </w:r>
      <w:r w:rsidRPr="007C0CD5">
        <w:rPr>
          <w:rFonts w:ascii="Arial" w:hAnsi="Arial" w:cs="Arial"/>
          <w:color w:val="0D0D0D" w:themeColor="text1" w:themeTint="F2"/>
          <w:sz w:val="24"/>
          <w:szCs w:val="24"/>
        </w:rPr>
        <w:t xml:space="preserve"> this issue in large part as  (Nieveen, Kuiper, 2012)</w:t>
      </w:r>
    </w:p>
    <w:p w14:paraId="4A14B4F6" w14:textId="2C9F9F70" w:rsidR="00252500" w:rsidRPr="007C0CD5" w:rsidRDefault="0025250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The replacement of standardised age-stage-related assessment with progression steps promotes inclusive leadership (Welsh Government, 2015a). Therefore, inclusive leaders can </w:t>
      </w:r>
      <w:r w:rsidR="008D1909" w:rsidRPr="007C0CD5">
        <w:rPr>
          <w:rFonts w:ascii="Arial" w:hAnsi="Arial" w:cs="Arial"/>
          <w:color w:val="0D0D0D" w:themeColor="text1" w:themeTint="F2"/>
          <w:sz w:val="24"/>
          <w:szCs w:val="24"/>
        </w:rPr>
        <w:t>use</w:t>
      </w:r>
      <w:r w:rsidRPr="007C0CD5">
        <w:rPr>
          <w:rFonts w:ascii="Arial" w:hAnsi="Arial" w:cs="Arial"/>
          <w:color w:val="0D0D0D" w:themeColor="text1" w:themeTint="F2"/>
          <w:sz w:val="24"/>
          <w:szCs w:val="24"/>
        </w:rPr>
        <w:t xml:space="preserve"> progression phases to get the greatest results for all children and meeting their distinctive needs which are vital to consider in order, to ensure everyone can partake no matter what the activity consists of (Randel et al., 2018). Bešić (2020) claims that in past curriculums, unique abilities and characteristic were not always looked upon in depth as, being inclusive in leadership and education was seen to be related exclusively to children who had been diagnosed with additional needs . As opposed to the New Curriculum for Wales </w:t>
      </w:r>
      <w:r w:rsidRPr="007C0CD5">
        <w:rPr>
          <w:rFonts w:ascii="Arial" w:hAnsi="Arial" w:cs="Arial"/>
          <w:color w:val="0D0D0D" w:themeColor="text1" w:themeTint="F2"/>
          <w:sz w:val="24"/>
          <w:szCs w:val="24"/>
        </w:rPr>
        <w:lastRenderedPageBreak/>
        <w:t>(2020), which depicts inclusive leadership and education as encompass disability along with racial, linguistic, and cultural diversity.</w:t>
      </w:r>
    </w:p>
    <w:p w14:paraId="2A156A83" w14:textId="11BB7A54" w:rsidR="003C48F4" w:rsidRPr="007C0CD5" w:rsidRDefault="003C48F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Together with students, their families, and the larger community, teachers can co-create a curriculum that is inclusive of their school, giving teachers more power over inclusive leadership that will significantly improve the quality of the education childrn receive (Harris, Jones, and Crick, 2020; Welsh Government, 2020). This is as </w:t>
      </w:r>
      <w:r w:rsidR="00511C44" w:rsidRPr="007C0CD5">
        <w:rPr>
          <w:rFonts w:ascii="Arial" w:hAnsi="Arial" w:cs="Arial"/>
          <w:color w:val="0D0D0D" w:themeColor="text1" w:themeTint="F2"/>
          <w:sz w:val="24"/>
          <w:szCs w:val="24"/>
        </w:rPr>
        <w:t>an</w:t>
      </w:r>
      <w:r w:rsidRPr="007C0CD5">
        <w:rPr>
          <w:rFonts w:ascii="Arial" w:hAnsi="Arial" w:cs="Arial"/>
          <w:color w:val="0D0D0D" w:themeColor="text1" w:themeTint="F2"/>
          <w:sz w:val="24"/>
          <w:szCs w:val="24"/>
        </w:rPr>
        <w:t xml:space="preserve"> effect from the Government (2018) acknowledging that curriculum designers who are of high status and therefore, may not </w:t>
      </w:r>
      <w:r w:rsidR="00511C44" w:rsidRPr="007C0CD5">
        <w:rPr>
          <w:rFonts w:ascii="Arial" w:hAnsi="Arial" w:cs="Arial"/>
          <w:color w:val="0D0D0D" w:themeColor="text1" w:themeTint="F2"/>
          <w:sz w:val="24"/>
          <w:szCs w:val="24"/>
        </w:rPr>
        <w:t>experience</w:t>
      </w:r>
      <w:r w:rsidRPr="007C0CD5">
        <w:rPr>
          <w:rFonts w:ascii="Arial" w:hAnsi="Arial" w:cs="Arial"/>
          <w:color w:val="0D0D0D" w:themeColor="text1" w:themeTint="F2"/>
          <w:sz w:val="24"/>
          <w:szCs w:val="24"/>
        </w:rPr>
        <w:t xml:space="preserve"> a </w:t>
      </w:r>
      <w:r w:rsidR="00511C44" w:rsidRPr="007C0CD5">
        <w:rPr>
          <w:rFonts w:ascii="Arial" w:hAnsi="Arial" w:cs="Arial"/>
          <w:color w:val="0D0D0D" w:themeColor="text1" w:themeTint="F2"/>
          <w:sz w:val="24"/>
          <w:szCs w:val="24"/>
        </w:rPr>
        <w:t>classroom</w:t>
      </w:r>
      <w:r w:rsidRPr="007C0CD5">
        <w:rPr>
          <w:rFonts w:ascii="Arial" w:hAnsi="Arial" w:cs="Arial"/>
          <w:color w:val="0D0D0D" w:themeColor="text1" w:themeTint="F2"/>
          <w:sz w:val="24"/>
          <w:szCs w:val="24"/>
        </w:rPr>
        <w:t xml:space="preserve"> and subsequently therefore, frequently lack a thorough understanding of how their work is implemented in a real classroom and the challenges that arise when things fail to operate according to plan because of a variety of </w:t>
      </w:r>
      <w:r w:rsidR="00511C44" w:rsidRPr="007C0CD5">
        <w:rPr>
          <w:rFonts w:ascii="Arial" w:hAnsi="Arial" w:cs="Arial"/>
          <w:color w:val="0D0D0D" w:themeColor="text1" w:themeTint="F2"/>
          <w:sz w:val="24"/>
          <w:szCs w:val="24"/>
        </w:rPr>
        <w:t>variables. Although</w:t>
      </w:r>
      <w:r w:rsidRPr="007C0CD5">
        <w:rPr>
          <w:rFonts w:ascii="Arial" w:hAnsi="Arial" w:cs="Arial"/>
          <w:color w:val="0D0D0D" w:themeColor="text1" w:themeTint="F2"/>
          <w:sz w:val="24"/>
          <w:szCs w:val="24"/>
        </w:rPr>
        <w:t>. In contrast to earlier educational policies that used a hierarchical method, a co-constructive strategy has been used to build the New Curriculum for Wales (OECD, 2017).</w:t>
      </w:r>
    </w:p>
    <w:p w14:paraId="143607B7" w14:textId="2EAB47BC" w:rsidR="006D6DF0" w:rsidRPr="007C0CD5" w:rsidRDefault="006D6DF0"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Gosper (2014) contends that while the New Curriculum for Wales policy requires inclusiveness, the effectiveness of it is ultimately up to the managers and teaching personnel. Mngo and Mngo (2018) cite the knowledge, attitude, and beliefs of all employees and future leaders as being critical to the success of inclusive leadership.</w:t>
      </w:r>
    </w:p>
    <w:p w14:paraId="4D78B69A" w14:textId="4528638A" w:rsidR="006E154F" w:rsidRPr="007C0CD5" w:rsidRDefault="006E154F"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To sum everything up, the new Curriculum for Wales (2020) enables for inclusive leadership in early years services and gives students and practitioners the chance to expand their knowledge and understanding. Inclusive leadership should be possible in settings if the curriculum is used as it is intended and planned. The right tools, money, and training must be accessible in early years settings in order for this to be effective in overcoming the present obstacles.</w:t>
      </w:r>
    </w:p>
    <w:p w14:paraId="33184789" w14:textId="091827E1" w:rsidR="00122E58" w:rsidRPr="007C0CD5" w:rsidRDefault="00122E58"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t>Section 3</w:t>
      </w:r>
    </w:p>
    <w:p w14:paraId="72F1327E" w14:textId="3D5463E7" w:rsidR="00122E58" w:rsidRPr="007C0CD5" w:rsidRDefault="006C133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As </w:t>
      </w:r>
      <w:r w:rsidR="005612F7" w:rsidRPr="007C0CD5">
        <w:rPr>
          <w:rFonts w:ascii="Arial" w:hAnsi="Arial" w:cs="Arial"/>
          <w:color w:val="0D0D0D" w:themeColor="text1" w:themeTint="F2"/>
          <w:sz w:val="24"/>
          <w:szCs w:val="24"/>
        </w:rPr>
        <w:t>a</w:t>
      </w:r>
      <w:r w:rsidRPr="007C0CD5">
        <w:rPr>
          <w:rFonts w:ascii="Arial" w:hAnsi="Arial" w:cs="Arial"/>
          <w:color w:val="0D0D0D" w:themeColor="text1" w:themeTint="F2"/>
          <w:sz w:val="24"/>
          <w:szCs w:val="24"/>
        </w:rPr>
        <w:t xml:space="preserve"> </w:t>
      </w:r>
      <w:r w:rsidR="005612F7" w:rsidRPr="007C0CD5">
        <w:rPr>
          <w:rFonts w:ascii="Arial" w:hAnsi="Arial" w:cs="Arial"/>
          <w:color w:val="0D0D0D" w:themeColor="text1" w:themeTint="F2"/>
          <w:sz w:val="24"/>
          <w:szCs w:val="24"/>
        </w:rPr>
        <w:t>practitioner</w:t>
      </w:r>
      <w:r w:rsidRPr="007C0CD5">
        <w:rPr>
          <w:rFonts w:ascii="Arial" w:hAnsi="Arial" w:cs="Arial"/>
          <w:color w:val="0D0D0D" w:themeColor="text1" w:themeTint="F2"/>
          <w:sz w:val="24"/>
          <w:szCs w:val="24"/>
        </w:rPr>
        <w:t xml:space="preserve"> for effective inclusive practise, Nutbrown and Clough (2011), Scanlan and Johnson (2015), and Foundation Years (2015) state that they must learn every detail about every child. Early Years professionals should develop positive relationships with their pupils and their family, according to Foundation Years (2015) and Nutbrown and Clough (2011), in order to understand more about each child.</w:t>
      </w:r>
    </w:p>
    <w:p w14:paraId="31C8C567" w14:textId="26435661" w:rsidR="00720D5D" w:rsidRPr="007C0CD5" w:rsidRDefault="0051379C"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Brown (2019) highlights that the ability to act in circumstances and create adjustments to promote the health of children and families in the community is a prerequisite for inclusive leadership. Whilst remaining </w:t>
      </w:r>
      <w:r w:rsidR="005612F7" w:rsidRPr="007C0CD5">
        <w:rPr>
          <w:rFonts w:ascii="Arial" w:hAnsi="Arial" w:cs="Arial"/>
          <w:color w:val="0D0D0D" w:themeColor="text1" w:themeTint="F2"/>
          <w:sz w:val="24"/>
          <w:szCs w:val="24"/>
        </w:rPr>
        <w:t>empathetic</w:t>
      </w:r>
      <w:r w:rsidRPr="007C0CD5">
        <w:rPr>
          <w:rFonts w:ascii="Arial" w:hAnsi="Arial" w:cs="Arial"/>
          <w:color w:val="0D0D0D" w:themeColor="text1" w:themeTint="F2"/>
          <w:sz w:val="24"/>
          <w:szCs w:val="24"/>
        </w:rPr>
        <w:t xml:space="preserve"> and open minded considering how said </w:t>
      </w:r>
      <w:r w:rsidR="005612F7" w:rsidRPr="007C0CD5">
        <w:rPr>
          <w:rFonts w:ascii="Arial" w:hAnsi="Arial" w:cs="Arial"/>
          <w:color w:val="0D0D0D" w:themeColor="text1" w:themeTint="F2"/>
          <w:sz w:val="24"/>
          <w:szCs w:val="24"/>
        </w:rPr>
        <w:t>improvements</w:t>
      </w:r>
      <w:r w:rsidRPr="007C0CD5">
        <w:rPr>
          <w:rFonts w:ascii="Arial" w:hAnsi="Arial" w:cs="Arial"/>
          <w:color w:val="0D0D0D" w:themeColor="text1" w:themeTint="F2"/>
          <w:sz w:val="24"/>
          <w:szCs w:val="24"/>
        </w:rPr>
        <w:t xml:space="preserve"> made will </w:t>
      </w:r>
      <w:r w:rsidR="005612F7" w:rsidRPr="007C0CD5">
        <w:rPr>
          <w:rFonts w:ascii="Arial" w:hAnsi="Arial" w:cs="Arial"/>
          <w:color w:val="0D0D0D" w:themeColor="text1" w:themeTint="F2"/>
          <w:sz w:val="24"/>
          <w:szCs w:val="24"/>
        </w:rPr>
        <w:t>affect</w:t>
      </w:r>
      <w:r w:rsidRPr="007C0CD5">
        <w:rPr>
          <w:rFonts w:ascii="Arial" w:hAnsi="Arial" w:cs="Arial"/>
          <w:color w:val="0D0D0D" w:themeColor="text1" w:themeTint="F2"/>
          <w:sz w:val="24"/>
          <w:szCs w:val="24"/>
        </w:rPr>
        <w:t xml:space="preserve"> all involved both long term and short term . A leader may be inclusive by paying attention to children and their families (Children's Commissioner for Wales, 2017). The UNCRC (No date), which asserts that children have a right to voice their ideas and that they should be heard and listened to, as well as having their unique needs fulfilled, supports this.</w:t>
      </w:r>
    </w:p>
    <w:p w14:paraId="444DDE08" w14:textId="3BC0DB8A" w:rsidR="00E40BE1" w:rsidRPr="007C0CD5" w:rsidRDefault="00E40BE1"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According to Alemann, Garg, and Vlahovicova (2020), traditionally, mothers have been delegated the responsibility of being the primary nurturer and carer of children. </w:t>
      </w:r>
      <w:r w:rsidR="00BE7863" w:rsidRPr="007C0CD5">
        <w:rPr>
          <w:rFonts w:ascii="Arial" w:hAnsi="Arial" w:cs="Arial"/>
          <w:color w:val="0D0D0D" w:themeColor="text1" w:themeTint="F2"/>
          <w:sz w:val="24"/>
          <w:szCs w:val="24"/>
          <w:shd w:val="clear" w:color="auto" w:fill="FFFFFF"/>
        </w:rPr>
        <w:t>Volling, and Cabrera (2019)</w:t>
      </w:r>
      <w:r w:rsidR="00781B36" w:rsidRPr="007C0CD5">
        <w:rPr>
          <w:rFonts w:ascii="Arial" w:hAnsi="Arial" w:cs="Arial"/>
          <w:color w:val="0D0D0D" w:themeColor="text1" w:themeTint="F2"/>
          <w:sz w:val="24"/>
          <w:szCs w:val="24"/>
          <w:shd w:val="clear" w:color="auto" w:fill="FFFFFF"/>
        </w:rPr>
        <w:t xml:space="preserve"> </w:t>
      </w:r>
      <w:r w:rsidRPr="007C0CD5">
        <w:rPr>
          <w:rFonts w:ascii="Arial" w:hAnsi="Arial" w:cs="Arial"/>
          <w:color w:val="0D0D0D" w:themeColor="text1" w:themeTint="F2"/>
          <w:sz w:val="24"/>
          <w:szCs w:val="24"/>
        </w:rPr>
        <w:t>concur, stating that while conventional models of developmental effects have been centred on mothers, they are now out of date and do not accurately reflect the lives of the majority of children in the modern world.</w:t>
      </w:r>
    </w:p>
    <w:p w14:paraId="7BB371DD" w14:textId="68E96B32" w:rsidR="00B8166A" w:rsidRPr="007C0CD5" w:rsidRDefault="00B8166A"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Father engagement has a substantial influence on children's development, with enhanced cognitive, social, and self-esteem, as well as academic achievements. In accordance to research by Cabrera (2020) , children in family systems with non-engaged dads have poorer results. Difficulties in co-parenting, work demands, and feeling uncomfortable are all barriers to father participation. </w:t>
      </w:r>
    </w:p>
    <w:p w14:paraId="1E2F668B" w14:textId="77777777" w:rsidR="00781B36" w:rsidRPr="007C0CD5" w:rsidRDefault="009C37A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Juby, Le Bourdais, &amp; Marcil-Gratton (2005)  identify that the desire to co-parent after a separation or divorce has forced legislative changes regarding custody arrangements Involvement in their children's daily lives has increased generally in recent years and the number of working mothers who share parenting responsibilities with the father has also increase (Westphal, Poortman, &amp; Van der Lippe,2014; Hook, 2006). </w:t>
      </w:r>
      <w:r w:rsidR="00E2152B" w:rsidRPr="007C0CD5">
        <w:rPr>
          <w:rFonts w:ascii="Arial" w:hAnsi="Arial" w:cs="Arial"/>
          <w:color w:val="0D0D0D" w:themeColor="text1" w:themeTint="F2"/>
          <w:sz w:val="24"/>
          <w:szCs w:val="24"/>
        </w:rPr>
        <w:t xml:space="preserve">Furthermore, organisations that support fathers' rights have been advocating for more fair child-rearing responsibilities in the wake of parental separation or divorce (Spruijt &amp; Duindam, 2009). </w:t>
      </w:r>
    </w:p>
    <w:p w14:paraId="0668A07B" w14:textId="558B94CF" w:rsidR="001D7316" w:rsidRPr="007C0CD5" w:rsidRDefault="00E2152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Many fathers wish they could be more involved in their children's lives on a daily basis, even though they are spending more time with them they are still feeling they are </w:t>
      </w:r>
      <w:r w:rsidR="008D1909" w:rsidRPr="007C0CD5">
        <w:rPr>
          <w:rFonts w:ascii="Arial" w:hAnsi="Arial" w:cs="Arial"/>
          <w:color w:val="0D0D0D" w:themeColor="text1" w:themeTint="F2"/>
          <w:sz w:val="24"/>
          <w:szCs w:val="24"/>
        </w:rPr>
        <w:t>missing</w:t>
      </w:r>
      <w:r w:rsidRPr="007C0CD5">
        <w:rPr>
          <w:rFonts w:ascii="Arial" w:hAnsi="Arial" w:cs="Arial"/>
          <w:color w:val="0D0D0D" w:themeColor="text1" w:themeTint="F2"/>
          <w:sz w:val="24"/>
          <w:szCs w:val="24"/>
        </w:rPr>
        <w:t xml:space="preserve"> key parts of their </w:t>
      </w:r>
      <w:r w:rsidR="00781B36" w:rsidRPr="007C0CD5">
        <w:rPr>
          <w:rFonts w:ascii="Arial" w:hAnsi="Arial" w:cs="Arial"/>
          <w:color w:val="0D0D0D" w:themeColor="text1" w:themeTint="F2"/>
          <w:sz w:val="24"/>
          <w:szCs w:val="24"/>
        </w:rPr>
        <w:t>childs</w:t>
      </w:r>
      <w:r w:rsidRPr="007C0CD5">
        <w:rPr>
          <w:rFonts w:ascii="Arial" w:hAnsi="Arial" w:cs="Arial"/>
          <w:color w:val="0D0D0D" w:themeColor="text1" w:themeTint="F2"/>
          <w:sz w:val="24"/>
          <w:szCs w:val="24"/>
        </w:rPr>
        <w:t xml:space="preserve"> life and crucial milestones. Martell (2015) claims that while many men are now parenting on par with women, they still feel outnumbered by females whilst </w:t>
      </w:r>
      <w:r w:rsidR="008D1909" w:rsidRPr="007C0CD5">
        <w:rPr>
          <w:rFonts w:ascii="Arial" w:hAnsi="Arial" w:cs="Arial"/>
          <w:color w:val="0D0D0D" w:themeColor="text1" w:themeTint="F2"/>
          <w:sz w:val="24"/>
          <w:szCs w:val="24"/>
        </w:rPr>
        <w:t>attending</w:t>
      </w:r>
      <w:r w:rsidRPr="007C0CD5">
        <w:rPr>
          <w:rFonts w:ascii="Arial" w:hAnsi="Arial" w:cs="Arial"/>
          <w:color w:val="0D0D0D" w:themeColor="text1" w:themeTint="F2"/>
          <w:sz w:val="24"/>
          <w:szCs w:val="24"/>
        </w:rPr>
        <w:t xml:space="preserve"> groups and other </w:t>
      </w:r>
      <w:r w:rsidR="008D1909" w:rsidRPr="007C0CD5">
        <w:rPr>
          <w:rFonts w:ascii="Arial" w:hAnsi="Arial" w:cs="Arial"/>
          <w:color w:val="0D0D0D" w:themeColor="text1" w:themeTint="F2"/>
          <w:sz w:val="24"/>
          <w:szCs w:val="24"/>
        </w:rPr>
        <w:t>child-based</w:t>
      </w:r>
      <w:r w:rsidRPr="007C0CD5">
        <w:rPr>
          <w:rFonts w:ascii="Arial" w:hAnsi="Arial" w:cs="Arial"/>
          <w:color w:val="0D0D0D" w:themeColor="text1" w:themeTint="F2"/>
          <w:sz w:val="24"/>
          <w:szCs w:val="24"/>
        </w:rPr>
        <w:t xml:space="preserve"> events.</w:t>
      </w:r>
      <w:r w:rsidR="00781B36"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lastRenderedPageBreak/>
        <w:t>Emphasising that women are still most often the primary carers even in today society.</w:t>
      </w:r>
    </w:p>
    <w:p w14:paraId="13CF2142" w14:textId="4ED0579D" w:rsidR="00E2152B" w:rsidRPr="007C0CD5" w:rsidRDefault="00E2152B"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Additionally, because of the highlighted aspect even in today society there is a lack of males who do attend such groups. Resulting in most groups being prominently female based as dad feel like they were to stand out if they did attend. As a result, to overcome such barriers that are faced practitioners could offer father groups to encourage attendance and involvement. The World Health Organisation (2018) supports this notion by stating that bettering child development improves both macro and micro levels, including from that of the understanding of the governments and how it effects young </w:t>
      </w:r>
      <w:r w:rsidR="008D1909" w:rsidRPr="007C0CD5">
        <w:rPr>
          <w:rFonts w:ascii="Arial" w:hAnsi="Arial" w:cs="Arial"/>
          <w:color w:val="0D0D0D" w:themeColor="text1" w:themeTint="F2"/>
          <w:sz w:val="24"/>
          <w:szCs w:val="24"/>
        </w:rPr>
        <w:t>children. Alemann</w:t>
      </w:r>
      <w:r w:rsidRPr="007C0CD5">
        <w:rPr>
          <w:rFonts w:ascii="Arial" w:hAnsi="Arial" w:cs="Arial"/>
          <w:color w:val="0D0D0D" w:themeColor="text1" w:themeTint="F2"/>
          <w:sz w:val="24"/>
          <w:szCs w:val="24"/>
        </w:rPr>
        <w:t xml:space="preserve">, Garg, and Vlahovicova (2020) support parenting programmes and policies that engage with families to promote equality between mother and father in order to increase the involvement and positive aspects of father participation. </w:t>
      </w:r>
    </w:p>
    <w:p w14:paraId="498045D9" w14:textId="0D305F92" w:rsidR="00415624" w:rsidRPr="007C0CD5" w:rsidRDefault="0041562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According to Hayes (2020), being a parent can be difficult and result in feelings of loneliness if they are unable to seek support, communicate with others, and form friendships. According to Dad's Groups (2021), 93% of men who join parenting groups such as Dad's Group report increased social ties and friendships.</w:t>
      </w:r>
    </w:p>
    <w:p w14:paraId="59D3B319" w14:textId="5CDBE3B9" w:rsidR="00415624" w:rsidRPr="007C0CD5" w:rsidRDefault="00415624" w:rsidP="007C0CD5">
      <w:pPr>
        <w:spacing w:line="360" w:lineRule="auto"/>
        <w:rPr>
          <w:rFonts w:ascii="Arial" w:hAnsi="Arial" w:cs="Arial"/>
          <w:color w:val="0D0D0D" w:themeColor="text1" w:themeTint="F2"/>
          <w:sz w:val="24"/>
          <w:szCs w:val="24"/>
        </w:rPr>
      </w:pPr>
      <w:r w:rsidRPr="007C0CD5">
        <w:rPr>
          <w:rFonts w:ascii="Arial" w:hAnsi="Arial" w:cs="Arial"/>
          <w:color w:val="0D0D0D" w:themeColor="text1" w:themeTint="F2"/>
          <w:sz w:val="24"/>
          <w:szCs w:val="24"/>
        </w:rPr>
        <w:t>To summarise, encouraging inclusive leadership is a crucial part of fostering an inclusive environment. Talking with families to obtain insight into their circumstances can help to build inclusive leadership. Inclusive leadership is essential for improving children's emotional well-being and achieving the greatest potential outcomes for the children in the setting.</w:t>
      </w:r>
    </w:p>
    <w:p w14:paraId="7C356EA2"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07D4B04A"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7586DA27"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37E81AEB"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43F2A6A0"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4869A1B8"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6F6B4794" w14:textId="77777777" w:rsidR="007C0CD5" w:rsidRPr="007C0CD5" w:rsidRDefault="007C0CD5" w:rsidP="007C0CD5">
      <w:pPr>
        <w:spacing w:line="360" w:lineRule="auto"/>
        <w:rPr>
          <w:rFonts w:ascii="Arial" w:hAnsi="Arial" w:cs="Arial"/>
          <w:color w:val="0D0D0D" w:themeColor="text1" w:themeTint="F2"/>
          <w:sz w:val="24"/>
          <w:szCs w:val="24"/>
          <w:u w:val="single"/>
        </w:rPr>
      </w:pPr>
    </w:p>
    <w:p w14:paraId="17FD2F61" w14:textId="01A5F0F4" w:rsidR="007C0CD5" w:rsidRPr="007C0CD5" w:rsidRDefault="007C0CD5" w:rsidP="007C0CD5">
      <w:pPr>
        <w:spacing w:line="360" w:lineRule="auto"/>
        <w:rPr>
          <w:rFonts w:ascii="Arial" w:hAnsi="Arial" w:cs="Arial"/>
          <w:color w:val="0D0D0D" w:themeColor="text1" w:themeTint="F2"/>
          <w:sz w:val="24"/>
          <w:szCs w:val="24"/>
          <w:u w:val="single"/>
        </w:rPr>
      </w:pPr>
      <w:r w:rsidRPr="007C0CD5">
        <w:rPr>
          <w:rFonts w:ascii="Arial" w:hAnsi="Arial" w:cs="Arial"/>
          <w:color w:val="0D0D0D" w:themeColor="text1" w:themeTint="F2"/>
          <w:sz w:val="24"/>
          <w:szCs w:val="24"/>
          <w:u w:val="single"/>
        </w:rPr>
        <w:lastRenderedPageBreak/>
        <w:t>References</w:t>
      </w:r>
    </w:p>
    <w:p w14:paraId="577E20E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Adams, D., Harris, A. and Jones, M.S. (2018) ‘Teacher-parent collaboration for an inclusive classroom: Success for every child’, </w:t>
      </w:r>
      <w:r w:rsidRPr="007C0CD5">
        <w:rPr>
          <w:rFonts w:ascii="Arial" w:hAnsi="Arial" w:cs="Arial"/>
          <w:i/>
          <w:iCs/>
          <w:color w:val="0D0D0D" w:themeColor="text1" w:themeTint="F2"/>
          <w:sz w:val="24"/>
          <w:szCs w:val="24"/>
          <w:shd w:val="clear" w:color="auto" w:fill="FFFFFF"/>
        </w:rPr>
        <w:t>MOJES: Malaysian Online Journal of Educational Sciences</w:t>
      </w:r>
      <w:r w:rsidRPr="007C0CD5">
        <w:rPr>
          <w:rFonts w:ascii="Arial" w:hAnsi="Arial" w:cs="Arial"/>
          <w:color w:val="0D0D0D" w:themeColor="text1" w:themeTint="F2"/>
          <w:sz w:val="24"/>
          <w:szCs w:val="24"/>
          <w:shd w:val="clear" w:color="auto" w:fill="FFFFFF"/>
        </w:rPr>
        <w:t>, 4(3), pp. 58-72.</w:t>
      </w:r>
    </w:p>
    <w:p w14:paraId="1CC0E4F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Alemann, C., Garg, A. and Vlahovicova, K. (2020) </w:t>
      </w:r>
      <w:r w:rsidRPr="007C0CD5">
        <w:rPr>
          <w:rFonts w:ascii="Arial" w:hAnsi="Arial" w:cs="Arial"/>
          <w:i/>
          <w:iCs/>
          <w:color w:val="0D0D0D" w:themeColor="text1" w:themeTint="F2"/>
          <w:sz w:val="24"/>
          <w:szCs w:val="24"/>
        </w:rPr>
        <w:t>The role of fathers in parenting for gender equality</w:t>
      </w:r>
      <w:r w:rsidRPr="007C0CD5">
        <w:rPr>
          <w:rFonts w:ascii="Arial" w:hAnsi="Arial" w:cs="Arial"/>
          <w:color w:val="0D0D0D" w:themeColor="text1" w:themeTint="F2"/>
          <w:sz w:val="24"/>
          <w:szCs w:val="24"/>
        </w:rPr>
        <w:t xml:space="preserve">. Available at: </w:t>
      </w:r>
      <w:hyperlink r:id="rId7" w:history="1">
        <w:r w:rsidRPr="007C0CD5">
          <w:rPr>
            <w:rFonts w:ascii="Arial" w:hAnsi="Arial" w:cs="Arial"/>
            <w:color w:val="0D0D0D" w:themeColor="text1" w:themeTint="F2"/>
            <w:sz w:val="24"/>
            <w:szCs w:val="24"/>
          </w:rPr>
          <w:t>https://promundoglobal.org/wp-content/uploads/2020/08/Parenting-Education_-the-role-of-fathers_-paper-060520-2-col.pdf</w:t>
        </w:r>
      </w:hyperlink>
      <w:r w:rsidRPr="007C0CD5">
        <w:rPr>
          <w:rFonts w:ascii="Arial" w:hAnsi="Arial" w:cs="Arial"/>
          <w:color w:val="0D0D0D" w:themeColor="text1" w:themeTint="F2"/>
          <w:sz w:val="24"/>
          <w:szCs w:val="24"/>
        </w:rPr>
        <w:t xml:space="preserve"> (Accessed: 17th June 2023).</w:t>
      </w:r>
    </w:p>
    <w:p w14:paraId="2F1C56D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Amadei, L. (2016). Why policies and procedures matter. </w:t>
      </w:r>
      <w:r w:rsidRPr="007C0CD5">
        <w:rPr>
          <w:rFonts w:ascii="Arial" w:hAnsi="Arial" w:cs="Arial"/>
          <w:i/>
          <w:iCs/>
          <w:color w:val="0D0D0D" w:themeColor="text1" w:themeTint="F2"/>
          <w:sz w:val="24"/>
          <w:szCs w:val="24"/>
          <w:shd w:val="clear" w:color="auto" w:fill="FFFFFF"/>
        </w:rPr>
        <w:t>Risk Management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63</w:t>
      </w:r>
      <w:r w:rsidRPr="007C0CD5">
        <w:rPr>
          <w:rFonts w:ascii="Arial" w:hAnsi="Arial" w:cs="Arial"/>
          <w:color w:val="0D0D0D" w:themeColor="text1" w:themeTint="F2"/>
          <w:sz w:val="24"/>
          <w:szCs w:val="24"/>
          <w:shd w:val="clear" w:color="auto" w:fill="FFFFFF"/>
        </w:rPr>
        <w:t>(9), 12.</w:t>
      </w:r>
    </w:p>
    <w:p w14:paraId="6D3BFC52"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Archard, D. (2014) </w:t>
      </w:r>
      <w:r w:rsidRPr="007C0CD5">
        <w:rPr>
          <w:rFonts w:ascii="Arial" w:hAnsi="Arial" w:cs="Arial"/>
          <w:i/>
          <w:iCs/>
          <w:color w:val="0D0D0D" w:themeColor="text1" w:themeTint="F2"/>
          <w:sz w:val="24"/>
          <w:szCs w:val="24"/>
          <w:shd w:val="clear" w:color="auto" w:fill="FFFFFF"/>
        </w:rPr>
        <w:t>Children: Rights and childhood</w:t>
      </w:r>
      <w:r w:rsidRPr="007C0CD5">
        <w:rPr>
          <w:rFonts w:ascii="Arial" w:hAnsi="Arial" w:cs="Arial"/>
          <w:color w:val="0D0D0D" w:themeColor="text1" w:themeTint="F2"/>
          <w:sz w:val="24"/>
          <w:szCs w:val="24"/>
          <w:shd w:val="clear" w:color="auto" w:fill="FFFFFF"/>
        </w:rPr>
        <w:t>. London: Routledge.</w:t>
      </w:r>
    </w:p>
    <w:p w14:paraId="314BD8E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Archard, D. and Uniacke, S. (2020) ‘The Child’s Right to a Voice’, </w:t>
      </w:r>
      <w:r w:rsidRPr="007C0CD5">
        <w:rPr>
          <w:rFonts w:ascii="Arial" w:hAnsi="Arial" w:cs="Arial"/>
          <w:i/>
          <w:iCs/>
          <w:color w:val="0D0D0D" w:themeColor="text1" w:themeTint="F2"/>
          <w:sz w:val="24"/>
          <w:szCs w:val="24"/>
          <w:shd w:val="clear" w:color="auto" w:fill="FFFFFF"/>
        </w:rPr>
        <w:t>Res Publica</w:t>
      </w:r>
      <w:r w:rsidRPr="007C0CD5">
        <w:rPr>
          <w:rFonts w:ascii="Arial" w:hAnsi="Arial" w:cs="Arial"/>
          <w:color w:val="0D0D0D" w:themeColor="text1" w:themeTint="F2"/>
          <w:sz w:val="24"/>
          <w:szCs w:val="24"/>
          <w:shd w:val="clear" w:color="auto" w:fill="FFFFFF"/>
        </w:rPr>
        <w:t>, pp.1-16.</w:t>
      </w:r>
    </w:p>
    <w:p w14:paraId="45CD5E0D"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hAnsi="Arial" w:cs="Arial"/>
          <w:color w:val="0D0D0D" w:themeColor="text1" w:themeTint="F2"/>
          <w:sz w:val="24"/>
          <w:szCs w:val="24"/>
          <w:shd w:val="clear" w:color="auto" w:fill="FFFFFF"/>
        </w:rPr>
        <w:t>Auty, N., Harris, R. and Holes, C., (1992) ’Arranging a Meeting’. </w:t>
      </w:r>
      <w:r w:rsidRPr="007C0CD5">
        <w:rPr>
          <w:rFonts w:ascii="Arial" w:hAnsi="Arial" w:cs="Arial"/>
          <w:i/>
          <w:iCs/>
          <w:color w:val="0D0D0D" w:themeColor="text1" w:themeTint="F2"/>
          <w:sz w:val="24"/>
          <w:szCs w:val="24"/>
          <w:shd w:val="clear" w:color="auto" w:fill="FFFFFF"/>
        </w:rPr>
        <w:t>Arabic</w:t>
      </w:r>
      <w:r w:rsidRPr="007C0CD5">
        <w:rPr>
          <w:rFonts w:ascii="Arial" w:hAnsi="Arial" w:cs="Arial"/>
          <w:color w:val="0D0D0D" w:themeColor="text1" w:themeTint="F2"/>
          <w:sz w:val="24"/>
          <w:szCs w:val="24"/>
          <w:shd w:val="clear" w:color="auto" w:fill="FFFFFF"/>
        </w:rPr>
        <w:t>, pp.161-174.</w:t>
      </w:r>
    </w:p>
    <w:p w14:paraId="729DF8C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Beglaubter, J., 2021. “I Feel Like It’sa Little Bit of a Badge of Honor”: Fathers’ Leave-Taking and the Development of Caring Masculinities. </w:t>
      </w:r>
      <w:r w:rsidRPr="007C0CD5">
        <w:rPr>
          <w:rFonts w:ascii="Arial" w:hAnsi="Arial" w:cs="Arial"/>
          <w:i/>
          <w:iCs/>
          <w:color w:val="0D0D0D" w:themeColor="text1" w:themeTint="F2"/>
          <w:sz w:val="24"/>
          <w:szCs w:val="24"/>
          <w:shd w:val="clear" w:color="auto" w:fill="FFFFFF"/>
        </w:rPr>
        <w:t>Men and Masculinities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24</w:t>
      </w:r>
      <w:r w:rsidRPr="007C0CD5">
        <w:rPr>
          <w:rFonts w:ascii="Arial" w:hAnsi="Arial" w:cs="Arial"/>
          <w:color w:val="0D0D0D" w:themeColor="text1" w:themeTint="F2"/>
          <w:sz w:val="24"/>
          <w:szCs w:val="24"/>
          <w:shd w:val="clear" w:color="auto" w:fill="FFFFFF"/>
        </w:rPr>
        <w:t>(1), pp.3-22.</w:t>
      </w:r>
    </w:p>
    <w:p w14:paraId="315DE54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Berger, L.M. and Langton, C.E. (2011) ‘Young disadvantaged men as fathers’, </w:t>
      </w:r>
      <w:r w:rsidRPr="007C0CD5">
        <w:rPr>
          <w:rFonts w:ascii="Arial" w:hAnsi="Arial" w:cs="Arial"/>
          <w:i/>
          <w:iCs/>
          <w:color w:val="0D0D0D" w:themeColor="text1" w:themeTint="F2"/>
          <w:sz w:val="24"/>
          <w:szCs w:val="24"/>
        </w:rPr>
        <w:t>The ANNALS of the American Academy of Political and Social Science</w:t>
      </w:r>
      <w:r w:rsidRPr="007C0CD5">
        <w:rPr>
          <w:rFonts w:ascii="Arial" w:hAnsi="Arial" w:cs="Arial"/>
          <w:color w:val="0D0D0D" w:themeColor="text1" w:themeTint="F2"/>
          <w:sz w:val="24"/>
          <w:szCs w:val="24"/>
        </w:rPr>
        <w:t xml:space="preserve"> 635(1), pp.56-75. DOI: </w:t>
      </w:r>
      <w:hyperlink r:id="rId8" w:history="1">
        <w:r w:rsidRPr="007C0CD5">
          <w:rPr>
            <w:rStyle w:val="Hyperlink"/>
            <w:rFonts w:ascii="Arial" w:hAnsi="Arial" w:cs="Arial"/>
            <w:color w:val="0D0D0D" w:themeColor="text1" w:themeTint="F2"/>
            <w:sz w:val="24"/>
            <w:szCs w:val="24"/>
            <w:u w:val="none"/>
          </w:rPr>
          <w:t>http://dx.doi.org/10.1177/0002716210393648</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7A30A4E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Bešić, E. (2020) ‘Intersectionality: a pathway towards inclusive education?’, </w:t>
      </w:r>
      <w:r w:rsidRPr="007C0CD5">
        <w:rPr>
          <w:rFonts w:ascii="Arial" w:hAnsi="Arial" w:cs="Arial"/>
          <w:i/>
          <w:iCs/>
          <w:color w:val="0D0D0D" w:themeColor="text1" w:themeTint="F2"/>
          <w:sz w:val="24"/>
          <w:szCs w:val="24"/>
          <w:shd w:val="clear" w:color="auto" w:fill="FFFFFF"/>
        </w:rPr>
        <w:t>Prospects,</w:t>
      </w:r>
      <w:r w:rsidRPr="007C0CD5">
        <w:rPr>
          <w:rFonts w:ascii="Arial" w:hAnsi="Arial" w:cs="Arial"/>
          <w:color w:val="0D0D0D" w:themeColor="text1" w:themeTint="F2"/>
          <w:sz w:val="24"/>
          <w:szCs w:val="24"/>
          <w:shd w:val="clear" w:color="auto" w:fill="FFFFFF"/>
        </w:rPr>
        <w:t xml:space="preserve"> 49, pp. 111-122</w:t>
      </w:r>
    </w:p>
    <w:p w14:paraId="3734591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Blades, D. (2019). Science education in British Columbia: A new curriculum for the 21st century. </w:t>
      </w:r>
      <w:r w:rsidRPr="007C0CD5">
        <w:rPr>
          <w:rFonts w:ascii="Arial" w:hAnsi="Arial" w:cs="Arial"/>
          <w:i/>
          <w:iCs/>
          <w:color w:val="0D0D0D" w:themeColor="text1" w:themeTint="F2"/>
          <w:sz w:val="24"/>
          <w:szCs w:val="24"/>
          <w:shd w:val="clear" w:color="auto" w:fill="FFFFFF"/>
        </w:rPr>
        <w:t>Science education in Canada: Consistencies, commonalities, and distinctions</w:t>
      </w:r>
      <w:r w:rsidRPr="007C0CD5">
        <w:rPr>
          <w:rFonts w:ascii="Arial" w:hAnsi="Arial" w:cs="Arial"/>
          <w:color w:val="0D0D0D" w:themeColor="text1" w:themeTint="F2"/>
          <w:sz w:val="24"/>
          <w:szCs w:val="24"/>
          <w:shd w:val="clear" w:color="auto" w:fill="FFFFFF"/>
        </w:rPr>
        <w:t>, 13-36.</w:t>
      </w:r>
    </w:p>
    <w:p w14:paraId="6E4B83C6"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Block, P. (2018) </w:t>
      </w:r>
      <w:r w:rsidRPr="007C0CD5">
        <w:rPr>
          <w:rFonts w:ascii="Arial" w:hAnsi="Arial" w:cs="Arial"/>
          <w:i/>
          <w:iCs/>
          <w:color w:val="0D0D0D" w:themeColor="text1" w:themeTint="F2"/>
          <w:sz w:val="24"/>
          <w:szCs w:val="24"/>
          <w:shd w:val="clear" w:color="auto" w:fill="FFFFFF"/>
        </w:rPr>
        <w:t>Community: The structure of belonging</w:t>
      </w:r>
      <w:r w:rsidRPr="007C0CD5">
        <w:rPr>
          <w:rFonts w:ascii="Arial" w:hAnsi="Arial" w:cs="Arial"/>
          <w:color w:val="0D0D0D" w:themeColor="text1" w:themeTint="F2"/>
          <w:sz w:val="24"/>
          <w:szCs w:val="24"/>
          <w:shd w:val="clear" w:color="auto" w:fill="FFFFFF"/>
        </w:rPr>
        <w:t>. Oakland: Berrett-Koehler Publishers.</w:t>
      </w:r>
    </w:p>
    <w:p w14:paraId="620B45C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Boland, L., Graham, I.D., Légaré, F., Lewis, K., Jull, J., Shephard, A., Lawson, M.L., Davis, A., Yameogo, A. and Stacey, D., (2019) ‘Barriers and facilitators of pediatric shared decision-making: a systematic review’. </w:t>
      </w:r>
      <w:r w:rsidRPr="007C0CD5">
        <w:rPr>
          <w:rFonts w:ascii="Arial" w:hAnsi="Arial" w:cs="Arial"/>
          <w:i/>
          <w:iCs/>
          <w:color w:val="0D0D0D" w:themeColor="text1" w:themeTint="F2"/>
          <w:sz w:val="24"/>
          <w:szCs w:val="24"/>
          <w:shd w:val="clear" w:color="auto" w:fill="FFFFFF"/>
        </w:rPr>
        <w:t>Implementation Science</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14</w:t>
      </w:r>
      <w:r w:rsidRPr="007C0CD5">
        <w:rPr>
          <w:rFonts w:ascii="Arial" w:hAnsi="Arial" w:cs="Arial"/>
          <w:color w:val="0D0D0D" w:themeColor="text1" w:themeTint="F2"/>
          <w:sz w:val="24"/>
          <w:szCs w:val="24"/>
          <w:shd w:val="clear" w:color="auto" w:fill="FFFFFF"/>
        </w:rPr>
        <w:t>, pp.1-25.</w:t>
      </w:r>
    </w:p>
    <w:p w14:paraId="657FDCA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Booysen, L. (2014) ‘The development of inclusive leadership practice and processes’, </w:t>
      </w:r>
      <w:r w:rsidRPr="007C0CD5">
        <w:rPr>
          <w:rFonts w:ascii="Arial" w:hAnsi="Arial" w:cs="Arial"/>
          <w:i/>
          <w:iCs/>
          <w:color w:val="0D0D0D" w:themeColor="text1" w:themeTint="F2"/>
          <w:sz w:val="24"/>
          <w:szCs w:val="24"/>
        </w:rPr>
        <w:t>Diversity at work: The practice of inclusion</w:t>
      </w:r>
      <w:r w:rsidRPr="007C0CD5">
        <w:rPr>
          <w:rFonts w:ascii="Arial" w:hAnsi="Arial" w:cs="Arial"/>
          <w:color w:val="0D0D0D" w:themeColor="text1" w:themeTint="F2"/>
          <w:sz w:val="24"/>
          <w:szCs w:val="24"/>
        </w:rPr>
        <w:t xml:space="preserve">, pp.296-329. DOI: </w:t>
      </w:r>
      <w:hyperlink r:id="rId9" w:history="1">
        <w:r w:rsidRPr="007C0CD5">
          <w:rPr>
            <w:rStyle w:val="Hyperlink"/>
            <w:rFonts w:ascii="Arial" w:hAnsi="Arial" w:cs="Arial"/>
            <w:color w:val="0D0D0D" w:themeColor="text1" w:themeTint="F2"/>
            <w:sz w:val="24"/>
            <w:szCs w:val="24"/>
            <w:u w:val="none"/>
          </w:rPr>
          <w:t>https://psycnet.apa.org/doi/10.1002/9781118764282.ch10</w:t>
        </w:r>
      </w:hyperlink>
      <w:r w:rsidRPr="007C0CD5">
        <w:rPr>
          <w:rFonts w:ascii="Arial" w:hAnsi="Arial" w:cs="Arial"/>
          <w:color w:val="0D0D0D" w:themeColor="text1" w:themeTint="F2"/>
          <w:sz w:val="24"/>
          <w:szCs w:val="24"/>
        </w:rPr>
        <w:t xml:space="preserve"> (Accessed: 12th June 2023). </w:t>
      </w:r>
    </w:p>
    <w:p w14:paraId="7540967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Bortini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(2016) </w:t>
      </w:r>
      <w:r w:rsidRPr="007C0CD5">
        <w:rPr>
          <w:rFonts w:ascii="Arial" w:hAnsi="Arial" w:cs="Arial"/>
          <w:i/>
          <w:iCs/>
          <w:color w:val="0D0D0D" w:themeColor="text1" w:themeTint="F2"/>
          <w:sz w:val="24"/>
          <w:szCs w:val="24"/>
        </w:rPr>
        <w:t>Inclusive Leadership Theoretical Framework</w:t>
      </w:r>
      <w:r w:rsidRPr="007C0CD5">
        <w:rPr>
          <w:rFonts w:ascii="Arial" w:hAnsi="Arial" w:cs="Arial"/>
          <w:color w:val="0D0D0D" w:themeColor="text1" w:themeTint="F2"/>
          <w:sz w:val="24"/>
          <w:szCs w:val="24"/>
        </w:rPr>
        <w:t xml:space="preserve">. Available at: </w:t>
      </w:r>
      <w:hyperlink r:id="rId10" w:history="1">
        <w:r w:rsidRPr="007C0CD5">
          <w:rPr>
            <w:rStyle w:val="Hyperlink"/>
            <w:rFonts w:ascii="Arial" w:hAnsi="Arial" w:cs="Arial"/>
            <w:color w:val="0D0D0D" w:themeColor="text1" w:themeTint="F2"/>
            <w:sz w:val="24"/>
            <w:szCs w:val="24"/>
            <w:u w:val="none"/>
          </w:rPr>
          <w:t>https://inclusiveleadership.eu/il_theoreticalframework_en.pdf</w:t>
        </w:r>
      </w:hyperlink>
      <w:r w:rsidRPr="007C0CD5">
        <w:rPr>
          <w:rFonts w:ascii="Arial" w:hAnsi="Arial" w:cs="Arial"/>
          <w:color w:val="0D0D0D" w:themeColor="text1" w:themeTint="F2"/>
          <w:sz w:val="24"/>
          <w:szCs w:val="24"/>
        </w:rPr>
        <w:t xml:space="preserve"> (Accessed:1st June 2023). </w:t>
      </w:r>
    </w:p>
    <w:p w14:paraId="49D9E624"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Bowers, K., Robertson, M. and Parchman, M. (2012) ‘How inclusive leadership can help your practice adapt to change: The most effective leaders realize that everyone’s input is valuable’, </w:t>
      </w:r>
      <w:r w:rsidRPr="007C0CD5">
        <w:rPr>
          <w:rFonts w:ascii="Arial" w:hAnsi="Arial" w:cs="Arial"/>
          <w:i/>
          <w:iCs/>
          <w:color w:val="0D0D0D" w:themeColor="text1" w:themeTint="F2"/>
          <w:sz w:val="24"/>
          <w:szCs w:val="24"/>
          <w:shd w:val="clear" w:color="auto" w:fill="FFFFFF"/>
        </w:rPr>
        <w:t>Family practice management</w:t>
      </w:r>
      <w:r w:rsidRPr="007C0CD5">
        <w:rPr>
          <w:rFonts w:ascii="Arial" w:hAnsi="Arial" w:cs="Arial"/>
          <w:color w:val="0D0D0D" w:themeColor="text1" w:themeTint="F2"/>
          <w:sz w:val="24"/>
          <w:szCs w:val="24"/>
          <w:shd w:val="clear" w:color="auto" w:fill="FFFFFF"/>
        </w:rPr>
        <w:t>, 19(1), p. 8.</w:t>
      </w:r>
    </w:p>
    <w:p w14:paraId="475EDDD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Bradsley, O. (2013) </w:t>
      </w:r>
      <w:r w:rsidRPr="007C0CD5">
        <w:rPr>
          <w:rFonts w:ascii="Arial" w:hAnsi="Arial" w:cs="Arial"/>
          <w:i/>
          <w:iCs/>
          <w:color w:val="0D0D0D" w:themeColor="text1" w:themeTint="F2"/>
          <w:sz w:val="24"/>
          <w:szCs w:val="24"/>
        </w:rPr>
        <w:t>Single parents: seeing beyond stigma</w:t>
      </w:r>
      <w:r w:rsidRPr="007C0CD5">
        <w:rPr>
          <w:rFonts w:ascii="Arial" w:hAnsi="Arial" w:cs="Arial"/>
          <w:color w:val="0D0D0D" w:themeColor="text1" w:themeTint="F2"/>
          <w:sz w:val="24"/>
          <w:szCs w:val="24"/>
        </w:rPr>
        <w:t xml:space="preserve">. Available at: </w:t>
      </w:r>
      <w:hyperlink r:id="rId11" w:history="1">
        <w:r w:rsidRPr="007C0CD5">
          <w:rPr>
            <w:rStyle w:val="Hyperlink"/>
            <w:rFonts w:ascii="Arial" w:hAnsi="Arial" w:cs="Arial"/>
            <w:color w:val="0D0D0D" w:themeColor="text1" w:themeTint="F2"/>
            <w:sz w:val="24"/>
            <w:szCs w:val="24"/>
            <w:u w:val="none"/>
          </w:rPr>
          <w:t>https://www.theguardian.com/social-care-network/2013/feb/21/single-parents-beyond-the-stigma</w:t>
        </w:r>
      </w:hyperlink>
      <w:r w:rsidRPr="007C0CD5">
        <w:rPr>
          <w:rFonts w:ascii="Arial" w:hAnsi="Arial" w:cs="Arial"/>
          <w:color w:val="0D0D0D" w:themeColor="text1" w:themeTint="F2"/>
          <w:sz w:val="24"/>
          <w:szCs w:val="24"/>
        </w:rPr>
        <w:t xml:space="preserve"> (Accessed: 10</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1D71C7D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Brown, B. (2020) </w:t>
      </w:r>
      <w:r w:rsidRPr="007C0CD5">
        <w:rPr>
          <w:rFonts w:ascii="Arial" w:hAnsi="Arial" w:cs="Arial"/>
          <w:i/>
          <w:iCs/>
          <w:color w:val="0D0D0D" w:themeColor="text1" w:themeTint="F2"/>
          <w:sz w:val="24"/>
          <w:szCs w:val="24"/>
          <w:shd w:val="clear" w:color="auto" w:fill="FFFFFF"/>
        </w:rPr>
        <w:t xml:space="preserve">Dare to Lead. </w:t>
      </w:r>
      <w:r w:rsidRPr="007C0CD5">
        <w:rPr>
          <w:rFonts w:ascii="Arial" w:hAnsi="Arial" w:cs="Arial"/>
          <w:color w:val="0D0D0D" w:themeColor="text1" w:themeTint="F2"/>
          <w:sz w:val="24"/>
          <w:szCs w:val="24"/>
          <w:shd w:val="clear" w:color="auto" w:fill="FFFFFF"/>
        </w:rPr>
        <w:t xml:space="preserve">Available at: </w:t>
      </w:r>
      <w:hyperlink r:id="rId12" w:history="1">
        <w:r w:rsidRPr="007C0CD5">
          <w:rPr>
            <w:rStyle w:val="Hyperlink"/>
            <w:rFonts w:ascii="Arial" w:hAnsi="Arial" w:cs="Arial"/>
            <w:color w:val="0D0D0D" w:themeColor="text1" w:themeTint="F2"/>
            <w:sz w:val="24"/>
            <w:szCs w:val="24"/>
            <w:u w:val="none"/>
          </w:rPr>
          <w:t>Brene-Brown-on-Power-and-Leadership-10-26-20.pdf</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10B6BA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Brown, J. (2019). </w:t>
      </w:r>
      <w:r w:rsidRPr="007C0CD5">
        <w:rPr>
          <w:rFonts w:ascii="Arial" w:hAnsi="Arial" w:cs="Arial"/>
          <w:i/>
          <w:iCs/>
          <w:color w:val="0D0D0D" w:themeColor="text1" w:themeTint="F2"/>
          <w:sz w:val="24"/>
          <w:szCs w:val="24"/>
          <w:shd w:val="clear" w:color="auto" w:fill="FFFFFF"/>
        </w:rPr>
        <w:t>How to be an inclusive leader: Your role in creating cultures of belonging where everyone can thrive</w:t>
      </w:r>
      <w:r w:rsidRPr="007C0CD5">
        <w:rPr>
          <w:rFonts w:ascii="Arial" w:hAnsi="Arial" w:cs="Arial"/>
          <w:color w:val="0D0D0D" w:themeColor="text1" w:themeTint="F2"/>
          <w:sz w:val="24"/>
          <w:szCs w:val="24"/>
          <w:shd w:val="clear" w:color="auto" w:fill="FFFFFF"/>
        </w:rPr>
        <w:t>. Berrett-Koehler Publishers.</w:t>
      </w:r>
    </w:p>
    <w:p w14:paraId="1E2EA20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Buera, F. J., Kaboski, J. P., &amp; Townsend, R. M. (2023) From micro to macro development. </w:t>
      </w:r>
      <w:r w:rsidRPr="007C0CD5">
        <w:rPr>
          <w:rFonts w:ascii="Arial" w:hAnsi="Arial" w:cs="Arial"/>
          <w:i/>
          <w:iCs/>
          <w:color w:val="0D0D0D" w:themeColor="text1" w:themeTint="F2"/>
          <w:sz w:val="24"/>
          <w:szCs w:val="24"/>
          <w:shd w:val="clear" w:color="auto" w:fill="FFFFFF"/>
        </w:rPr>
        <w:t>Journal of Economic Literature</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61</w:t>
      </w:r>
      <w:r w:rsidRPr="007C0CD5">
        <w:rPr>
          <w:rFonts w:ascii="Arial" w:hAnsi="Arial" w:cs="Arial"/>
          <w:color w:val="0D0D0D" w:themeColor="text1" w:themeTint="F2"/>
          <w:sz w:val="24"/>
          <w:szCs w:val="24"/>
          <w:shd w:val="clear" w:color="auto" w:fill="FFFFFF"/>
        </w:rPr>
        <w:t>(2), 471-503.</w:t>
      </w:r>
    </w:p>
    <w:p w14:paraId="7E0A48F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Cabrera, N.J., (2020) Father involvement, father-child relationship, and attachment in the early years. </w:t>
      </w:r>
      <w:r w:rsidRPr="007C0CD5">
        <w:rPr>
          <w:rFonts w:ascii="Arial" w:hAnsi="Arial" w:cs="Arial"/>
          <w:i/>
          <w:iCs/>
          <w:color w:val="0D0D0D" w:themeColor="text1" w:themeTint="F2"/>
          <w:sz w:val="24"/>
          <w:szCs w:val="24"/>
          <w:shd w:val="clear" w:color="auto" w:fill="FFFFFF"/>
        </w:rPr>
        <w:t>Attachment &amp; human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22</w:t>
      </w:r>
      <w:r w:rsidRPr="007C0CD5">
        <w:rPr>
          <w:rFonts w:ascii="Arial" w:hAnsi="Arial" w:cs="Arial"/>
          <w:color w:val="0D0D0D" w:themeColor="text1" w:themeTint="F2"/>
          <w:sz w:val="24"/>
          <w:szCs w:val="24"/>
          <w:shd w:val="clear" w:color="auto" w:fill="FFFFFF"/>
        </w:rPr>
        <w:t>(1), pp.134-138.</w:t>
      </w:r>
    </w:p>
    <w:p w14:paraId="6B9D4F6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Cascio, W. F. (2019) Training trends: Macro, micro, and policy issues. </w:t>
      </w:r>
      <w:r w:rsidRPr="007C0CD5">
        <w:rPr>
          <w:rFonts w:ascii="Arial" w:hAnsi="Arial" w:cs="Arial"/>
          <w:i/>
          <w:iCs/>
          <w:color w:val="0D0D0D" w:themeColor="text1" w:themeTint="F2"/>
          <w:sz w:val="24"/>
          <w:szCs w:val="24"/>
          <w:shd w:val="clear" w:color="auto" w:fill="FFFFFF"/>
        </w:rPr>
        <w:t>Human Resource Management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29</w:t>
      </w:r>
      <w:r w:rsidRPr="007C0CD5">
        <w:rPr>
          <w:rFonts w:ascii="Arial" w:hAnsi="Arial" w:cs="Arial"/>
          <w:color w:val="0D0D0D" w:themeColor="text1" w:themeTint="F2"/>
          <w:sz w:val="24"/>
          <w:szCs w:val="24"/>
          <w:shd w:val="clear" w:color="auto" w:fill="FFFFFF"/>
        </w:rPr>
        <w:t>(2), 284-297.</w:t>
      </w:r>
    </w:p>
    <w:p w14:paraId="0CFC9E1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Childhood Education International (2021) </w:t>
      </w:r>
      <w:r w:rsidRPr="007C0CD5">
        <w:rPr>
          <w:rFonts w:ascii="Arial" w:hAnsi="Arial" w:cs="Arial"/>
          <w:i/>
          <w:iCs/>
          <w:color w:val="0D0D0D" w:themeColor="text1" w:themeTint="F2"/>
          <w:sz w:val="24"/>
          <w:szCs w:val="24"/>
        </w:rPr>
        <w:t>Inclusive Leadership in Education.</w:t>
      </w:r>
      <w:r w:rsidRPr="007C0CD5">
        <w:rPr>
          <w:rFonts w:ascii="Arial" w:hAnsi="Arial" w:cs="Arial"/>
          <w:color w:val="0D0D0D" w:themeColor="text1" w:themeTint="F2"/>
          <w:sz w:val="24"/>
          <w:szCs w:val="24"/>
        </w:rPr>
        <w:t xml:space="preserve"> Available at:</w:t>
      </w:r>
      <w:hyperlink r:id="rId13" w:history="1">
        <w:r w:rsidRPr="007C0CD5">
          <w:rPr>
            <w:rStyle w:val="Hyperlink"/>
            <w:rFonts w:ascii="Arial" w:hAnsi="Arial" w:cs="Arial"/>
            <w:color w:val="0D0D0D" w:themeColor="text1" w:themeTint="F2"/>
            <w:sz w:val="24"/>
            <w:szCs w:val="24"/>
            <w:u w:val="none"/>
          </w:rPr>
          <w:t>https://ceinternational1892.org/wpcontent/uploads/2021/07/InclusiveLeadershipBriefJuly2021.pdf</w:t>
        </w:r>
      </w:hyperlink>
      <w:r w:rsidRPr="007C0CD5">
        <w:rPr>
          <w:rFonts w:ascii="Arial" w:hAnsi="Arial" w:cs="Arial"/>
          <w:color w:val="0D0D0D" w:themeColor="text1" w:themeTint="F2"/>
          <w:sz w:val="24"/>
          <w:szCs w:val="24"/>
        </w:rPr>
        <w:t xml:space="preserve"> (Accessed: 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524A2A61"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Children’s Commissioner for Wales (2017) </w:t>
      </w:r>
      <w:r w:rsidRPr="007C0CD5">
        <w:rPr>
          <w:rFonts w:ascii="Arial" w:hAnsi="Arial" w:cs="Arial"/>
          <w:i/>
          <w:iCs/>
          <w:color w:val="0D0D0D" w:themeColor="text1" w:themeTint="F2"/>
          <w:sz w:val="24"/>
          <w:szCs w:val="24"/>
          <w:shd w:val="clear" w:color="auto" w:fill="FFFFFF"/>
        </w:rPr>
        <w:t xml:space="preserve">The Right Way. </w:t>
      </w:r>
      <w:r w:rsidRPr="007C0CD5">
        <w:rPr>
          <w:rFonts w:ascii="Arial" w:hAnsi="Arial" w:cs="Arial"/>
          <w:color w:val="0D0D0D" w:themeColor="text1" w:themeTint="F2"/>
          <w:sz w:val="24"/>
          <w:szCs w:val="24"/>
          <w:shd w:val="clear" w:color="auto" w:fill="FFFFFF"/>
        </w:rPr>
        <w:t xml:space="preserve">Available at: </w:t>
      </w:r>
      <w:hyperlink r:id="rId14" w:history="1">
        <w:r w:rsidRPr="007C0CD5">
          <w:rPr>
            <w:rStyle w:val="Hyperlink"/>
            <w:rFonts w:ascii="Arial" w:hAnsi="Arial" w:cs="Arial"/>
            <w:color w:val="0D0D0D" w:themeColor="text1" w:themeTint="F2"/>
            <w:sz w:val="24"/>
            <w:szCs w:val="24"/>
            <w:u w:val="none"/>
          </w:rPr>
          <w:t>The-Right-Way-Education.pdf (childcomwales.org.uk)</w:t>
        </w:r>
      </w:hyperlink>
      <w:r w:rsidRPr="007C0CD5">
        <w:rPr>
          <w:rFonts w:ascii="Arial" w:hAnsi="Arial" w:cs="Arial"/>
          <w:color w:val="0D0D0D" w:themeColor="text1" w:themeTint="F2"/>
          <w:sz w:val="24"/>
          <w:szCs w:val="24"/>
        </w:rPr>
        <w:t xml:space="preserve"> (Accessed: 2</w:t>
      </w:r>
      <w:r w:rsidRPr="007C0CD5">
        <w:rPr>
          <w:rFonts w:ascii="Arial" w:hAnsi="Arial" w:cs="Arial"/>
          <w:color w:val="0D0D0D" w:themeColor="text1" w:themeTint="F2"/>
          <w:sz w:val="24"/>
          <w:szCs w:val="24"/>
          <w:vertAlign w:val="superscript"/>
        </w:rPr>
        <w:t>nd</w:t>
      </w:r>
      <w:r w:rsidRPr="007C0CD5">
        <w:rPr>
          <w:rFonts w:ascii="Arial" w:hAnsi="Arial" w:cs="Arial"/>
          <w:color w:val="0D0D0D" w:themeColor="text1" w:themeTint="F2"/>
          <w:sz w:val="24"/>
          <w:szCs w:val="24"/>
        </w:rPr>
        <w:t xml:space="preserve"> June 2023).</w:t>
      </w:r>
    </w:p>
    <w:p w14:paraId="0248AA67"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lang w:val="en-US"/>
        </w:rPr>
        <w:lastRenderedPageBreak/>
        <w:t>Cottle, M. and Alexander, E. (2014) ‘</w:t>
      </w:r>
      <w:r w:rsidRPr="007C0CD5">
        <w:rPr>
          <w:rFonts w:ascii="Arial" w:hAnsi="Arial" w:cs="Arial"/>
          <w:color w:val="0D0D0D" w:themeColor="text1" w:themeTint="F2"/>
          <w:sz w:val="24"/>
          <w:szCs w:val="24"/>
        </w:rPr>
        <w:t xml:space="preserve">Parent partnership and ‘quality’ early years services: practitioners' perspectives’, </w:t>
      </w:r>
      <w:r w:rsidRPr="007C0CD5">
        <w:rPr>
          <w:rFonts w:ascii="Arial" w:hAnsi="Arial" w:cs="Arial"/>
          <w:i/>
          <w:iCs/>
          <w:color w:val="0D0D0D" w:themeColor="text1" w:themeTint="F2"/>
          <w:sz w:val="24"/>
          <w:szCs w:val="24"/>
        </w:rPr>
        <w:t xml:space="preserve">European Early Childhood Education Research Journal, </w:t>
      </w:r>
      <w:r w:rsidRPr="007C0CD5">
        <w:rPr>
          <w:rFonts w:ascii="Arial" w:hAnsi="Arial" w:cs="Arial"/>
          <w:color w:val="0D0D0D" w:themeColor="text1" w:themeTint="F2"/>
          <w:sz w:val="24"/>
          <w:szCs w:val="24"/>
        </w:rPr>
        <w:t xml:space="preserve">22(5), pp. 637-659. DOI: </w:t>
      </w:r>
      <w:hyperlink r:id="rId15" w:history="1">
        <w:r w:rsidRPr="007C0CD5">
          <w:rPr>
            <w:rStyle w:val="Hyperlink"/>
            <w:rFonts w:ascii="Arial" w:hAnsi="Arial" w:cs="Arial"/>
            <w:color w:val="0D0D0D" w:themeColor="text1" w:themeTint="F2"/>
            <w:sz w:val="24"/>
            <w:szCs w:val="24"/>
            <w:u w:val="none"/>
          </w:rPr>
          <w:t>https://doi.org/10.1080/1350293X.2013.788314</w:t>
        </w:r>
      </w:hyperlink>
      <w:r w:rsidRPr="007C0CD5">
        <w:rPr>
          <w:rFonts w:ascii="Arial" w:hAnsi="Arial" w:cs="Arial"/>
          <w:color w:val="0D0D0D" w:themeColor="text1" w:themeTint="F2"/>
          <w:sz w:val="24"/>
          <w:szCs w:val="24"/>
        </w:rPr>
        <w:t xml:space="preserve">  (Accessed: 18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38BDD8C2"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Dads Groups (2021) </w:t>
      </w:r>
      <w:r w:rsidRPr="007C0CD5">
        <w:rPr>
          <w:rFonts w:ascii="Arial" w:hAnsi="Arial" w:cs="Arial"/>
          <w:i/>
          <w:iCs/>
          <w:color w:val="0D0D0D" w:themeColor="text1" w:themeTint="F2"/>
          <w:sz w:val="24"/>
          <w:szCs w:val="24"/>
        </w:rPr>
        <w:t>Dads Group</w:t>
      </w:r>
      <w:r w:rsidRPr="007C0CD5">
        <w:rPr>
          <w:rFonts w:ascii="Arial" w:hAnsi="Arial" w:cs="Arial"/>
          <w:color w:val="0D0D0D" w:themeColor="text1" w:themeTint="F2"/>
          <w:sz w:val="24"/>
          <w:szCs w:val="24"/>
        </w:rPr>
        <w:t xml:space="preserve">. Available at: </w:t>
      </w:r>
      <w:hyperlink r:id="rId16" w:history="1">
        <w:r w:rsidRPr="007C0CD5">
          <w:rPr>
            <w:rFonts w:ascii="Arial" w:hAnsi="Arial" w:cs="Arial"/>
            <w:color w:val="0D0D0D" w:themeColor="text1" w:themeTint="F2"/>
            <w:sz w:val="24"/>
            <w:szCs w:val="24"/>
          </w:rPr>
          <w:t>https://www.dadsgroup.org/dadsgroupabout</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66314BD0"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Daruich, D. (2018) The macroeconomic consequences of early childhood development policies. </w:t>
      </w:r>
      <w:r w:rsidRPr="007C0CD5">
        <w:rPr>
          <w:rFonts w:ascii="Arial" w:hAnsi="Arial" w:cs="Arial"/>
          <w:i/>
          <w:iCs/>
          <w:color w:val="0D0D0D" w:themeColor="text1" w:themeTint="F2"/>
          <w:sz w:val="24"/>
          <w:szCs w:val="24"/>
          <w:shd w:val="clear" w:color="auto" w:fill="FFFFFF"/>
        </w:rPr>
        <w:t>FRB St. Louis Working Paper</w:t>
      </w:r>
      <w:r w:rsidRPr="007C0CD5">
        <w:rPr>
          <w:rFonts w:ascii="Arial" w:hAnsi="Arial" w:cs="Arial"/>
          <w:color w:val="0D0D0D" w:themeColor="text1" w:themeTint="F2"/>
          <w:sz w:val="24"/>
          <w:szCs w:val="24"/>
          <w:shd w:val="clear" w:color="auto" w:fill="FFFFFF"/>
        </w:rPr>
        <w:t>, (2018-29).</w:t>
      </w:r>
    </w:p>
    <w:p w14:paraId="0C366A65" w14:textId="77777777" w:rsidR="007C0CD5" w:rsidRPr="007C0CD5" w:rsidRDefault="007C0CD5" w:rsidP="007C0CD5">
      <w:pPr>
        <w:spacing w:line="360" w:lineRule="auto"/>
        <w:jc w:val="both"/>
        <w:rPr>
          <w:rStyle w:val="surname"/>
          <w:rFonts w:ascii="Arial" w:hAnsi="Arial" w:cs="Arial"/>
          <w:color w:val="0D0D0D" w:themeColor="text1" w:themeTint="F2"/>
          <w:sz w:val="24"/>
          <w:szCs w:val="24"/>
          <w:shd w:val="clear" w:color="auto" w:fill="FFFFFF"/>
        </w:rPr>
      </w:pPr>
      <w:hyperlink r:id="rId17" w:tooltip="David DeMatthews" w:history="1">
        <w:r w:rsidRPr="007C0CD5">
          <w:rPr>
            <w:rStyle w:val="Hyperlink"/>
            <w:rFonts w:ascii="Arial" w:hAnsi="Arial" w:cs="Arial"/>
            <w:color w:val="0D0D0D" w:themeColor="text1" w:themeTint="F2"/>
            <w:sz w:val="24"/>
            <w:szCs w:val="24"/>
            <w:u w:val="none"/>
            <w:shd w:val="clear" w:color="auto" w:fill="FFFFFF"/>
          </w:rPr>
          <w:t>DeMatthews, D.</w:t>
        </w:r>
      </w:hyperlink>
      <w:r w:rsidRPr="007C0CD5">
        <w:rPr>
          <w:rFonts w:ascii="Arial" w:hAnsi="Arial" w:cs="Arial"/>
          <w:color w:val="0D0D0D" w:themeColor="text1" w:themeTint="F2"/>
          <w:sz w:val="24"/>
          <w:szCs w:val="24"/>
          <w:shd w:val="clear" w:color="auto" w:fill="FFFFFF"/>
        </w:rPr>
        <w:t> (2021) ‘Undoing systems of exclusion: exploring inclusive leadership and systems thinking in two inclusive elementary schools’, </w:t>
      </w:r>
      <w:hyperlink r:id="rId18" w:history="1">
        <w:r w:rsidRPr="007C0CD5">
          <w:rPr>
            <w:rStyle w:val="Hyperlink"/>
            <w:rFonts w:ascii="Arial" w:hAnsi="Arial" w:cs="Arial"/>
            <w:i/>
            <w:iCs/>
            <w:color w:val="0D0D0D" w:themeColor="text1" w:themeTint="F2"/>
            <w:sz w:val="24"/>
            <w:szCs w:val="24"/>
            <w:u w:val="none"/>
          </w:rPr>
          <w:t>Journal of Educational Administration</w:t>
        </w:r>
      </w:hyperlink>
      <w:r w:rsidRPr="007C0CD5">
        <w:rPr>
          <w:rFonts w:ascii="Arial" w:hAnsi="Arial" w:cs="Arial"/>
          <w:color w:val="0D0D0D" w:themeColor="text1" w:themeTint="F2"/>
          <w:sz w:val="24"/>
          <w:szCs w:val="24"/>
          <w:shd w:val="clear" w:color="auto" w:fill="FFFFFF"/>
        </w:rPr>
        <w:t>, 59(1), pp. 5-21.</w:t>
      </w:r>
      <w:r w:rsidRPr="007C0CD5">
        <w:rPr>
          <w:rStyle w:val="surname"/>
          <w:rFonts w:ascii="Arial" w:hAnsi="Arial" w:cs="Arial"/>
          <w:color w:val="0D0D0D" w:themeColor="text1" w:themeTint="F2"/>
          <w:sz w:val="24"/>
          <w:szCs w:val="24"/>
          <w:shd w:val="clear" w:color="auto" w:fill="FFFFFF"/>
        </w:rPr>
        <w:t xml:space="preserve"> </w:t>
      </w:r>
    </w:p>
    <w:p w14:paraId="1E9C538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Dewey, B. (2020) ‘The Power of Empathetic and Collaborative Leadership’, </w:t>
      </w:r>
      <w:r w:rsidRPr="007C0CD5">
        <w:rPr>
          <w:rFonts w:ascii="Arial" w:hAnsi="Arial" w:cs="Arial"/>
          <w:i/>
          <w:iCs/>
          <w:color w:val="0D0D0D" w:themeColor="text1" w:themeTint="F2"/>
          <w:sz w:val="24"/>
          <w:szCs w:val="24"/>
        </w:rPr>
        <w:t>Library leadership &amp; management</w:t>
      </w:r>
      <w:r w:rsidRPr="007C0CD5">
        <w:rPr>
          <w:rFonts w:ascii="Arial" w:hAnsi="Arial" w:cs="Arial"/>
          <w:color w:val="0D0D0D" w:themeColor="text1" w:themeTint="F2"/>
          <w:sz w:val="24"/>
          <w:szCs w:val="24"/>
        </w:rPr>
        <w:t>, 34 (2), pp. 1–6.</w:t>
      </w:r>
    </w:p>
    <w:p w14:paraId="6E3D034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Donaldson, G. (2015) </w:t>
      </w:r>
      <w:r w:rsidRPr="007C0CD5">
        <w:rPr>
          <w:rFonts w:ascii="Arial" w:hAnsi="Arial" w:cs="Arial"/>
          <w:i/>
          <w:iCs/>
          <w:color w:val="0D0D0D" w:themeColor="text1" w:themeTint="F2"/>
          <w:sz w:val="24"/>
          <w:szCs w:val="24"/>
        </w:rPr>
        <w:t xml:space="preserve">Successful Futures Independent Review of Curriculum and Assessment Arrangements in Wales. </w:t>
      </w:r>
      <w:r w:rsidRPr="007C0CD5">
        <w:rPr>
          <w:rFonts w:ascii="Arial" w:hAnsi="Arial" w:cs="Arial"/>
          <w:color w:val="0D0D0D" w:themeColor="text1" w:themeTint="F2"/>
          <w:sz w:val="24"/>
          <w:szCs w:val="24"/>
        </w:rPr>
        <w:t xml:space="preserve">Available at: </w:t>
      </w:r>
      <w:hyperlink r:id="rId19" w:history="1">
        <w:r w:rsidRPr="007C0CD5">
          <w:rPr>
            <w:rFonts w:ascii="Arial" w:hAnsi="Arial" w:cs="Arial"/>
            <w:color w:val="0D0D0D" w:themeColor="text1" w:themeTint="F2"/>
            <w:sz w:val="24"/>
            <w:szCs w:val="24"/>
          </w:rPr>
          <w:t>https://gov.wales/sites/default/files/publications/2018-03/successful-futures.pdf</w:t>
        </w:r>
      </w:hyperlink>
      <w:r w:rsidRPr="007C0CD5">
        <w:rPr>
          <w:rFonts w:ascii="Arial" w:hAnsi="Arial" w:cs="Arial"/>
          <w:color w:val="0D0D0D" w:themeColor="text1" w:themeTint="F2"/>
          <w:sz w:val="24"/>
          <w:szCs w:val="24"/>
        </w:rPr>
        <w:t xml:space="preserve"> (Accessed: 15th June 2023).</w:t>
      </w:r>
    </w:p>
    <w:p w14:paraId="35B4E06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Douglass, A. (2019) ‘Leadership for quality early childhood education and care’, </w:t>
      </w:r>
      <w:r w:rsidRPr="007C0CD5">
        <w:rPr>
          <w:rFonts w:ascii="Arial" w:hAnsi="Arial" w:cs="Arial"/>
          <w:i/>
          <w:iCs/>
          <w:color w:val="0D0D0D" w:themeColor="text1" w:themeTint="F2"/>
          <w:sz w:val="24"/>
          <w:szCs w:val="24"/>
          <w:shd w:val="clear" w:color="auto" w:fill="FFFFFF"/>
        </w:rPr>
        <w:t>OECD Education Working Papers</w:t>
      </w:r>
      <w:r w:rsidRPr="007C0CD5">
        <w:rPr>
          <w:rFonts w:ascii="Arial" w:hAnsi="Arial" w:cs="Arial"/>
          <w:color w:val="0D0D0D" w:themeColor="text1" w:themeTint="F2"/>
          <w:sz w:val="24"/>
          <w:szCs w:val="24"/>
          <w:shd w:val="clear" w:color="auto" w:fill="FFFFFF"/>
        </w:rPr>
        <w:t xml:space="preserve">, 211, OECD Publishing: Paris, Available at: </w:t>
      </w:r>
      <w:hyperlink r:id="rId20" w:history="1">
        <w:r w:rsidRPr="007C0CD5">
          <w:rPr>
            <w:rStyle w:val="Hyperlink"/>
            <w:rFonts w:ascii="Arial" w:hAnsi="Arial" w:cs="Arial"/>
            <w:color w:val="0D0D0D" w:themeColor="text1" w:themeTint="F2"/>
            <w:sz w:val="24"/>
            <w:szCs w:val="24"/>
            <w:u w:val="none"/>
            <w:shd w:val="clear" w:color="auto" w:fill="FFFFFF"/>
          </w:rPr>
          <w:t>https://doi.org/10.1787/6e563bae-en</w:t>
        </w:r>
      </w:hyperlink>
      <w:r w:rsidRPr="007C0CD5">
        <w:rPr>
          <w:rFonts w:ascii="Arial" w:hAnsi="Arial" w:cs="Arial"/>
          <w:color w:val="0D0D0D" w:themeColor="text1" w:themeTint="F2"/>
          <w:sz w:val="24"/>
          <w:szCs w:val="24"/>
          <w:shd w:val="clear" w:color="auto" w:fill="FFFFFF"/>
        </w:rPr>
        <w:t xml:space="preserve"> (Accessed: 16</w:t>
      </w:r>
      <w:r w:rsidRPr="007C0CD5">
        <w:rPr>
          <w:rFonts w:ascii="Arial" w:hAnsi="Arial" w:cs="Arial"/>
          <w:color w:val="0D0D0D" w:themeColor="text1" w:themeTint="F2"/>
          <w:sz w:val="24"/>
          <w:szCs w:val="24"/>
          <w:shd w:val="clear" w:color="auto" w:fill="FFFFFF"/>
          <w:vertAlign w:val="superscript"/>
        </w:rPr>
        <w:t>th</w:t>
      </w:r>
      <w:r w:rsidRPr="007C0CD5">
        <w:rPr>
          <w:rFonts w:ascii="Arial" w:hAnsi="Arial" w:cs="Arial"/>
          <w:color w:val="0D0D0D" w:themeColor="text1" w:themeTint="F2"/>
          <w:sz w:val="24"/>
          <w:szCs w:val="24"/>
          <w:shd w:val="clear" w:color="auto" w:fill="FFFFFF"/>
        </w:rPr>
        <w:t xml:space="preserve"> June 2023).</w:t>
      </w:r>
    </w:p>
    <w:p w14:paraId="77121FF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Edelman, H. (2014) </w:t>
      </w:r>
      <w:r w:rsidRPr="007C0CD5">
        <w:rPr>
          <w:rFonts w:ascii="Arial" w:hAnsi="Arial" w:cs="Arial"/>
          <w:i/>
          <w:iCs/>
          <w:color w:val="0D0D0D" w:themeColor="text1" w:themeTint="F2"/>
          <w:sz w:val="24"/>
          <w:szCs w:val="24"/>
          <w:shd w:val="clear" w:color="auto" w:fill="FFFFFF"/>
        </w:rPr>
        <w:t>Motherless daughters: The legacy of loss</w:t>
      </w:r>
      <w:r w:rsidRPr="007C0CD5">
        <w:rPr>
          <w:rFonts w:ascii="Arial" w:hAnsi="Arial" w:cs="Arial"/>
          <w:color w:val="0D0D0D" w:themeColor="text1" w:themeTint="F2"/>
          <w:sz w:val="24"/>
          <w:szCs w:val="24"/>
          <w:shd w:val="clear" w:color="auto" w:fill="FFFFFF"/>
        </w:rPr>
        <w:t>. Hachette UK.</w:t>
      </w:r>
    </w:p>
    <w:p w14:paraId="0D604DC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Elliott, K. (2016) ‘Caring Masculinities: Theorizing an Emerging Concept’ Men and Masculinities 19 (3), 240–259.</w:t>
      </w:r>
    </w:p>
    <w:p w14:paraId="42955EA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Facca, D., Gladstone, B. and Teachman, G. (2020) Working the limits of “giving voice” to children: A critical conceptual review. </w:t>
      </w:r>
      <w:r w:rsidRPr="007C0CD5">
        <w:rPr>
          <w:rFonts w:ascii="Arial" w:hAnsi="Arial" w:cs="Arial"/>
          <w:i/>
          <w:iCs/>
          <w:color w:val="0D0D0D" w:themeColor="text1" w:themeTint="F2"/>
          <w:sz w:val="24"/>
          <w:szCs w:val="24"/>
          <w:shd w:val="clear" w:color="auto" w:fill="FFFFFF"/>
        </w:rPr>
        <w:t>International Journal of Qualitative Methods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19</w:t>
      </w:r>
      <w:r w:rsidRPr="007C0CD5">
        <w:rPr>
          <w:rFonts w:ascii="Arial" w:hAnsi="Arial" w:cs="Arial"/>
          <w:color w:val="0D0D0D" w:themeColor="text1" w:themeTint="F2"/>
          <w:sz w:val="24"/>
          <w:szCs w:val="24"/>
          <w:shd w:val="clear" w:color="auto" w:fill="FFFFFF"/>
        </w:rPr>
        <w:t>, p.1609406920933391.</w:t>
      </w:r>
    </w:p>
    <w:p w14:paraId="775D1AC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Ferdman, B. (2021) </w:t>
      </w:r>
      <w:r w:rsidRPr="007C0CD5">
        <w:rPr>
          <w:rFonts w:ascii="Arial" w:hAnsi="Arial" w:cs="Arial"/>
          <w:i/>
          <w:iCs/>
          <w:color w:val="0D0D0D" w:themeColor="text1" w:themeTint="F2"/>
          <w:sz w:val="24"/>
          <w:szCs w:val="24"/>
        </w:rPr>
        <w:t xml:space="preserve">Inclusive Leadership: Transforming diverse lives, workplaces and societies. </w:t>
      </w:r>
      <w:r w:rsidRPr="007C0CD5">
        <w:rPr>
          <w:rFonts w:ascii="Arial" w:hAnsi="Arial" w:cs="Arial"/>
          <w:color w:val="0D0D0D" w:themeColor="text1" w:themeTint="F2"/>
          <w:sz w:val="24"/>
          <w:szCs w:val="24"/>
        </w:rPr>
        <w:t>London: Routledge.</w:t>
      </w:r>
    </w:p>
    <w:p w14:paraId="49DA77DA" w14:textId="77777777" w:rsidR="007C0CD5" w:rsidRPr="007C0CD5" w:rsidRDefault="007C0CD5" w:rsidP="007C0CD5">
      <w:pPr>
        <w:spacing w:line="360" w:lineRule="auto"/>
        <w:jc w:val="both"/>
        <w:rPr>
          <w:rFonts w:ascii="Arial" w:eastAsia="Calibri" w:hAnsi="Arial" w:cs="Arial"/>
          <w:color w:val="0D0D0D" w:themeColor="text1" w:themeTint="F2"/>
          <w:sz w:val="24"/>
          <w:szCs w:val="24"/>
        </w:rPr>
      </w:pPr>
      <w:r w:rsidRPr="007C0CD5">
        <w:rPr>
          <w:rFonts w:ascii="Arial" w:eastAsia="Calibri" w:hAnsi="Arial" w:cs="Arial"/>
          <w:color w:val="0D0D0D" w:themeColor="text1" w:themeTint="F2"/>
          <w:sz w:val="24"/>
          <w:szCs w:val="24"/>
          <w:lang w:val="en-US"/>
        </w:rPr>
        <w:lastRenderedPageBreak/>
        <w:t xml:space="preserve">Ferdman, B.M. (2014) </w:t>
      </w:r>
      <w:r w:rsidRPr="007C0CD5">
        <w:rPr>
          <w:rFonts w:ascii="Arial" w:eastAsia="Calibri" w:hAnsi="Arial" w:cs="Arial"/>
          <w:i/>
          <w:iCs/>
          <w:color w:val="0D0D0D" w:themeColor="text1" w:themeTint="F2"/>
          <w:sz w:val="24"/>
          <w:szCs w:val="24"/>
          <w:lang w:val="en-US"/>
        </w:rPr>
        <w:t xml:space="preserve">Diversity at work: The practice of inclusion. </w:t>
      </w:r>
      <w:r w:rsidRPr="007C0CD5">
        <w:rPr>
          <w:rFonts w:ascii="Arial" w:eastAsia="Calibri" w:hAnsi="Arial" w:cs="Arial"/>
          <w:color w:val="0D0D0D" w:themeColor="text1" w:themeTint="F2"/>
          <w:sz w:val="24"/>
          <w:szCs w:val="24"/>
          <w:lang w:val="en-US"/>
        </w:rPr>
        <w:t xml:space="preserve">Available at: </w:t>
      </w:r>
      <w:r w:rsidRPr="007C0CD5">
        <w:rPr>
          <w:rFonts w:ascii="Arial" w:eastAsia="Calibri" w:hAnsi="Arial" w:cs="Arial"/>
          <w:i/>
          <w:iCs/>
          <w:color w:val="0D0D0D" w:themeColor="text1" w:themeTint="F2"/>
          <w:sz w:val="24"/>
          <w:szCs w:val="24"/>
          <w:lang w:val="en-US"/>
        </w:rPr>
        <w:t xml:space="preserve"> </w:t>
      </w:r>
      <w:hyperlink w:history="1">
        <w:r w:rsidRPr="007C0CD5">
          <w:rPr>
            <w:rStyle w:val="Hyperlink"/>
            <w:rFonts w:ascii="Arial" w:eastAsia="Calibri" w:hAnsi="Arial" w:cs="Arial"/>
            <w:i/>
            <w:iCs/>
            <w:color w:val="0D0D0D" w:themeColor="text1" w:themeTint="F2"/>
            <w:sz w:val="24"/>
            <w:szCs w:val="24"/>
            <w:u w:val="none"/>
            <w:lang w:val="en-US"/>
          </w:rPr>
          <w:t>https://onlinelibrary-wiley com.ezproxy.uwtsd.ac.uk/doi/book/10.1002/9781118764282</w:t>
        </w:r>
      </w:hyperlink>
      <w:r w:rsidRPr="007C0CD5">
        <w:rPr>
          <w:rFonts w:ascii="Arial" w:eastAsia="Calibri" w:hAnsi="Arial" w:cs="Arial"/>
          <w:i/>
          <w:iCs/>
          <w:color w:val="0D0D0D" w:themeColor="text1" w:themeTint="F2"/>
          <w:sz w:val="24"/>
          <w:szCs w:val="24"/>
          <w:lang w:val="en-US"/>
        </w:rPr>
        <w:t xml:space="preserve"> (</w:t>
      </w:r>
      <w:r w:rsidRPr="007C0CD5">
        <w:rPr>
          <w:rFonts w:ascii="Arial" w:eastAsia="Calibri" w:hAnsi="Arial" w:cs="Arial"/>
          <w:color w:val="0D0D0D" w:themeColor="text1" w:themeTint="F2"/>
          <w:sz w:val="24"/>
          <w:szCs w:val="24"/>
        </w:rPr>
        <w:t>Accessed:11</w:t>
      </w:r>
      <w:r w:rsidRPr="007C0CD5">
        <w:rPr>
          <w:rFonts w:ascii="Arial" w:eastAsia="Calibri" w:hAnsi="Arial" w:cs="Arial"/>
          <w:color w:val="0D0D0D" w:themeColor="text1" w:themeTint="F2"/>
          <w:sz w:val="24"/>
          <w:szCs w:val="24"/>
          <w:vertAlign w:val="superscript"/>
        </w:rPr>
        <w:t>th</w:t>
      </w:r>
      <w:r w:rsidRPr="007C0CD5">
        <w:rPr>
          <w:rFonts w:ascii="Arial" w:eastAsia="Calibri" w:hAnsi="Arial" w:cs="Arial"/>
          <w:color w:val="0D0D0D" w:themeColor="text1" w:themeTint="F2"/>
          <w:sz w:val="24"/>
          <w:szCs w:val="24"/>
        </w:rPr>
        <w:t xml:space="preserve"> June 2023). </w:t>
      </w:r>
    </w:p>
    <w:p w14:paraId="5D34BB6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Ferdman, B.M., Prime, J. and Riggio, R.E. (2021) Inclusive Leadership: Transforming diverse lives, workplaces and societies. London: Routledge. </w:t>
      </w:r>
    </w:p>
    <w:p w14:paraId="4B05B2F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Ferguson, H.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(2021) ‘Hostile relationships in social work practice: anxiety, hate and conflict in long-term work with involuntary service users’, </w:t>
      </w:r>
      <w:r w:rsidRPr="007C0CD5">
        <w:rPr>
          <w:rFonts w:ascii="Arial" w:hAnsi="Arial" w:cs="Arial"/>
          <w:i/>
          <w:iCs/>
          <w:color w:val="0D0D0D" w:themeColor="text1" w:themeTint="F2"/>
          <w:sz w:val="24"/>
          <w:szCs w:val="24"/>
        </w:rPr>
        <w:t>Journal of Social Work Practice</w:t>
      </w:r>
      <w:r w:rsidRPr="007C0CD5">
        <w:rPr>
          <w:rFonts w:ascii="Arial" w:hAnsi="Arial" w:cs="Arial"/>
          <w:color w:val="0D0D0D" w:themeColor="text1" w:themeTint="F2"/>
          <w:sz w:val="24"/>
          <w:szCs w:val="24"/>
        </w:rPr>
        <w:t xml:space="preserve">, 35:1, 19-37. DOI: </w:t>
      </w:r>
      <w:hyperlink r:id="rId21" w:history="1">
        <w:r w:rsidRPr="007C0CD5">
          <w:rPr>
            <w:rStyle w:val="Hyperlink"/>
            <w:rFonts w:ascii="Arial" w:hAnsi="Arial" w:cs="Arial"/>
            <w:color w:val="0D0D0D" w:themeColor="text1" w:themeTint="F2"/>
            <w:sz w:val="24"/>
            <w:szCs w:val="24"/>
            <w:u w:val="none"/>
          </w:rPr>
          <w:t>https://doi.org/10.1080/02650533.2020.1834371</w:t>
        </w:r>
      </w:hyperlink>
      <w:r w:rsidRPr="007C0CD5">
        <w:rPr>
          <w:rFonts w:ascii="Arial" w:hAnsi="Arial" w:cs="Arial"/>
          <w:color w:val="0D0D0D" w:themeColor="text1" w:themeTint="F2"/>
          <w:sz w:val="24"/>
          <w:szCs w:val="24"/>
        </w:rPr>
        <w:t xml:space="preserve"> (Accessed: 17</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4AF53B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Finnigan, K. S. (2012) ‘Principal Leadership in Low-Performing Schools: A Closer Look Through the Eyes of Teachers’, </w:t>
      </w:r>
      <w:r w:rsidRPr="007C0CD5">
        <w:rPr>
          <w:rFonts w:ascii="Arial" w:hAnsi="Arial" w:cs="Arial"/>
          <w:i/>
          <w:iCs/>
          <w:color w:val="0D0D0D" w:themeColor="text1" w:themeTint="F2"/>
          <w:sz w:val="24"/>
          <w:szCs w:val="24"/>
        </w:rPr>
        <w:t>Education and Urban Society</w:t>
      </w:r>
      <w:r w:rsidRPr="007C0CD5">
        <w:rPr>
          <w:rFonts w:ascii="Arial" w:hAnsi="Arial" w:cs="Arial"/>
          <w:color w:val="0D0D0D" w:themeColor="text1" w:themeTint="F2"/>
          <w:sz w:val="24"/>
          <w:szCs w:val="24"/>
        </w:rPr>
        <w:t>, 44(2), pp. 183–202. doi: 10.1177/0013124511431570.</w:t>
      </w:r>
    </w:p>
    <w:p w14:paraId="452B9734"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Foundation Years (2015) </w:t>
      </w:r>
      <w:r w:rsidRPr="007C0CD5">
        <w:rPr>
          <w:rFonts w:ascii="Arial" w:hAnsi="Arial" w:cs="Arial"/>
          <w:i/>
          <w:iCs/>
          <w:color w:val="0D0D0D" w:themeColor="text1" w:themeTint="F2"/>
          <w:sz w:val="24"/>
          <w:szCs w:val="24"/>
        </w:rPr>
        <w:t xml:space="preserve">SEN and disability in the early years: A toolkit. </w:t>
      </w:r>
      <w:r w:rsidRPr="007C0CD5">
        <w:rPr>
          <w:rFonts w:ascii="Arial" w:hAnsi="Arial" w:cs="Arial"/>
          <w:color w:val="0D0D0D" w:themeColor="text1" w:themeTint="F2"/>
          <w:sz w:val="24"/>
          <w:szCs w:val="24"/>
        </w:rPr>
        <w:t xml:space="preserve">Available: </w:t>
      </w:r>
      <w:hyperlink r:id="rId22" w:history="1">
        <w:r w:rsidRPr="007C0CD5">
          <w:rPr>
            <w:rStyle w:val="Hyperlink"/>
            <w:rFonts w:ascii="Arial" w:hAnsi="Arial" w:cs="Arial"/>
            <w:color w:val="0D0D0D" w:themeColor="text1" w:themeTint="F2"/>
            <w:sz w:val="24"/>
            <w:szCs w:val="24"/>
            <w:u w:val="none"/>
          </w:rPr>
          <w:t>https://www.foundationyears.org.uk/files/2015/06/Section-3-Universal-inclusive-practice.pdf</w:t>
        </w:r>
      </w:hyperlink>
      <w:r w:rsidRPr="007C0CD5">
        <w:rPr>
          <w:rFonts w:ascii="Arial" w:hAnsi="Arial" w:cs="Arial"/>
          <w:color w:val="0D0D0D" w:themeColor="text1" w:themeTint="F2"/>
          <w:sz w:val="24"/>
          <w:szCs w:val="24"/>
        </w:rPr>
        <w:t xml:space="preserve"> </w:t>
      </w:r>
      <w:r w:rsidRPr="007C0CD5">
        <w:rPr>
          <w:rStyle w:val="Hyperlink"/>
          <w:rFonts w:ascii="Arial" w:hAnsi="Arial" w:cs="Arial"/>
          <w:color w:val="0D0D0D" w:themeColor="text1" w:themeTint="F2"/>
          <w:sz w:val="24"/>
          <w:szCs w:val="24"/>
          <w:u w:val="none"/>
        </w:rPr>
        <w:t>(Accessed: 18th June 2023).</w:t>
      </w:r>
    </w:p>
    <w:p w14:paraId="34548C2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Gosper, M. (2014). </w:t>
      </w:r>
      <w:r w:rsidRPr="007C0CD5">
        <w:rPr>
          <w:rFonts w:ascii="Arial" w:hAnsi="Arial" w:cs="Arial"/>
          <w:i/>
          <w:iCs/>
          <w:color w:val="0D0D0D" w:themeColor="text1" w:themeTint="F2"/>
          <w:sz w:val="24"/>
          <w:szCs w:val="24"/>
          <w:shd w:val="clear" w:color="auto" w:fill="FFFFFF"/>
        </w:rPr>
        <w:t>Curriculum models for the 21st century</w:t>
      </w:r>
      <w:r w:rsidRPr="007C0CD5">
        <w:rPr>
          <w:rFonts w:ascii="Arial" w:hAnsi="Arial" w:cs="Arial"/>
          <w:color w:val="0D0D0D" w:themeColor="text1" w:themeTint="F2"/>
          <w:sz w:val="24"/>
          <w:szCs w:val="24"/>
          <w:shd w:val="clear" w:color="auto" w:fill="FFFFFF"/>
        </w:rPr>
        <w:t>. Springer.</w:t>
      </w:r>
    </w:p>
    <w:p w14:paraId="2A922524" w14:textId="77777777" w:rsidR="007C0CD5" w:rsidRPr="007C0CD5" w:rsidRDefault="007C0CD5" w:rsidP="007C0CD5">
      <w:pPr>
        <w:spacing w:line="360" w:lineRule="auto"/>
        <w:jc w:val="both"/>
        <w:rPr>
          <w:rFonts w:ascii="Arial" w:eastAsiaTheme="minorEastAsia" w:hAnsi="Arial" w:cs="Arial"/>
          <w:color w:val="0D0D0D" w:themeColor="text1" w:themeTint="F2"/>
          <w:sz w:val="24"/>
          <w:szCs w:val="24"/>
          <w:lang w:eastAsia="zh-CN"/>
        </w:rPr>
      </w:pPr>
      <w:r w:rsidRPr="007C0CD5">
        <w:rPr>
          <w:rFonts w:ascii="Arial" w:eastAsiaTheme="minorEastAsia" w:hAnsi="Arial" w:cs="Arial"/>
          <w:color w:val="0D0D0D" w:themeColor="text1" w:themeTint="F2"/>
          <w:sz w:val="24"/>
          <w:szCs w:val="24"/>
          <w:lang w:eastAsia="zh-CN"/>
        </w:rPr>
        <w:t>Hafford-Letchfield, T</w:t>
      </w:r>
      <w:r w:rsidRPr="007C0CD5">
        <w:rPr>
          <w:rFonts w:ascii="Arial" w:eastAsiaTheme="minorEastAsia" w:hAnsi="Arial" w:cs="Arial"/>
          <w:i/>
          <w:iCs/>
          <w:color w:val="0D0D0D" w:themeColor="text1" w:themeTint="F2"/>
          <w:sz w:val="24"/>
          <w:szCs w:val="24"/>
          <w:lang w:eastAsia="zh-CN"/>
        </w:rPr>
        <w:t>. et al</w:t>
      </w:r>
      <w:r w:rsidRPr="007C0CD5">
        <w:rPr>
          <w:rFonts w:ascii="Arial" w:eastAsiaTheme="minorEastAsia" w:hAnsi="Arial" w:cs="Arial"/>
          <w:color w:val="0D0D0D" w:themeColor="text1" w:themeTint="F2"/>
          <w:sz w:val="24"/>
          <w:szCs w:val="24"/>
          <w:lang w:eastAsia="zh-CN"/>
        </w:rPr>
        <w:t xml:space="preserve">. (2014) </w:t>
      </w:r>
      <w:r w:rsidRPr="007C0CD5">
        <w:rPr>
          <w:rFonts w:ascii="Arial" w:eastAsiaTheme="minorEastAsia" w:hAnsi="Arial" w:cs="Arial"/>
          <w:i/>
          <w:iCs/>
          <w:color w:val="0D0D0D" w:themeColor="text1" w:themeTint="F2"/>
          <w:sz w:val="24"/>
          <w:szCs w:val="24"/>
          <w:lang w:eastAsia="zh-CN"/>
        </w:rPr>
        <w:t xml:space="preserve">Inclusive leadership in social work and social care. </w:t>
      </w:r>
      <w:r w:rsidRPr="007C0CD5">
        <w:rPr>
          <w:rFonts w:ascii="Arial" w:eastAsiaTheme="minorEastAsia" w:hAnsi="Arial" w:cs="Arial"/>
          <w:color w:val="0D0D0D" w:themeColor="text1" w:themeTint="F2"/>
          <w:sz w:val="24"/>
          <w:szCs w:val="24"/>
          <w:lang w:eastAsia="zh-CN"/>
        </w:rPr>
        <w:t xml:space="preserve"> Bristol. Polity Press.</w:t>
      </w:r>
    </w:p>
    <w:p w14:paraId="43A78F8C"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Hanlon, N. (2012) Masculinities, Care and Equality: Identity and Nurture in Men’s Lives. Basingstoke, UK: Palgrave Macmillan.</w:t>
      </w:r>
    </w:p>
    <w:p w14:paraId="0E3AD3E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Harris, A., Jones, M. and Crick, T. (2020) ‘Curriculum leadership: a critical contributor to school and system improvement’, </w:t>
      </w:r>
      <w:r w:rsidRPr="007C0CD5">
        <w:rPr>
          <w:rFonts w:ascii="Arial" w:hAnsi="Arial" w:cs="Arial"/>
          <w:i/>
          <w:iCs/>
          <w:color w:val="0D0D0D" w:themeColor="text1" w:themeTint="F2"/>
          <w:sz w:val="24"/>
          <w:szCs w:val="24"/>
        </w:rPr>
        <w:t>School Leadership &amp; Management</w:t>
      </w:r>
      <w:r w:rsidRPr="007C0CD5">
        <w:rPr>
          <w:rFonts w:ascii="Arial" w:hAnsi="Arial" w:cs="Arial"/>
          <w:color w:val="0D0D0D" w:themeColor="text1" w:themeTint="F2"/>
          <w:sz w:val="24"/>
          <w:szCs w:val="24"/>
        </w:rPr>
        <w:t xml:space="preserve">, 40(1), pp.1-4. DOI: </w:t>
      </w:r>
      <w:hyperlink r:id="rId23" w:history="1">
        <w:r w:rsidRPr="007C0CD5">
          <w:rPr>
            <w:rFonts w:ascii="Arial" w:hAnsi="Arial" w:cs="Arial"/>
            <w:color w:val="0D0D0D" w:themeColor="text1" w:themeTint="F2"/>
            <w:sz w:val="24"/>
            <w:szCs w:val="24"/>
          </w:rPr>
          <w:t>https://doi.org/10.1080/13632434.2020.1704470</w:t>
        </w:r>
      </w:hyperlink>
      <w:r w:rsidRPr="007C0CD5">
        <w:rPr>
          <w:rFonts w:ascii="Arial" w:hAnsi="Arial" w:cs="Arial"/>
          <w:color w:val="0D0D0D" w:themeColor="text1" w:themeTint="F2"/>
          <w:sz w:val="24"/>
          <w:szCs w:val="24"/>
        </w:rPr>
        <w:t xml:space="preserve"> (Accessed: 10th June 2023). </w:t>
      </w:r>
    </w:p>
    <w:p w14:paraId="01E07AA0"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Hasenfeld, Y. (1987) Power in social work practice. </w:t>
      </w:r>
      <w:r w:rsidRPr="007C0CD5">
        <w:rPr>
          <w:rFonts w:ascii="Arial" w:hAnsi="Arial" w:cs="Arial"/>
          <w:i/>
          <w:iCs/>
          <w:color w:val="0D0D0D" w:themeColor="text1" w:themeTint="F2"/>
          <w:sz w:val="24"/>
          <w:szCs w:val="24"/>
          <w:shd w:val="clear" w:color="auto" w:fill="FFFFFF"/>
        </w:rPr>
        <w:t>Social service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61</w:t>
      </w:r>
      <w:r w:rsidRPr="007C0CD5">
        <w:rPr>
          <w:rFonts w:ascii="Arial" w:hAnsi="Arial" w:cs="Arial"/>
          <w:color w:val="0D0D0D" w:themeColor="text1" w:themeTint="F2"/>
          <w:sz w:val="24"/>
          <w:szCs w:val="24"/>
          <w:shd w:val="clear" w:color="auto" w:fill="FFFFFF"/>
        </w:rPr>
        <w:t>(3), pp.469-483.</w:t>
      </w:r>
    </w:p>
    <w:p w14:paraId="1BCCEB99"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Hayes, E. (2020) Why Dads Can Feel Sad And Lonely Too. Available at: </w:t>
      </w:r>
      <w:hyperlink r:id="rId24" w:history="1">
        <w:r w:rsidRPr="007C0CD5">
          <w:rPr>
            <w:rFonts w:ascii="Arial" w:hAnsi="Arial" w:cs="Arial"/>
            <w:color w:val="0D0D0D" w:themeColor="text1" w:themeTint="F2"/>
            <w:sz w:val="24"/>
            <w:szCs w:val="24"/>
          </w:rPr>
          <w:t>https://www.familyfriendlyhq.ie/parenthood/health-wellness/dads-lonely-too-11667/</w:t>
        </w:r>
      </w:hyperlink>
      <w:r w:rsidRPr="007C0CD5">
        <w:rPr>
          <w:rFonts w:ascii="Arial" w:hAnsi="Arial" w:cs="Arial"/>
          <w:color w:val="0D0D0D" w:themeColor="text1" w:themeTint="F2"/>
          <w:sz w:val="24"/>
          <w:szCs w:val="24"/>
        </w:rPr>
        <w:t xml:space="preserve"> (Accessed: 15</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1F770B2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CFCFC"/>
        </w:rPr>
      </w:pPr>
      <w:r w:rsidRPr="007C0CD5">
        <w:rPr>
          <w:rFonts w:ascii="Arial" w:hAnsi="Arial" w:cs="Arial"/>
          <w:color w:val="0D0D0D" w:themeColor="text1" w:themeTint="F2"/>
          <w:sz w:val="24"/>
          <w:szCs w:val="24"/>
          <w:shd w:val="clear" w:color="auto" w:fill="FCFCFC"/>
        </w:rPr>
        <w:lastRenderedPageBreak/>
        <w:t>Hays, S. (1996) </w:t>
      </w:r>
      <w:r w:rsidRPr="007C0CD5">
        <w:rPr>
          <w:rFonts w:ascii="Arial" w:hAnsi="Arial" w:cs="Arial"/>
          <w:i/>
          <w:iCs/>
          <w:color w:val="0D0D0D" w:themeColor="text1" w:themeTint="F2"/>
          <w:sz w:val="24"/>
          <w:szCs w:val="24"/>
          <w:shd w:val="clear" w:color="auto" w:fill="FCFCFC"/>
        </w:rPr>
        <w:t>The cultural contradictions of motherhood</w:t>
      </w:r>
      <w:r w:rsidRPr="007C0CD5">
        <w:rPr>
          <w:rFonts w:ascii="Arial" w:hAnsi="Arial" w:cs="Arial"/>
          <w:color w:val="0D0D0D" w:themeColor="text1" w:themeTint="F2"/>
          <w:sz w:val="24"/>
          <w:szCs w:val="24"/>
          <w:shd w:val="clear" w:color="auto" w:fill="FCFCFC"/>
        </w:rPr>
        <w:t>. New Haven: Yale University Press.</w:t>
      </w:r>
    </w:p>
    <w:p w14:paraId="34F394FC"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Style w:val="author"/>
          <w:rFonts w:ascii="Arial" w:hAnsi="Arial" w:cs="Arial"/>
          <w:color w:val="0D0D0D" w:themeColor="text1" w:themeTint="F2"/>
          <w:sz w:val="24"/>
          <w:szCs w:val="24"/>
          <w:shd w:val="clear" w:color="auto" w:fill="FFFFFF"/>
        </w:rPr>
        <w:t>Hertzman, C.</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2000</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The biological embedding of early experience and its effects on health in adulthood</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Annals of the New York Academy of Sciences</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896</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85</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95</w:t>
      </w:r>
      <w:r w:rsidRPr="007C0CD5">
        <w:rPr>
          <w:rFonts w:ascii="Arial" w:hAnsi="Arial" w:cs="Arial"/>
          <w:color w:val="0D0D0D" w:themeColor="text1" w:themeTint="F2"/>
          <w:sz w:val="24"/>
          <w:szCs w:val="24"/>
          <w:shd w:val="clear" w:color="auto" w:fill="FFFFFF"/>
        </w:rPr>
        <w:t>.</w:t>
      </w:r>
    </w:p>
    <w:p w14:paraId="7FA75BC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Hook, J. L. (2006) Care in context: Men's unpaid work in 20 countries, 1965–2003. American Sociological Review, 71(4), 639– 660.</w:t>
      </w:r>
    </w:p>
    <w:p w14:paraId="52784E56"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Hughes, S. and Lewis, H. (2020) ‘Tensions in current curriculum reform and the development of teachers’ professional autonomy’, </w:t>
      </w:r>
      <w:r w:rsidRPr="007C0CD5">
        <w:rPr>
          <w:rFonts w:ascii="Arial" w:hAnsi="Arial" w:cs="Arial"/>
          <w:i/>
          <w:iCs/>
          <w:color w:val="0D0D0D" w:themeColor="text1" w:themeTint="F2"/>
          <w:sz w:val="24"/>
          <w:szCs w:val="24"/>
        </w:rPr>
        <w:t>The curriculum journal</w:t>
      </w:r>
      <w:r w:rsidRPr="007C0CD5">
        <w:rPr>
          <w:rFonts w:ascii="Arial" w:hAnsi="Arial" w:cs="Arial"/>
          <w:color w:val="0D0D0D" w:themeColor="text1" w:themeTint="F2"/>
          <w:sz w:val="24"/>
          <w:szCs w:val="24"/>
        </w:rPr>
        <w:t xml:space="preserve">, 31(2), pp.290-302. DOI: </w:t>
      </w:r>
      <w:hyperlink r:id="rId25" w:history="1">
        <w:r w:rsidRPr="007C0CD5">
          <w:rPr>
            <w:rFonts w:ascii="Arial" w:hAnsi="Arial" w:cs="Arial"/>
            <w:color w:val="0D0D0D" w:themeColor="text1" w:themeTint="F2"/>
            <w:sz w:val="24"/>
            <w:szCs w:val="24"/>
          </w:rPr>
          <w:t>https://doi.org/10.1002/curj.25</w:t>
        </w:r>
      </w:hyperlink>
      <w:r w:rsidRPr="007C0CD5">
        <w:rPr>
          <w:rFonts w:ascii="Arial" w:hAnsi="Arial" w:cs="Arial"/>
          <w:color w:val="0D0D0D" w:themeColor="text1" w:themeTint="F2"/>
          <w:sz w:val="24"/>
          <w:szCs w:val="24"/>
        </w:rPr>
        <w:t xml:space="preserve"> (Accessed: 14th June 2023).</w:t>
      </w:r>
    </w:p>
    <w:p w14:paraId="6C6214E1"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Juby, H., Le Bourdais, C., &amp; Marcil-Gratton, N. (2005) Sharing roles, sharing custody? Couples’ characteristics and children's living arrangements at separation. Journal of Marriage and Family, 67(1), 157– 172.Available at; </w:t>
      </w:r>
      <w:hyperlink r:id="rId26" w:history="1">
        <w:r w:rsidRPr="007C0CD5">
          <w:rPr>
            <w:rStyle w:val="Hyperlink"/>
            <w:rFonts w:ascii="Arial" w:hAnsi="Arial" w:cs="Arial"/>
            <w:color w:val="0D0D0D" w:themeColor="text1" w:themeTint="F2"/>
            <w:sz w:val="24"/>
            <w:szCs w:val="24"/>
          </w:rPr>
          <w:t>https://doi.org/10.1111/j.0022-2445.2005.00012.x</w:t>
        </w:r>
      </w:hyperlink>
      <w:r w:rsidRPr="007C0CD5">
        <w:rPr>
          <w:rFonts w:ascii="Arial" w:hAnsi="Arial" w:cs="Arial"/>
          <w:color w:val="0D0D0D" w:themeColor="text1" w:themeTint="F2"/>
          <w:sz w:val="24"/>
          <w:szCs w:val="24"/>
        </w:rPr>
        <w:t>.</w:t>
      </w:r>
    </w:p>
    <w:p w14:paraId="09C7DB3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Kimmel, M. S. (2010) Misframing Men: The Politics of Contemporary Masculinities. New Brunswick, NJ: Rutgers University Press.</w:t>
      </w:r>
    </w:p>
    <w:p w14:paraId="5330F6E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Lewis, Z. (2021) Policy and the image of the child: a critical analysis of drivers and levers in English early years curriculum policy. </w:t>
      </w:r>
      <w:r w:rsidRPr="007C0CD5">
        <w:rPr>
          <w:rFonts w:ascii="Arial" w:hAnsi="Arial" w:cs="Arial"/>
          <w:i/>
          <w:iCs/>
          <w:color w:val="0D0D0D" w:themeColor="text1" w:themeTint="F2"/>
          <w:sz w:val="24"/>
          <w:szCs w:val="24"/>
          <w:shd w:val="clear" w:color="auto" w:fill="FFFFFF"/>
        </w:rPr>
        <w:t>Early Years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(4), pp.321-335.</w:t>
      </w:r>
    </w:p>
    <w:p w14:paraId="187C479F"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LINC (2020) ‘Six Reasons why working in Partnership with Parents is so Important’, </w:t>
      </w:r>
      <w:r w:rsidRPr="007C0CD5">
        <w:rPr>
          <w:rFonts w:ascii="Arial" w:hAnsi="Arial" w:cs="Arial"/>
          <w:i/>
          <w:iCs/>
          <w:color w:val="0D0D0D" w:themeColor="text1" w:themeTint="F2"/>
          <w:sz w:val="24"/>
          <w:szCs w:val="24"/>
          <w:shd w:val="clear" w:color="auto" w:fill="FFFFFF"/>
        </w:rPr>
        <w:t xml:space="preserve">LINC Programme Blog </w:t>
      </w:r>
      <w:r w:rsidRPr="007C0CD5">
        <w:rPr>
          <w:rFonts w:ascii="Arial" w:hAnsi="Arial" w:cs="Arial"/>
          <w:color w:val="0D0D0D" w:themeColor="text1" w:themeTint="F2"/>
          <w:sz w:val="24"/>
          <w:szCs w:val="24"/>
          <w:shd w:val="clear" w:color="auto" w:fill="FFFFFF"/>
        </w:rPr>
        <w:t xml:space="preserve">[blog]. 21 January. Available at: </w:t>
      </w:r>
      <w:hyperlink r:id="rId27" w:history="1">
        <w:r w:rsidRPr="007C0CD5">
          <w:rPr>
            <w:rStyle w:val="Hyperlink"/>
            <w:rFonts w:ascii="Arial" w:hAnsi="Arial" w:cs="Arial"/>
            <w:color w:val="0D0D0D" w:themeColor="text1" w:themeTint="F2"/>
            <w:sz w:val="24"/>
            <w:szCs w:val="24"/>
            <w:u w:val="none"/>
          </w:rPr>
          <w:t>Six Reasons why Partnership with Parents is so Important | Leadership for Inclusion, LINC Programme</w:t>
        </w:r>
      </w:hyperlink>
      <w:r w:rsidRPr="007C0CD5">
        <w:rPr>
          <w:rFonts w:ascii="Arial" w:hAnsi="Arial" w:cs="Arial"/>
          <w:color w:val="0D0D0D" w:themeColor="text1" w:themeTint="F2"/>
          <w:sz w:val="24"/>
          <w:szCs w:val="24"/>
        </w:rPr>
        <w:t xml:space="preserve"> (Accessed: 11</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72D45A7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Lumby, J. (2013) ‘Distributed leadership: The uses and abuses of power’, </w:t>
      </w:r>
      <w:r w:rsidRPr="007C0CD5">
        <w:rPr>
          <w:rFonts w:ascii="Arial" w:hAnsi="Arial" w:cs="Arial"/>
          <w:i/>
          <w:iCs/>
          <w:color w:val="0D0D0D" w:themeColor="text1" w:themeTint="F2"/>
          <w:sz w:val="24"/>
          <w:szCs w:val="24"/>
          <w:shd w:val="clear" w:color="auto" w:fill="FFFFFF"/>
        </w:rPr>
        <w:t>Educational Management Administration &amp; Leadership</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(5), pp.581-597.</w:t>
      </w:r>
    </w:p>
    <w:p w14:paraId="579FF19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Martell, N. (2015) </w:t>
      </w:r>
      <w:r w:rsidRPr="007C0CD5">
        <w:rPr>
          <w:rFonts w:ascii="Arial" w:hAnsi="Arial" w:cs="Arial"/>
          <w:i/>
          <w:iCs/>
          <w:color w:val="0D0D0D" w:themeColor="text1" w:themeTint="F2"/>
          <w:sz w:val="24"/>
          <w:szCs w:val="24"/>
        </w:rPr>
        <w:t>Why it’s not easy to be a dad in a mom’s world</w:t>
      </w:r>
      <w:r w:rsidRPr="007C0CD5">
        <w:rPr>
          <w:rFonts w:ascii="Arial" w:hAnsi="Arial" w:cs="Arial"/>
          <w:color w:val="0D0D0D" w:themeColor="text1" w:themeTint="F2"/>
          <w:sz w:val="24"/>
          <w:szCs w:val="24"/>
        </w:rPr>
        <w:t xml:space="preserve">. Available at: </w:t>
      </w:r>
      <w:hyperlink r:id="rId28" w:history="1">
        <w:r w:rsidRPr="007C0CD5">
          <w:rPr>
            <w:rFonts w:ascii="Arial" w:hAnsi="Arial" w:cs="Arial"/>
            <w:color w:val="0D0D0D" w:themeColor="text1" w:themeTint="F2"/>
            <w:sz w:val="24"/>
            <w:szCs w:val="24"/>
          </w:rPr>
          <w:t>https://www.washingtonpost.com/news/parenting/wp/2015/04/20/im-a-dad-in-a-moms-world/</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2E04A7BE"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McCain, M. N. (2011). </w:t>
      </w:r>
      <w:r w:rsidRPr="007C0CD5">
        <w:rPr>
          <w:rFonts w:ascii="Arial" w:hAnsi="Arial" w:cs="Arial"/>
          <w:i/>
          <w:iCs/>
          <w:color w:val="0D0D0D" w:themeColor="text1" w:themeTint="F2"/>
          <w:sz w:val="24"/>
          <w:szCs w:val="24"/>
          <w:shd w:val="clear" w:color="auto" w:fill="FFFFFF"/>
        </w:rPr>
        <w:t>Early years study 3</w:t>
      </w:r>
      <w:r w:rsidRPr="007C0CD5">
        <w:rPr>
          <w:rFonts w:ascii="Arial" w:hAnsi="Arial" w:cs="Arial"/>
          <w:color w:val="0D0D0D" w:themeColor="text1" w:themeTint="F2"/>
          <w:sz w:val="24"/>
          <w:szCs w:val="24"/>
          <w:shd w:val="clear" w:color="auto" w:fill="FFFFFF"/>
        </w:rPr>
        <w:t>. desLibris</w:t>
      </w:r>
    </w:p>
    <w:p w14:paraId="03A3F51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lastRenderedPageBreak/>
        <w:t>McClure, C.R. and Jaeger, P.T. (2008) ‘Government information policy research: Importance, approaches, and realities’, </w:t>
      </w:r>
      <w:r w:rsidRPr="007C0CD5">
        <w:rPr>
          <w:rFonts w:ascii="Arial" w:hAnsi="Arial" w:cs="Arial"/>
          <w:i/>
          <w:iCs/>
          <w:color w:val="0D0D0D" w:themeColor="text1" w:themeTint="F2"/>
          <w:sz w:val="24"/>
          <w:szCs w:val="24"/>
          <w:shd w:val="clear" w:color="auto" w:fill="FFFFFF"/>
        </w:rPr>
        <w:t>Library &amp; Information Science Research</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30</w:t>
      </w:r>
      <w:r w:rsidRPr="007C0CD5">
        <w:rPr>
          <w:rFonts w:ascii="Arial" w:hAnsi="Arial" w:cs="Arial"/>
          <w:color w:val="0D0D0D" w:themeColor="text1" w:themeTint="F2"/>
          <w:sz w:val="24"/>
          <w:szCs w:val="24"/>
          <w:shd w:val="clear" w:color="auto" w:fill="FFFFFF"/>
        </w:rPr>
        <w:t>(4), pp.257-264.</w:t>
      </w:r>
    </w:p>
    <w:p w14:paraId="43FE8817"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Style w:val="author"/>
          <w:rFonts w:ascii="Arial" w:hAnsi="Arial" w:cs="Arial"/>
          <w:color w:val="0D0D0D" w:themeColor="text1" w:themeTint="F2"/>
          <w:sz w:val="24"/>
          <w:szCs w:val="24"/>
          <w:shd w:val="clear" w:color="auto" w:fill="FFFFFF"/>
        </w:rPr>
        <w:t>Meaney, M.</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2010</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Epigenetics and the biological definition of Gene</w:t>
      </w:r>
      <w:r w:rsidRPr="007C0CD5">
        <w:rPr>
          <w:rStyle w:val="articletitle"/>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w:t>
      </w:r>
      <w:r w:rsidRPr="007C0CD5">
        <w:rPr>
          <w:rStyle w:val="articletitle"/>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Environment interactions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Child Development</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81</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41</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79</w:t>
      </w:r>
      <w:r w:rsidRPr="007C0CD5">
        <w:rPr>
          <w:rFonts w:ascii="Arial" w:hAnsi="Arial" w:cs="Arial"/>
          <w:color w:val="0D0D0D" w:themeColor="text1" w:themeTint="F2"/>
          <w:sz w:val="24"/>
          <w:szCs w:val="24"/>
          <w:shd w:val="clear" w:color="auto" w:fill="FFFFFF"/>
        </w:rPr>
        <w:t>.</w:t>
      </w:r>
    </w:p>
    <w:p w14:paraId="16B7A330"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Mensing, J.F., French, D., Fuller, B. and Kagan, S.L. (2000) Child care selection under welfare reform: How mothers balance work requirements and parenting. </w:t>
      </w:r>
      <w:r w:rsidRPr="007C0CD5">
        <w:rPr>
          <w:rFonts w:ascii="Arial" w:eastAsia="Times New Roman" w:hAnsi="Arial" w:cs="Arial"/>
          <w:i/>
          <w:iCs/>
          <w:color w:val="0D0D0D" w:themeColor="text1" w:themeTint="F2"/>
          <w:sz w:val="24"/>
          <w:szCs w:val="24"/>
          <w:shd w:val="clear" w:color="auto" w:fill="FFFFFF"/>
          <w:lang w:eastAsia="en-GB"/>
        </w:rPr>
        <w:t>Early Education and Development</w:t>
      </w:r>
      <w:r w:rsidRPr="007C0CD5">
        <w:rPr>
          <w:rFonts w:ascii="Arial" w:eastAsia="Times New Roman" w:hAnsi="Arial" w:cs="Arial"/>
          <w:color w:val="0D0D0D" w:themeColor="text1" w:themeTint="F2"/>
          <w:sz w:val="24"/>
          <w:szCs w:val="24"/>
          <w:shd w:val="clear" w:color="auto" w:fill="FFFFFF"/>
          <w:lang w:eastAsia="en-GB"/>
        </w:rPr>
        <w:t>, </w:t>
      </w:r>
      <w:r w:rsidRPr="007C0CD5">
        <w:rPr>
          <w:rFonts w:ascii="Arial" w:eastAsia="Times New Roman" w:hAnsi="Arial" w:cs="Arial"/>
          <w:i/>
          <w:iCs/>
          <w:color w:val="0D0D0D" w:themeColor="text1" w:themeTint="F2"/>
          <w:sz w:val="24"/>
          <w:szCs w:val="24"/>
          <w:shd w:val="clear" w:color="auto" w:fill="FFFFFF"/>
          <w:lang w:eastAsia="en-GB"/>
        </w:rPr>
        <w:t>11</w:t>
      </w:r>
      <w:r w:rsidRPr="007C0CD5">
        <w:rPr>
          <w:rFonts w:ascii="Arial" w:eastAsia="Times New Roman" w:hAnsi="Arial" w:cs="Arial"/>
          <w:color w:val="0D0D0D" w:themeColor="text1" w:themeTint="F2"/>
          <w:sz w:val="24"/>
          <w:szCs w:val="24"/>
          <w:shd w:val="clear" w:color="auto" w:fill="FFFFFF"/>
          <w:lang w:eastAsia="en-GB"/>
        </w:rPr>
        <w:t>(5), pp.573-595.</w:t>
      </w:r>
    </w:p>
    <w:p w14:paraId="1DFC3132"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Mngo, Z.Y. and Mngo, A.Y. (2018) ‘Teachers’ perceptions of inclusion in a pilot inclusive education program: Implications for instructional leadership’, </w:t>
      </w:r>
      <w:r w:rsidRPr="007C0CD5">
        <w:rPr>
          <w:rFonts w:ascii="Arial" w:hAnsi="Arial" w:cs="Arial"/>
          <w:i/>
          <w:iCs/>
          <w:color w:val="0D0D0D" w:themeColor="text1" w:themeTint="F2"/>
          <w:sz w:val="24"/>
          <w:szCs w:val="24"/>
        </w:rPr>
        <w:t xml:space="preserve">Education Research International. </w:t>
      </w:r>
      <w:r w:rsidRPr="007C0CD5">
        <w:rPr>
          <w:rFonts w:ascii="Arial" w:hAnsi="Arial" w:cs="Arial"/>
          <w:color w:val="0D0D0D" w:themeColor="text1" w:themeTint="F2"/>
          <w:sz w:val="24"/>
          <w:szCs w:val="24"/>
        </w:rPr>
        <w:t xml:space="preserve">URL: </w:t>
      </w:r>
      <w:hyperlink r:id="rId29" w:history="1">
        <w:r w:rsidRPr="007C0CD5">
          <w:rPr>
            <w:rFonts w:ascii="Arial" w:hAnsi="Arial" w:cs="Arial"/>
            <w:color w:val="0D0D0D" w:themeColor="text1" w:themeTint="F2"/>
            <w:sz w:val="24"/>
            <w:szCs w:val="24"/>
          </w:rPr>
          <w:t>https://www.hindawi.com/journals/edri/2018/3524879/</w:t>
        </w:r>
      </w:hyperlink>
      <w:r w:rsidRPr="007C0CD5">
        <w:rPr>
          <w:rFonts w:ascii="Arial" w:hAnsi="Arial" w:cs="Arial"/>
          <w:color w:val="0D0D0D" w:themeColor="text1" w:themeTint="F2"/>
          <w:sz w:val="24"/>
          <w:szCs w:val="24"/>
        </w:rPr>
        <w:t xml:space="preserve"> (Accessed: 11</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6EF80CF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Mullins, L. (2021) </w:t>
      </w:r>
      <w:r w:rsidRPr="007C0CD5">
        <w:rPr>
          <w:rFonts w:ascii="Arial" w:hAnsi="Arial" w:cs="Arial"/>
          <w:i/>
          <w:iCs/>
          <w:color w:val="0D0D0D" w:themeColor="text1" w:themeTint="F2"/>
          <w:sz w:val="24"/>
          <w:szCs w:val="24"/>
        </w:rPr>
        <w:t>Will social workers take your children away?</w:t>
      </w:r>
      <w:r w:rsidRPr="007C0CD5">
        <w:rPr>
          <w:rFonts w:ascii="Arial" w:hAnsi="Arial" w:cs="Arial"/>
          <w:color w:val="0D0D0D" w:themeColor="text1" w:themeTint="F2"/>
          <w:sz w:val="24"/>
          <w:szCs w:val="24"/>
        </w:rPr>
        <w:t xml:space="preserve"> Available at: </w:t>
      </w:r>
      <w:hyperlink r:id="rId30" w:history="1">
        <w:r w:rsidRPr="007C0CD5">
          <w:rPr>
            <w:rStyle w:val="Hyperlink"/>
            <w:rFonts w:ascii="Arial" w:hAnsi="Arial" w:cs="Arial"/>
            <w:color w:val="0D0D0D" w:themeColor="text1" w:themeTint="F2"/>
            <w:sz w:val="24"/>
            <w:szCs w:val="24"/>
            <w:u w:val="none"/>
          </w:rPr>
          <w:t>https://www.rte.ie/brainstorm/2021/0628/1231750-ireland-social-workers-tusla-children/</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3D15B28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 xml:space="preserve">Murray, J. (2019) ‘Hearing young children’s voices’, </w:t>
      </w:r>
      <w:r w:rsidRPr="007C0CD5">
        <w:rPr>
          <w:rFonts w:ascii="Arial" w:hAnsi="Arial" w:cs="Arial"/>
          <w:i/>
          <w:iCs/>
          <w:color w:val="0D0D0D" w:themeColor="text1" w:themeTint="F2"/>
          <w:sz w:val="24"/>
          <w:szCs w:val="24"/>
          <w:shd w:val="clear" w:color="auto" w:fill="FFFFFF"/>
        </w:rPr>
        <w:t xml:space="preserve">International Journal of Early Years Education, </w:t>
      </w:r>
      <w:r w:rsidRPr="007C0CD5">
        <w:rPr>
          <w:rFonts w:ascii="Arial" w:hAnsi="Arial" w:cs="Arial"/>
          <w:color w:val="0D0D0D" w:themeColor="text1" w:themeTint="F2"/>
          <w:sz w:val="24"/>
          <w:szCs w:val="24"/>
          <w:shd w:val="clear" w:color="auto" w:fill="FFFFFF"/>
        </w:rPr>
        <w:t xml:space="preserve">27(1), pp. 1-5. </w:t>
      </w:r>
    </w:p>
    <w:p w14:paraId="046F90D6"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Murray, M. and Elchert, T.L. (2020) PREPARING EARLY CHILDHOOD EDUCATORS FOR INCLUSIVE PRACTICE. </w:t>
      </w:r>
      <w:r w:rsidRPr="007C0CD5">
        <w:rPr>
          <w:rFonts w:ascii="Arial" w:hAnsi="Arial" w:cs="Arial"/>
          <w:i/>
          <w:iCs/>
          <w:color w:val="0D0D0D" w:themeColor="text1" w:themeTint="F2"/>
          <w:sz w:val="24"/>
          <w:szCs w:val="24"/>
          <w:shd w:val="clear" w:color="auto" w:fill="FFFFFF"/>
        </w:rPr>
        <w:t>Inclusive Education: A Systematic Perspective</w:t>
      </w:r>
      <w:r w:rsidRPr="007C0CD5">
        <w:rPr>
          <w:rFonts w:ascii="Arial" w:hAnsi="Arial" w:cs="Arial"/>
          <w:color w:val="0D0D0D" w:themeColor="text1" w:themeTint="F2"/>
          <w:sz w:val="24"/>
          <w:szCs w:val="24"/>
          <w:shd w:val="clear" w:color="auto" w:fill="FFFFFF"/>
        </w:rPr>
        <w:t>, p.265.</w:t>
      </w:r>
    </w:p>
    <w:p w14:paraId="47140B67"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Newstead, S. and Isles-Buck, E. (2019) </w:t>
      </w:r>
      <w:r w:rsidRPr="007C0CD5">
        <w:rPr>
          <w:rFonts w:ascii="Arial" w:hAnsi="Arial" w:cs="Arial"/>
          <w:i/>
          <w:iCs/>
          <w:color w:val="0D0D0D" w:themeColor="text1" w:themeTint="F2"/>
          <w:sz w:val="24"/>
          <w:szCs w:val="24"/>
          <w:shd w:val="clear" w:color="auto" w:fill="FFFFFF"/>
        </w:rPr>
        <w:t>Essential skills for managers of child-centred settings</w:t>
      </w:r>
      <w:r w:rsidRPr="007C0CD5">
        <w:rPr>
          <w:rFonts w:ascii="Arial" w:hAnsi="Arial" w:cs="Arial"/>
          <w:color w:val="0D0D0D" w:themeColor="text1" w:themeTint="F2"/>
          <w:sz w:val="24"/>
          <w:szCs w:val="24"/>
          <w:shd w:val="clear" w:color="auto" w:fill="FFFFFF"/>
        </w:rPr>
        <w:t>. London: Routledge.</w:t>
      </w:r>
    </w:p>
    <w:p w14:paraId="670647F5"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Nieveen, N. &amp; Kuiper, W. (2012) Balancing curriculum freedom and regulation in the Netherlands, European Educational Research Journal, 11(3), 357– 368. Available at; </w:t>
      </w:r>
      <w:hyperlink r:id="rId31" w:history="1">
        <w:r w:rsidRPr="007C0CD5">
          <w:rPr>
            <w:rStyle w:val="Hyperlink"/>
            <w:rFonts w:ascii="Arial" w:hAnsi="Arial" w:cs="Arial"/>
            <w:color w:val="0D0D0D" w:themeColor="text1" w:themeTint="F2"/>
            <w:sz w:val="24"/>
            <w:szCs w:val="24"/>
          </w:rPr>
          <w:t>https://doi.org/10.2304/eerj.2012.11.3.357</w:t>
        </w:r>
      </w:hyperlink>
    </w:p>
    <w:p w14:paraId="77035E2A"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NSPCC (2019) </w:t>
      </w:r>
      <w:r w:rsidRPr="007C0CD5">
        <w:rPr>
          <w:rFonts w:ascii="Arial" w:hAnsi="Arial" w:cs="Arial"/>
          <w:i/>
          <w:iCs/>
          <w:color w:val="0D0D0D" w:themeColor="text1" w:themeTint="F2"/>
          <w:sz w:val="24"/>
          <w:szCs w:val="24"/>
        </w:rPr>
        <w:t>Multi-agency working.</w:t>
      </w:r>
      <w:r w:rsidRPr="007C0CD5">
        <w:rPr>
          <w:rFonts w:ascii="Arial" w:hAnsi="Arial" w:cs="Arial"/>
          <w:color w:val="0D0D0D" w:themeColor="text1" w:themeTint="F2"/>
          <w:sz w:val="24"/>
          <w:szCs w:val="24"/>
        </w:rPr>
        <w:t xml:space="preserve"> Available at: </w:t>
      </w:r>
      <w:hyperlink r:id="rId32" w:anchor="heading-top" w:history="1">
        <w:r w:rsidRPr="007C0CD5">
          <w:rPr>
            <w:rStyle w:val="Hyperlink"/>
            <w:rFonts w:ascii="Arial" w:hAnsi="Arial" w:cs="Arial"/>
            <w:color w:val="0D0D0D" w:themeColor="text1" w:themeTint="F2"/>
            <w:sz w:val="24"/>
            <w:szCs w:val="24"/>
            <w:u w:val="none"/>
          </w:rPr>
          <w:t>https://learning.nspcc.org.uk/child-protection-system/multi-agency-working-child-protection#heading-top</w:t>
        </w:r>
      </w:hyperlink>
      <w:r w:rsidRPr="007C0CD5">
        <w:rPr>
          <w:rFonts w:ascii="Arial" w:hAnsi="Arial" w:cs="Arial"/>
          <w:color w:val="0D0D0D" w:themeColor="text1" w:themeTint="F2"/>
          <w:sz w:val="24"/>
          <w:szCs w:val="24"/>
        </w:rPr>
        <w:t xml:space="preserve"> (Accessed: 8</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57405B21"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Nutbrown, C and Clough, P (2013) </w:t>
      </w:r>
      <w:r w:rsidRPr="007C0CD5">
        <w:rPr>
          <w:rFonts w:ascii="Arial" w:hAnsi="Arial" w:cs="Arial"/>
          <w:i/>
          <w:iCs/>
          <w:color w:val="0D0D0D" w:themeColor="text1" w:themeTint="F2"/>
          <w:sz w:val="24"/>
          <w:szCs w:val="24"/>
        </w:rPr>
        <w:t>Inclusion in the Early Years.</w:t>
      </w:r>
      <w:r w:rsidRPr="007C0CD5">
        <w:rPr>
          <w:rFonts w:ascii="Arial" w:hAnsi="Arial" w:cs="Arial"/>
          <w:color w:val="0D0D0D" w:themeColor="text1" w:themeTint="F2"/>
          <w:sz w:val="24"/>
          <w:szCs w:val="24"/>
        </w:rPr>
        <w:t xml:space="preserve"> London. Second Edition. Available:</w:t>
      </w:r>
      <w:hyperlink r:id="rId33" w:anchor="v=onepage&amp;q=early%20years%20inclusion&amp;f=false" w:history="1">
        <w:r w:rsidRPr="007C0CD5">
          <w:rPr>
            <w:rStyle w:val="Hyperlink"/>
            <w:rFonts w:ascii="Arial" w:hAnsi="Arial" w:cs="Arial"/>
            <w:color w:val="0D0D0D" w:themeColor="text1" w:themeTint="F2"/>
            <w:sz w:val="24"/>
            <w:szCs w:val="24"/>
            <w:u w:val="none"/>
          </w:rPr>
          <w:t>https://books.google.co.uk/books?hl=en&amp;lr=&amp;id=3kFPi4U4iXwC&amp;oi=fnd&amp;p</w:t>
        </w:r>
        <w:r w:rsidRPr="007C0CD5">
          <w:rPr>
            <w:rStyle w:val="Hyperlink"/>
            <w:rFonts w:ascii="Arial" w:hAnsi="Arial" w:cs="Arial"/>
            <w:color w:val="0D0D0D" w:themeColor="text1" w:themeTint="F2"/>
            <w:sz w:val="24"/>
            <w:szCs w:val="24"/>
            <w:u w:val="none"/>
          </w:rPr>
          <w:lastRenderedPageBreak/>
          <w:t>g=PP2&amp;dq=early+years+inclusion+&amp;ots=HVxfEXtBU_&amp;sig=SUTPNMJqdYex-oDWcAvZvCSIP-g&amp;redir_esc=y#v=onepage&amp;q=early%20years%20inclusion&amp;f=false</w:t>
        </w:r>
      </w:hyperlink>
      <w:r w:rsidRPr="007C0CD5">
        <w:rPr>
          <w:rFonts w:ascii="Arial" w:hAnsi="Arial" w:cs="Arial"/>
          <w:color w:val="0D0D0D" w:themeColor="text1" w:themeTint="F2"/>
          <w:sz w:val="24"/>
          <w:szCs w:val="24"/>
        </w:rPr>
        <w:t xml:space="preserve"> </w:t>
      </w:r>
      <w:r w:rsidRPr="007C0CD5">
        <w:rPr>
          <w:rStyle w:val="Hyperlink"/>
          <w:rFonts w:ascii="Arial" w:hAnsi="Arial" w:cs="Arial"/>
          <w:color w:val="0D0D0D" w:themeColor="text1" w:themeTint="F2"/>
          <w:sz w:val="24"/>
          <w:szCs w:val="24"/>
          <w:u w:val="none"/>
        </w:rPr>
        <w:t>(Accessed: 18</w:t>
      </w:r>
      <w:r w:rsidRPr="007C0CD5">
        <w:rPr>
          <w:rStyle w:val="Hyperlink"/>
          <w:rFonts w:ascii="Arial" w:hAnsi="Arial" w:cs="Arial"/>
          <w:color w:val="0D0D0D" w:themeColor="text1" w:themeTint="F2"/>
          <w:sz w:val="24"/>
          <w:szCs w:val="24"/>
          <w:u w:val="none"/>
          <w:vertAlign w:val="superscript"/>
        </w:rPr>
        <w:t>th</w:t>
      </w:r>
      <w:r w:rsidRPr="007C0CD5">
        <w:rPr>
          <w:rStyle w:val="Hyperlink"/>
          <w:rFonts w:ascii="Arial" w:hAnsi="Arial" w:cs="Arial"/>
          <w:color w:val="0D0D0D" w:themeColor="text1" w:themeTint="F2"/>
          <w:sz w:val="24"/>
          <w:szCs w:val="24"/>
          <w:u w:val="none"/>
        </w:rPr>
        <w:t xml:space="preserve"> June 2023</w:t>
      </w:r>
    </w:p>
    <w:p w14:paraId="5AF4F427"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 xml:space="preserve">O’Connor, M. </w:t>
      </w:r>
      <w:r w:rsidRPr="007C0CD5">
        <w:rPr>
          <w:rFonts w:ascii="Arial" w:eastAsia="Times New Roman" w:hAnsi="Arial" w:cs="Arial"/>
          <w:i/>
          <w:iCs/>
          <w:color w:val="0D0D0D" w:themeColor="text1" w:themeTint="F2"/>
          <w:sz w:val="24"/>
          <w:szCs w:val="24"/>
          <w:shd w:val="clear" w:color="auto" w:fill="FFFFFF"/>
          <w:lang w:eastAsia="en-GB"/>
        </w:rPr>
        <w:t>et al.</w:t>
      </w:r>
      <w:r w:rsidRPr="007C0CD5">
        <w:rPr>
          <w:rFonts w:ascii="Arial" w:eastAsia="Times New Roman" w:hAnsi="Arial" w:cs="Arial"/>
          <w:color w:val="0D0D0D" w:themeColor="text1" w:themeTint="F2"/>
          <w:sz w:val="24"/>
          <w:szCs w:val="24"/>
          <w:shd w:val="clear" w:color="auto" w:fill="FFFFFF"/>
          <w:lang w:eastAsia="en-GB"/>
        </w:rPr>
        <w:t xml:space="preserve"> (2011) ‘Pupil voice: listening to and hearing the educational experiences of young people with behavioural, emotional and social difficulties (BESD)’, </w:t>
      </w:r>
      <w:r w:rsidRPr="007C0CD5">
        <w:rPr>
          <w:rFonts w:ascii="Arial" w:eastAsia="Times New Roman" w:hAnsi="Arial" w:cs="Arial"/>
          <w:i/>
          <w:iCs/>
          <w:color w:val="0D0D0D" w:themeColor="text1" w:themeTint="F2"/>
          <w:sz w:val="24"/>
          <w:szCs w:val="24"/>
          <w:shd w:val="clear" w:color="auto" w:fill="FFFFFF"/>
          <w:lang w:eastAsia="en-GB"/>
        </w:rPr>
        <w:t>Emotional and behavioural difficulties</w:t>
      </w:r>
      <w:r w:rsidRPr="007C0CD5">
        <w:rPr>
          <w:rFonts w:ascii="Arial" w:eastAsia="Times New Roman" w:hAnsi="Arial" w:cs="Arial"/>
          <w:color w:val="0D0D0D" w:themeColor="text1" w:themeTint="F2"/>
          <w:sz w:val="24"/>
          <w:szCs w:val="24"/>
          <w:shd w:val="clear" w:color="auto" w:fill="FFFFFF"/>
          <w:lang w:eastAsia="en-GB"/>
        </w:rPr>
        <w:t>, 16(3), pp. 289–302.</w:t>
      </w:r>
    </w:p>
    <w:p w14:paraId="02475CFB"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OECD (2017) </w:t>
      </w:r>
      <w:r w:rsidRPr="007C0CD5">
        <w:rPr>
          <w:rFonts w:ascii="Arial" w:hAnsi="Arial" w:cs="Arial"/>
          <w:i/>
          <w:iCs/>
          <w:color w:val="0D0D0D" w:themeColor="text1" w:themeTint="F2"/>
          <w:sz w:val="24"/>
          <w:szCs w:val="24"/>
        </w:rPr>
        <w:t>Wales should continue reforms to boost quality and equity of school system.</w:t>
      </w:r>
      <w:r w:rsidRPr="007C0CD5">
        <w:rPr>
          <w:rFonts w:ascii="Arial" w:hAnsi="Arial" w:cs="Arial"/>
          <w:color w:val="0D0D0D" w:themeColor="text1" w:themeTint="F2"/>
          <w:sz w:val="24"/>
          <w:szCs w:val="24"/>
        </w:rPr>
        <w:t xml:space="preserve"> Available at: </w:t>
      </w:r>
      <w:hyperlink r:id="rId34" w:anchor=":~:text=28%2F02%2F2017%20-%20Wales%20should%20continue%20its%20efforts%20to,school%20system%2C%20according%20to%20a%20new%20OECD%20report" w:history="1">
        <w:r w:rsidRPr="007C0CD5">
          <w:rPr>
            <w:rFonts w:ascii="Arial" w:hAnsi="Arial" w:cs="Arial"/>
            <w:color w:val="0D0D0D" w:themeColor="text1" w:themeTint="F2"/>
            <w:sz w:val="24"/>
            <w:szCs w:val="24"/>
          </w:rPr>
          <w:t>https://www.oecd.org/education/wales-should-continue-reforms-to-boost-quality-and-equity-of-school-system.htm#:~:text=28%2F02%2F2017%20-%20Wales%20should%20continue%20its%20efforts%20to,school%20system%2C%20according%20to%20a%20new%20OECD%20report</w:t>
        </w:r>
      </w:hyperlink>
      <w:r w:rsidRPr="007C0CD5">
        <w:rPr>
          <w:rFonts w:ascii="Arial" w:hAnsi="Arial" w:cs="Arial"/>
          <w:color w:val="0D0D0D" w:themeColor="text1" w:themeTint="F2"/>
          <w:sz w:val="24"/>
          <w:szCs w:val="24"/>
        </w:rPr>
        <w:t>. (Accessed:13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 </w:t>
      </w:r>
    </w:p>
    <w:p w14:paraId="06C6B060"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Olson, M. and Hyson, M. (2005) NAEYC explores parental perspectives on early childhood education. </w:t>
      </w:r>
      <w:r w:rsidRPr="007C0CD5">
        <w:rPr>
          <w:rFonts w:ascii="Arial" w:eastAsia="Times New Roman" w:hAnsi="Arial" w:cs="Arial"/>
          <w:i/>
          <w:iCs/>
          <w:color w:val="0D0D0D" w:themeColor="text1" w:themeTint="F2"/>
          <w:sz w:val="24"/>
          <w:szCs w:val="24"/>
          <w:shd w:val="clear" w:color="auto" w:fill="FFFFFF"/>
          <w:lang w:eastAsia="en-GB"/>
        </w:rPr>
        <w:t>YC Young Children</w:t>
      </w:r>
      <w:r w:rsidRPr="007C0CD5">
        <w:rPr>
          <w:rFonts w:ascii="Arial" w:eastAsia="Times New Roman" w:hAnsi="Arial" w:cs="Arial"/>
          <w:color w:val="0D0D0D" w:themeColor="text1" w:themeTint="F2"/>
          <w:sz w:val="24"/>
          <w:szCs w:val="24"/>
          <w:shd w:val="clear" w:color="auto" w:fill="FFFFFF"/>
          <w:lang w:eastAsia="en-GB"/>
        </w:rPr>
        <w:t>, </w:t>
      </w:r>
      <w:r w:rsidRPr="007C0CD5">
        <w:rPr>
          <w:rFonts w:ascii="Arial" w:eastAsia="Times New Roman" w:hAnsi="Arial" w:cs="Arial"/>
          <w:i/>
          <w:iCs/>
          <w:color w:val="0D0D0D" w:themeColor="text1" w:themeTint="F2"/>
          <w:sz w:val="24"/>
          <w:szCs w:val="24"/>
          <w:shd w:val="clear" w:color="auto" w:fill="FFFFFF"/>
          <w:lang w:eastAsia="en-GB"/>
        </w:rPr>
        <w:t>60</w:t>
      </w:r>
      <w:r w:rsidRPr="007C0CD5">
        <w:rPr>
          <w:rFonts w:ascii="Arial" w:eastAsia="Times New Roman" w:hAnsi="Arial" w:cs="Arial"/>
          <w:color w:val="0D0D0D" w:themeColor="text1" w:themeTint="F2"/>
          <w:sz w:val="24"/>
          <w:szCs w:val="24"/>
          <w:shd w:val="clear" w:color="auto" w:fill="FFFFFF"/>
          <w:lang w:eastAsia="en-GB"/>
        </w:rPr>
        <w:t>(3), p.66.</w:t>
      </w:r>
    </w:p>
    <w:p w14:paraId="0F690648" w14:textId="77777777" w:rsidR="007C0CD5" w:rsidRPr="007C0CD5" w:rsidRDefault="007C0CD5" w:rsidP="007C0CD5">
      <w:pPr>
        <w:spacing w:after="0"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Polat, F. (2011) ‘Inclusion in education: A step towards social justice. </w:t>
      </w:r>
      <w:r w:rsidRPr="007C0CD5">
        <w:rPr>
          <w:rFonts w:ascii="Arial" w:hAnsi="Arial" w:cs="Arial"/>
          <w:i/>
          <w:iCs/>
          <w:color w:val="0D0D0D" w:themeColor="text1" w:themeTint="F2"/>
          <w:sz w:val="24"/>
          <w:szCs w:val="24"/>
          <w:shd w:val="clear" w:color="auto" w:fill="FFFFFF"/>
        </w:rPr>
        <w:t>International Journal of Educational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31</w:t>
      </w:r>
      <w:r w:rsidRPr="007C0CD5">
        <w:rPr>
          <w:rFonts w:ascii="Arial" w:hAnsi="Arial" w:cs="Arial"/>
          <w:color w:val="0D0D0D" w:themeColor="text1" w:themeTint="F2"/>
          <w:sz w:val="24"/>
          <w:szCs w:val="24"/>
          <w:shd w:val="clear" w:color="auto" w:fill="FFFFFF"/>
        </w:rPr>
        <w:t>(1), pp.50-58.</w:t>
      </w:r>
    </w:p>
    <w:p w14:paraId="4B22B37D"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Ramadhini, C. and Manafe, L.A. (2022) The Leader Effective Communication in Solving Employee Conflict; REACH Analysis. International Journal of Economics Development Research (IJEDR), 3(2), pp.172-188.</w:t>
      </w:r>
    </w:p>
    <w:p w14:paraId="0D4CADF9" w14:textId="77777777" w:rsidR="007C0CD5" w:rsidRPr="007C0CD5" w:rsidRDefault="007C0CD5" w:rsidP="007C0CD5">
      <w:pPr>
        <w:spacing w:after="0" w:line="360" w:lineRule="auto"/>
        <w:jc w:val="both"/>
        <w:rPr>
          <w:rFonts w:ascii="Arial" w:eastAsia="Times New Roman" w:hAnsi="Arial" w:cs="Arial"/>
          <w:color w:val="0D0D0D" w:themeColor="text1" w:themeTint="F2"/>
          <w:sz w:val="24"/>
          <w:szCs w:val="24"/>
          <w:shd w:val="clear" w:color="auto" w:fill="FFFFFF"/>
          <w:lang w:eastAsia="en-GB"/>
        </w:rPr>
      </w:pPr>
      <w:r w:rsidRPr="007C0CD5">
        <w:rPr>
          <w:rFonts w:ascii="Arial" w:eastAsia="Times New Roman" w:hAnsi="Arial" w:cs="Arial"/>
          <w:color w:val="0D0D0D" w:themeColor="text1" w:themeTint="F2"/>
          <w:sz w:val="24"/>
          <w:szCs w:val="24"/>
          <w:shd w:val="clear" w:color="auto" w:fill="FFFFFF"/>
          <w:lang w:eastAsia="en-GB"/>
        </w:rPr>
        <w:t xml:space="preserve">Randel, A. </w:t>
      </w:r>
      <w:r w:rsidRPr="007C0CD5">
        <w:rPr>
          <w:rFonts w:ascii="Arial" w:eastAsia="Times New Roman" w:hAnsi="Arial" w:cs="Arial"/>
          <w:i/>
          <w:iCs/>
          <w:color w:val="0D0D0D" w:themeColor="text1" w:themeTint="F2"/>
          <w:sz w:val="24"/>
          <w:szCs w:val="24"/>
          <w:shd w:val="clear" w:color="auto" w:fill="FFFFFF"/>
          <w:lang w:eastAsia="en-GB"/>
        </w:rPr>
        <w:t xml:space="preserve">et al. </w:t>
      </w:r>
      <w:r w:rsidRPr="007C0CD5">
        <w:rPr>
          <w:rFonts w:ascii="Arial" w:eastAsia="Times New Roman" w:hAnsi="Arial" w:cs="Arial"/>
          <w:color w:val="0D0D0D" w:themeColor="text1" w:themeTint="F2"/>
          <w:sz w:val="24"/>
          <w:szCs w:val="24"/>
          <w:shd w:val="clear" w:color="auto" w:fill="FFFFFF"/>
          <w:lang w:eastAsia="en-GB"/>
        </w:rPr>
        <w:t xml:space="preserve">(2018) ‘Inclusive leadership: Realizing positive outcomes through belongingness and being valued for uniqueness’, </w:t>
      </w:r>
      <w:r w:rsidRPr="007C0CD5">
        <w:rPr>
          <w:rFonts w:ascii="Arial" w:eastAsia="Times New Roman" w:hAnsi="Arial" w:cs="Arial"/>
          <w:i/>
          <w:iCs/>
          <w:color w:val="0D0D0D" w:themeColor="text1" w:themeTint="F2"/>
          <w:sz w:val="24"/>
          <w:szCs w:val="24"/>
          <w:shd w:val="clear" w:color="auto" w:fill="FFFFFF"/>
          <w:lang w:eastAsia="en-GB"/>
        </w:rPr>
        <w:t>Human Resource Management Review</w:t>
      </w:r>
      <w:r w:rsidRPr="007C0CD5">
        <w:rPr>
          <w:rFonts w:ascii="Arial" w:eastAsia="Times New Roman" w:hAnsi="Arial" w:cs="Arial"/>
          <w:color w:val="0D0D0D" w:themeColor="text1" w:themeTint="F2"/>
          <w:sz w:val="24"/>
          <w:szCs w:val="24"/>
          <w:shd w:val="clear" w:color="auto" w:fill="FFFFFF"/>
          <w:lang w:eastAsia="en-GB"/>
        </w:rPr>
        <w:t xml:space="preserve">, 28, pp 190-223. DOI: 10.1016/j.hrmr.2017.07.002. </w:t>
      </w:r>
    </w:p>
    <w:p w14:paraId="51BAE64C" w14:textId="77777777" w:rsidR="007C0CD5" w:rsidRPr="007C0CD5" w:rsidRDefault="007C0CD5" w:rsidP="007C0CD5">
      <w:pPr>
        <w:pStyle w:val="Heading2"/>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Rodd, J. (2013) </w:t>
      </w:r>
      <w:r w:rsidRPr="007C0CD5">
        <w:rPr>
          <w:rFonts w:ascii="Arial" w:hAnsi="Arial" w:cs="Arial"/>
          <w:i/>
          <w:iCs/>
          <w:color w:val="0D0D0D" w:themeColor="text1" w:themeTint="F2"/>
          <w:sz w:val="24"/>
          <w:szCs w:val="24"/>
        </w:rPr>
        <w:t>Leadership in early childhood: A pathway to professionalism.</w:t>
      </w:r>
      <w:r w:rsidRPr="007C0CD5">
        <w:rPr>
          <w:rFonts w:ascii="Arial" w:hAnsi="Arial" w:cs="Arial"/>
          <w:color w:val="0D0D0D" w:themeColor="text1" w:themeTint="F2"/>
          <w:sz w:val="24"/>
          <w:szCs w:val="24"/>
        </w:rPr>
        <w:t xml:space="preserve"> Maidenhead. OU Press.</w:t>
      </w:r>
    </w:p>
    <w:p w14:paraId="0A21DE55" w14:textId="77777777" w:rsidR="007C0CD5" w:rsidRPr="007C0CD5" w:rsidRDefault="007C0CD5" w:rsidP="007C0CD5">
      <w:pPr>
        <w:spacing w:line="360" w:lineRule="auto"/>
        <w:rPr>
          <w:rStyle w:val="Hyperlink"/>
          <w:rFonts w:ascii="Arial" w:hAnsi="Arial" w:cs="Arial"/>
          <w:color w:val="0D0D0D" w:themeColor="text1" w:themeTint="F2"/>
          <w:sz w:val="24"/>
          <w:szCs w:val="24"/>
          <w:u w:val="none"/>
        </w:rPr>
      </w:pPr>
      <w:r w:rsidRPr="007C0CD5">
        <w:rPr>
          <w:rFonts w:ascii="Arial" w:hAnsi="Arial" w:cs="Arial"/>
          <w:color w:val="0D0D0D" w:themeColor="text1" w:themeTint="F2"/>
          <w:sz w:val="24"/>
          <w:szCs w:val="24"/>
        </w:rPr>
        <w:t xml:space="preserve">Scanlan, M and Johnson, L. (2015) </w:t>
      </w:r>
      <w:r w:rsidRPr="007C0CD5">
        <w:rPr>
          <w:rFonts w:ascii="Arial" w:hAnsi="Arial" w:cs="Arial"/>
          <w:i/>
          <w:iCs/>
          <w:color w:val="0D0D0D" w:themeColor="text1" w:themeTint="F2"/>
          <w:sz w:val="24"/>
          <w:szCs w:val="24"/>
        </w:rPr>
        <w:t>Inclusion Leadership on the Social Frontiers: Family and</w:t>
      </w:r>
      <w:r w:rsidRPr="007C0CD5">
        <w:rPr>
          <w:rFonts w:ascii="Arial" w:hAnsi="Arial" w:cs="Arial"/>
          <w:color w:val="0D0D0D" w:themeColor="text1" w:themeTint="F2"/>
          <w:sz w:val="24"/>
          <w:szCs w:val="24"/>
        </w:rPr>
        <w:t xml:space="preserve"> </w:t>
      </w:r>
      <w:r w:rsidRPr="007C0CD5">
        <w:rPr>
          <w:rFonts w:ascii="Arial" w:hAnsi="Arial" w:cs="Arial"/>
          <w:i/>
          <w:iCs/>
          <w:color w:val="0D0D0D" w:themeColor="text1" w:themeTint="F2"/>
          <w:sz w:val="24"/>
          <w:szCs w:val="24"/>
        </w:rPr>
        <w:t>community engagement.</w:t>
      </w:r>
      <w:r w:rsidRPr="007C0CD5">
        <w:rPr>
          <w:rFonts w:ascii="Arial" w:hAnsi="Arial" w:cs="Arial"/>
          <w:color w:val="0D0D0D" w:themeColor="text1" w:themeTint="F2"/>
          <w:sz w:val="24"/>
          <w:szCs w:val="24"/>
        </w:rPr>
        <w:t xml:space="preserve"> London. Routledge. Available: </w:t>
      </w:r>
    </w:p>
    <w:p w14:paraId="505B2BDC"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 Scanlan, M. and Johnson, L. (2020) ‘Inclusive leadership on the social frontiers: Family and community engagement’, Leadership for increasingly diverse schools, pp. 227-258.</w:t>
      </w:r>
    </w:p>
    <w:p w14:paraId="54AE6D9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Shonkoff, J. P. (2010). Building a new biodevelopmental framework to guide the future of early childhood policy. </w:t>
      </w:r>
      <w:r w:rsidRPr="007C0CD5">
        <w:rPr>
          <w:rFonts w:ascii="Arial" w:hAnsi="Arial" w:cs="Arial"/>
          <w:i/>
          <w:iCs/>
          <w:color w:val="0D0D0D" w:themeColor="text1" w:themeTint="F2"/>
          <w:sz w:val="24"/>
          <w:szCs w:val="24"/>
          <w:shd w:val="clear" w:color="auto" w:fill="FFFFFF"/>
        </w:rPr>
        <w:t>Child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81</w:t>
      </w:r>
      <w:r w:rsidRPr="007C0CD5">
        <w:rPr>
          <w:rFonts w:ascii="Arial" w:hAnsi="Arial" w:cs="Arial"/>
          <w:color w:val="0D0D0D" w:themeColor="text1" w:themeTint="F2"/>
          <w:sz w:val="24"/>
          <w:szCs w:val="24"/>
          <w:shd w:val="clear" w:color="auto" w:fill="FFFFFF"/>
        </w:rPr>
        <w:t>(1), 357-367.</w:t>
      </w:r>
    </w:p>
    <w:p w14:paraId="42AFFFF2"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Style w:val="author"/>
          <w:rFonts w:ascii="Arial" w:hAnsi="Arial" w:cs="Arial"/>
          <w:color w:val="0D0D0D" w:themeColor="text1" w:themeTint="F2"/>
          <w:sz w:val="24"/>
          <w:szCs w:val="24"/>
          <w:shd w:val="clear" w:color="auto" w:fill="FFFFFF"/>
        </w:rPr>
        <w:lastRenderedPageBreak/>
        <w:t>Shonkoff, J. P.</w:t>
      </w:r>
      <w:r w:rsidRPr="007C0CD5">
        <w:rPr>
          <w:rFonts w:ascii="Arial" w:hAnsi="Arial" w:cs="Arial"/>
          <w:color w:val="0D0D0D" w:themeColor="text1" w:themeTint="F2"/>
          <w:sz w:val="24"/>
          <w:szCs w:val="24"/>
          <w:shd w:val="clear" w:color="auto" w:fill="FFFFFF"/>
        </w:rPr>
        <w:t>, </w:t>
      </w:r>
      <w:r w:rsidRPr="007C0CD5">
        <w:rPr>
          <w:rStyle w:val="author"/>
          <w:rFonts w:ascii="Arial" w:hAnsi="Arial" w:cs="Arial"/>
          <w:color w:val="0D0D0D" w:themeColor="text1" w:themeTint="F2"/>
          <w:sz w:val="24"/>
          <w:szCs w:val="24"/>
          <w:shd w:val="clear" w:color="auto" w:fill="FFFFFF"/>
        </w:rPr>
        <w:t>Boyce, W. T.</w:t>
      </w:r>
      <w:r w:rsidRPr="007C0CD5">
        <w:rPr>
          <w:rFonts w:ascii="Arial" w:hAnsi="Arial" w:cs="Arial"/>
          <w:color w:val="0D0D0D" w:themeColor="text1" w:themeTint="F2"/>
          <w:sz w:val="24"/>
          <w:szCs w:val="24"/>
          <w:shd w:val="clear" w:color="auto" w:fill="FFFFFF"/>
        </w:rPr>
        <w:t>, &amp; </w:t>
      </w:r>
      <w:r w:rsidRPr="007C0CD5">
        <w:rPr>
          <w:rStyle w:val="author"/>
          <w:rFonts w:ascii="Arial" w:hAnsi="Arial" w:cs="Arial"/>
          <w:color w:val="0D0D0D" w:themeColor="text1" w:themeTint="F2"/>
          <w:sz w:val="24"/>
          <w:szCs w:val="24"/>
          <w:shd w:val="clear" w:color="auto" w:fill="FFFFFF"/>
        </w:rPr>
        <w:t>McEwen, B. S.</w:t>
      </w:r>
      <w:r w:rsidRPr="007C0CD5">
        <w:rPr>
          <w:rFonts w:ascii="Arial" w:hAnsi="Arial" w:cs="Arial"/>
          <w:color w:val="0D0D0D" w:themeColor="text1" w:themeTint="F2"/>
          <w:sz w:val="24"/>
          <w:szCs w:val="24"/>
          <w:shd w:val="clear" w:color="auto" w:fill="FFFFFF"/>
        </w:rPr>
        <w:t> (</w:t>
      </w:r>
      <w:r w:rsidRPr="007C0CD5">
        <w:rPr>
          <w:rStyle w:val="pubyear"/>
          <w:rFonts w:ascii="Arial" w:hAnsi="Arial" w:cs="Arial"/>
          <w:color w:val="0D0D0D" w:themeColor="text1" w:themeTint="F2"/>
          <w:sz w:val="24"/>
          <w:szCs w:val="24"/>
          <w:shd w:val="clear" w:color="auto" w:fill="FFFFFF"/>
        </w:rPr>
        <w:t>2009</w:t>
      </w:r>
      <w:r w:rsidRPr="007C0CD5">
        <w:rPr>
          <w:rFonts w:ascii="Arial" w:hAnsi="Arial" w:cs="Arial"/>
          <w:color w:val="0D0D0D" w:themeColor="text1" w:themeTint="F2"/>
          <w:sz w:val="24"/>
          <w:szCs w:val="24"/>
          <w:shd w:val="clear" w:color="auto" w:fill="FFFFFF"/>
        </w:rPr>
        <w:t>). </w:t>
      </w:r>
      <w:r w:rsidRPr="007C0CD5">
        <w:rPr>
          <w:rStyle w:val="articletitle"/>
          <w:rFonts w:ascii="Arial" w:hAnsi="Arial" w:cs="Arial"/>
          <w:color w:val="0D0D0D" w:themeColor="text1" w:themeTint="F2"/>
          <w:sz w:val="24"/>
          <w:szCs w:val="24"/>
          <w:shd w:val="clear" w:color="auto" w:fill="FFFFFF"/>
        </w:rPr>
        <w:t>Neuroscience, molecular biology, and the childhood roots of health disparities: Building a new framework for health promotion and disease prevention</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Journal of the American Medical Association</w:t>
      </w:r>
      <w:r w:rsidRPr="007C0CD5">
        <w:rPr>
          <w:rFonts w:ascii="Arial" w:hAnsi="Arial" w:cs="Arial"/>
          <w:color w:val="0D0D0D" w:themeColor="text1" w:themeTint="F2"/>
          <w:sz w:val="24"/>
          <w:szCs w:val="24"/>
          <w:shd w:val="clear" w:color="auto" w:fill="FFFFFF"/>
        </w:rPr>
        <w:t>, </w:t>
      </w:r>
      <w:r w:rsidRPr="007C0CD5">
        <w:rPr>
          <w:rStyle w:val="vol"/>
          <w:rFonts w:ascii="Arial" w:hAnsi="Arial" w:cs="Arial"/>
          <w:b/>
          <w:bCs/>
          <w:color w:val="0D0D0D" w:themeColor="text1" w:themeTint="F2"/>
          <w:sz w:val="24"/>
          <w:szCs w:val="24"/>
          <w:shd w:val="clear" w:color="auto" w:fill="FFFFFF"/>
        </w:rPr>
        <w:t>301</w:t>
      </w:r>
      <w:r w:rsidRPr="007C0CD5">
        <w:rPr>
          <w:rFonts w:ascii="Arial" w:hAnsi="Arial" w:cs="Arial"/>
          <w:color w:val="0D0D0D" w:themeColor="text1" w:themeTint="F2"/>
          <w:sz w:val="24"/>
          <w:szCs w:val="24"/>
          <w:shd w:val="clear" w:color="auto" w:fill="FFFFFF"/>
        </w:rPr>
        <w:t>, </w:t>
      </w:r>
      <w:r w:rsidRPr="007C0CD5">
        <w:rPr>
          <w:rStyle w:val="pagefirst"/>
          <w:rFonts w:ascii="Arial" w:hAnsi="Arial" w:cs="Arial"/>
          <w:color w:val="0D0D0D" w:themeColor="text1" w:themeTint="F2"/>
          <w:sz w:val="24"/>
          <w:szCs w:val="24"/>
          <w:shd w:val="clear" w:color="auto" w:fill="FFFFFF"/>
        </w:rPr>
        <w:t>2252</w:t>
      </w:r>
      <w:r w:rsidRPr="007C0CD5">
        <w:rPr>
          <w:rFonts w:ascii="Arial" w:hAnsi="Arial" w:cs="Arial"/>
          <w:color w:val="0D0D0D" w:themeColor="text1" w:themeTint="F2"/>
          <w:sz w:val="24"/>
          <w:szCs w:val="24"/>
          <w:shd w:val="clear" w:color="auto" w:fill="FFFFFF"/>
        </w:rPr>
        <w:t>– </w:t>
      </w:r>
      <w:r w:rsidRPr="007C0CD5">
        <w:rPr>
          <w:rStyle w:val="pagelast"/>
          <w:rFonts w:ascii="Arial" w:hAnsi="Arial" w:cs="Arial"/>
          <w:color w:val="0D0D0D" w:themeColor="text1" w:themeTint="F2"/>
          <w:sz w:val="24"/>
          <w:szCs w:val="24"/>
          <w:shd w:val="clear" w:color="auto" w:fill="FFFFFF"/>
        </w:rPr>
        <w:t>2259</w:t>
      </w:r>
      <w:r w:rsidRPr="007C0CD5">
        <w:rPr>
          <w:rFonts w:ascii="Arial" w:hAnsi="Arial" w:cs="Arial"/>
          <w:color w:val="0D0D0D" w:themeColor="text1" w:themeTint="F2"/>
          <w:sz w:val="24"/>
          <w:szCs w:val="24"/>
          <w:shd w:val="clear" w:color="auto" w:fill="FFFFFF"/>
        </w:rPr>
        <w:t>.</w:t>
      </w:r>
    </w:p>
    <w:p w14:paraId="74FAAD92" w14:textId="77777777" w:rsidR="007C0CD5" w:rsidRPr="007C0CD5" w:rsidRDefault="007C0CD5" w:rsidP="007C0CD5">
      <w:pPr>
        <w:spacing w:line="360" w:lineRule="auto"/>
        <w:jc w:val="both"/>
        <w:rPr>
          <w:rFonts w:ascii="Arial" w:hAnsi="Arial" w:cs="Arial"/>
          <w:color w:val="0D0D0D" w:themeColor="text1" w:themeTint="F2"/>
          <w:sz w:val="24"/>
          <w:szCs w:val="24"/>
        </w:rPr>
      </w:pPr>
      <w:bookmarkStart w:id="0" w:name="_Hlk137848376"/>
      <w:r w:rsidRPr="007C0CD5">
        <w:rPr>
          <w:rFonts w:ascii="Arial" w:hAnsi="Arial" w:cs="Arial"/>
          <w:color w:val="0D0D0D" w:themeColor="text1" w:themeTint="F2"/>
          <w:sz w:val="24"/>
          <w:szCs w:val="24"/>
          <w:shd w:val="clear" w:color="auto" w:fill="FFFFFF"/>
        </w:rPr>
        <w:t>Sinnema, C., Nieveen, N., &amp; Priestley, M. (2020</w:t>
      </w:r>
      <w:bookmarkEnd w:id="0"/>
      <w:r w:rsidRPr="007C0CD5">
        <w:rPr>
          <w:rFonts w:ascii="Arial" w:hAnsi="Arial" w:cs="Arial"/>
          <w:color w:val="0D0D0D" w:themeColor="text1" w:themeTint="F2"/>
          <w:sz w:val="24"/>
          <w:szCs w:val="24"/>
          <w:shd w:val="clear" w:color="auto" w:fill="FFFFFF"/>
        </w:rPr>
        <w:t>). Successful futures, successful curriculum: What can Wales learn from international curriculum reforms?. </w:t>
      </w:r>
      <w:r w:rsidRPr="007C0CD5">
        <w:rPr>
          <w:rFonts w:ascii="Arial" w:hAnsi="Arial" w:cs="Arial"/>
          <w:i/>
          <w:iCs/>
          <w:color w:val="0D0D0D" w:themeColor="text1" w:themeTint="F2"/>
          <w:sz w:val="24"/>
          <w:szCs w:val="24"/>
          <w:shd w:val="clear" w:color="auto" w:fill="FFFFFF"/>
        </w:rPr>
        <w:t>The Curriculum Journal</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31</w:t>
      </w:r>
      <w:r w:rsidRPr="007C0CD5">
        <w:rPr>
          <w:rFonts w:ascii="Arial" w:hAnsi="Arial" w:cs="Arial"/>
          <w:color w:val="0D0D0D" w:themeColor="text1" w:themeTint="F2"/>
          <w:sz w:val="24"/>
          <w:szCs w:val="24"/>
          <w:shd w:val="clear" w:color="auto" w:fill="FFFFFF"/>
        </w:rPr>
        <w:t>(2), 181-201.</w:t>
      </w:r>
    </w:p>
    <w:p w14:paraId="4FE19EE4"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t>Smith, T.E., Sheridan, S.M., Kim, E.M., Park, S. and Beretvas, S.N., (2020) ‘The effects of family-school partnership interventions on academic and social-emotional functioning: A meta-analysis exploring what works for whom’. </w:t>
      </w:r>
      <w:r w:rsidRPr="007C0CD5">
        <w:rPr>
          <w:rFonts w:ascii="Arial" w:hAnsi="Arial" w:cs="Arial"/>
          <w:i/>
          <w:iCs/>
          <w:color w:val="0D0D0D" w:themeColor="text1" w:themeTint="F2"/>
          <w:sz w:val="24"/>
          <w:szCs w:val="24"/>
          <w:shd w:val="clear" w:color="auto" w:fill="FFFFFF"/>
        </w:rPr>
        <w:t>Educational Psychology Review</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32</w:t>
      </w:r>
      <w:r w:rsidRPr="007C0CD5">
        <w:rPr>
          <w:rFonts w:ascii="Arial" w:hAnsi="Arial" w:cs="Arial"/>
          <w:color w:val="0D0D0D" w:themeColor="text1" w:themeTint="F2"/>
          <w:sz w:val="24"/>
          <w:szCs w:val="24"/>
          <w:shd w:val="clear" w:color="auto" w:fill="FFFFFF"/>
        </w:rPr>
        <w:t>, pp.511-544.</w:t>
      </w:r>
    </w:p>
    <w:p w14:paraId="1D997D8D"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Spruijt, E., &amp; Duindam, V. (2009). Joint physical custody in the Netherlands and the well-being of children. Journal of Divorce and Remarriage, 51(1), 65– 82.</w:t>
      </w:r>
    </w:p>
    <w:p w14:paraId="24725334"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Steinbach, A. (2019). Children's and parents’ well</w:t>
      </w:r>
      <w:r w:rsidRPr="007C0CD5">
        <w:rPr>
          <w:rFonts w:ascii="Cambria Math" w:hAnsi="Cambria Math" w:cs="Cambria Math"/>
          <w:color w:val="0D0D0D" w:themeColor="text1" w:themeTint="F2"/>
          <w:sz w:val="24"/>
          <w:szCs w:val="24"/>
          <w:shd w:val="clear" w:color="auto" w:fill="FFFFFF"/>
        </w:rPr>
        <w:t>‐</w:t>
      </w:r>
      <w:r w:rsidRPr="007C0CD5">
        <w:rPr>
          <w:rFonts w:ascii="Arial" w:hAnsi="Arial" w:cs="Arial"/>
          <w:color w:val="0D0D0D" w:themeColor="text1" w:themeTint="F2"/>
          <w:sz w:val="24"/>
          <w:szCs w:val="24"/>
          <w:shd w:val="clear" w:color="auto" w:fill="FFFFFF"/>
        </w:rPr>
        <w:t>being in joint physical custody: A literature review. </w:t>
      </w:r>
      <w:r w:rsidRPr="007C0CD5">
        <w:rPr>
          <w:rFonts w:ascii="Arial" w:hAnsi="Arial" w:cs="Arial"/>
          <w:i/>
          <w:iCs/>
          <w:color w:val="0D0D0D" w:themeColor="text1" w:themeTint="F2"/>
          <w:sz w:val="24"/>
          <w:szCs w:val="24"/>
          <w:shd w:val="clear" w:color="auto" w:fill="FFFFFF"/>
        </w:rPr>
        <w:t>Family Process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58</w:t>
      </w:r>
      <w:r w:rsidRPr="007C0CD5">
        <w:rPr>
          <w:rFonts w:ascii="Arial" w:hAnsi="Arial" w:cs="Arial"/>
          <w:color w:val="0D0D0D" w:themeColor="text1" w:themeTint="F2"/>
          <w:sz w:val="24"/>
          <w:szCs w:val="24"/>
          <w:shd w:val="clear" w:color="auto" w:fill="FFFFFF"/>
        </w:rPr>
        <w:t>(2), 353-369.</w:t>
      </w:r>
    </w:p>
    <w:p w14:paraId="50EEC895"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UNCRC (No date) </w:t>
      </w:r>
      <w:r w:rsidRPr="007C0CD5">
        <w:rPr>
          <w:rFonts w:ascii="Arial" w:hAnsi="Arial" w:cs="Arial"/>
          <w:i/>
          <w:iCs/>
          <w:color w:val="0D0D0D" w:themeColor="text1" w:themeTint="F2"/>
          <w:sz w:val="24"/>
          <w:szCs w:val="24"/>
          <w:shd w:val="clear" w:color="auto" w:fill="FFFFFF"/>
        </w:rPr>
        <w:t xml:space="preserve">A Summary of the UN Convention on the Rights of the Child. </w:t>
      </w:r>
      <w:r w:rsidRPr="007C0CD5">
        <w:rPr>
          <w:rFonts w:ascii="Arial" w:hAnsi="Arial" w:cs="Arial"/>
          <w:color w:val="0D0D0D" w:themeColor="text1" w:themeTint="F2"/>
          <w:sz w:val="24"/>
          <w:szCs w:val="24"/>
          <w:shd w:val="clear" w:color="auto" w:fill="FFFFFF"/>
        </w:rPr>
        <w:t xml:space="preserve">Available at: </w:t>
      </w:r>
      <w:hyperlink r:id="rId35" w:history="1">
        <w:r w:rsidRPr="007C0CD5">
          <w:rPr>
            <w:rStyle w:val="Hyperlink"/>
            <w:rFonts w:ascii="Arial" w:hAnsi="Arial" w:cs="Arial"/>
            <w:color w:val="0D0D0D" w:themeColor="text1" w:themeTint="F2"/>
            <w:sz w:val="24"/>
            <w:szCs w:val="24"/>
            <w:u w:val="none"/>
          </w:rPr>
          <w:t>UNCRC_summary-1_1.pdf (unicef.org.uk)</w:t>
        </w:r>
      </w:hyperlink>
      <w:r w:rsidRPr="007C0CD5">
        <w:rPr>
          <w:rFonts w:ascii="Arial" w:hAnsi="Arial" w:cs="Arial"/>
          <w:color w:val="0D0D0D" w:themeColor="text1" w:themeTint="F2"/>
          <w:sz w:val="24"/>
          <w:szCs w:val="24"/>
        </w:rPr>
        <w:t xml:space="preserve"> (Accessed: 15</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r w:rsidRPr="007C0CD5">
        <w:rPr>
          <w:rFonts w:ascii="Arial" w:hAnsi="Arial" w:cs="Arial"/>
          <w:color w:val="0D0D0D" w:themeColor="text1" w:themeTint="F2"/>
          <w:sz w:val="24"/>
          <w:szCs w:val="24"/>
          <w:shd w:val="clear" w:color="auto" w:fill="FFFFFF"/>
        </w:rPr>
        <w:t xml:space="preserve"> </w:t>
      </w:r>
    </w:p>
    <w:p w14:paraId="7391DC09"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bookmarkStart w:id="1" w:name="_Hlk137930809"/>
      <w:r w:rsidRPr="007C0CD5">
        <w:rPr>
          <w:rFonts w:ascii="Arial" w:hAnsi="Arial" w:cs="Arial"/>
          <w:color w:val="0D0D0D" w:themeColor="text1" w:themeTint="F2"/>
          <w:sz w:val="24"/>
          <w:szCs w:val="24"/>
          <w:shd w:val="clear" w:color="auto" w:fill="FFFFFF"/>
        </w:rPr>
        <w:t>Volling, B. L., &amp; Cabrera</w:t>
      </w:r>
      <w:bookmarkEnd w:id="1"/>
      <w:r w:rsidRPr="007C0CD5">
        <w:rPr>
          <w:rFonts w:ascii="Arial" w:hAnsi="Arial" w:cs="Arial"/>
          <w:color w:val="0D0D0D" w:themeColor="text1" w:themeTint="F2"/>
          <w:sz w:val="24"/>
          <w:szCs w:val="24"/>
          <w:shd w:val="clear" w:color="auto" w:fill="FFFFFF"/>
        </w:rPr>
        <w:t>, N. J. (2019). Advancing research and measurement on fathering and child development: Introducing the issues and a conceptual framework. </w:t>
      </w:r>
      <w:r w:rsidRPr="007C0CD5">
        <w:rPr>
          <w:rFonts w:ascii="Arial" w:hAnsi="Arial" w:cs="Arial"/>
          <w:i/>
          <w:iCs/>
          <w:color w:val="0D0D0D" w:themeColor="text1" w:themeTint="F2"/>
          <w:sz w:val="24"/>
          <w:szCs w:val="24"/>
          <w:shd w:val="clear" w:color="auto" w:fill="FFFFFF"/>
        </w:rPr>
        <w:t>Advancing research and measurement on fathering and children’s development. Monographs of the Society of Research in Child Development</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84</w:t>
      </w:r>
      <w:r w:rsidRPr="007C0CD5">
        <w:rPr>
          <w:rFonts w:ascii="Arial" w:hAnsi="Arial" w:cs="Arial"/>
          <w:color w:val="0D0D0D" w:themeColor="text1" w:themeTint="F2"/>
          <w:sz w:val="24"/>
          <w:szCs w:val="24"/>
          <w:shd w:val="clear" w:color="auto" w:fill="FFFFFF"/>
        </w:rPr>
        <w:t>(1), 7-17.</w:t>
      </w:r>
    </w:p>
    <w:p w14:paraId="3DB3324A"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CFCFC"/>
        </w:rPr>
      </w:pPr>
      <w:r w:rsidRPr="007C0CD5">
        <w:rPr>
          <w:rFonts w:ascii="Arial" w:hAnsi="Arial" w:cs="Arial"/>
          <w:color w:val="0D0D0D" w:themeColor="text1" w:themeTint="F2"/>
          <w:sz w:val="24"/>
          <w:szCs w:val="24"/>
          <w:shd w:val="clear" w:color="auto" w:fill="FCFCFC"/>
        </w:rPr>
        <w:t>Wall, G. (2010). Mothers’ experiences with intensive parenting and brain development discourse. </w:t>
      </w:r>
      <w:r w:rsidRPr="007C0CD5">
        <w:rPr>
          <w:rFonts w:ascii="Arial" w:hAnsi="Arial" w:cs="Arial"/>
          <w:i/>
          <w:iCs/>
          <w:color w:val="0D0D0D" w:themeColor="text1" w:themeTint="F2"/>
          <w:sz w:val="24"/>
          <w:szCs w:val="24"/>
          <w:shd w:val="clear" w:color="auto" w:fill="FCFCFC"/>
        </w:rPr>
        <w:t>Women’s Studies International Forum</w:t>
      </w:r>
      <w:r w:rsidRPr="007C0CD5">
        <w:rPr>
          <w:rFonts w:ascii="Arial" w:hAnsi="Arial" w:cs="Arial"/>
          <w:color w:val="0D0D0D" w:themeColor="text1" w:themeTint="F2"/>
          <w:sz w:val="24"/>
          <w:szCs w:val="24"/>
          <w:shd w:val="clear" w:color="auto" w:fill="FCFCFC"/>
        </w:rPr>
        <w:t>, </w:t>
      </w:r>
      <w:r w:rsidRPr="007C0CD5">
        <w:rPr>
          <w:rFonts w:ascii="Arial" w:hAnsi="Arial" w:cs="Arial"/>
          <w:i/>
          <w:iCs/>
          <w:color w:val="0D0D0D" w:themeColor="text1" w:themeTint="F2"/>
          <w:sz w:val="24"/>
          <w:szCs w:val="24"/>
          <w:shd w:val="clear" w:color="auto" w:fill="FCFCFC"/>
        </w:rPr>
        <w:t>33</w:t>
      </w:r>
      <w:r w:rsidRPr="007C0CD5">
        <w:rPr>
          <w:rFonts w:ascii="Arial" w:hAnsi="Arial" w:cs="Arial"/>
          <w:color w:val="0D0D0D" w:themeColor="text1" w:themeTint="F2"/>
          <w:sz w:val="24"/>
          <w:szCs w:val="24"/>
          <w:shd w:val="clear" w:color="auto" w:fill="FCFCFC"/>
        </w:rPr>
        <w:t>(3), 253–263. </w:t>
      </w:r>
      <w:hyperlink r:id="rId36" w:history="1">
        <w:r w:rsidRPr="007C0CD5">
          <w:rPr>
            <w:rStyle w:val="Hyperlink"/>
            <w:rFonts w:ascii="Arial" w:hAnsi="Arial" w:cs="Arial"/>
            <w:color w:val="0D0D0D" w:themeColor="text1" w:themeTint="F2"/>
            <w:sz w:val="24"/>
            <w:szCs w:val="24"/>
            <w:u w:val="none"/>
            <w:shd w:val="clear" w:color="auto" w:fill="FCFCFC"/>
          </w:rPr>
          <w:t>https://doi.org/10.1016/j.wsif.2010.02.019</w:t>
        </w:r>
      </w:hyperlink>
      <w:r w:rsidRPr="007C0CD5">
        <w:rPr>
          <w:rFonts w:ascii="Arial" w:hAnsi="Arial" w:cs="Arial"/>
          <w:color w:val="0D0D0D" w:themeColor="text1" w:themeTint="F2"/>
          <w:sz w:val="24"/>
          <w:szCs w:val="24"/>
          <w:shd w:val="clear" w:color="auto" w:fill="FCFCFC"/>
        </w:rPr>
        <w:t>.</w:t>
      </w:r>
    </w:p>
    <w:p w14:paraId="1E9D25D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Ward </w:t>
      </w:r>
      <w:r w:rsidRPr="007C0CD5">
        <w:rPr>
          <w:rFonts w:ascii="Arial" w:hAnsi="Arial" w:cs="Arial"/>
          <w:i/>
          <w:iCs/>
          <w:color w:val="0D0D0D" w:themeColor="text1" w:themeTint="F2"/>
          <w:sz w:val="24"/>
          <w:szCs w:val="24"/>
        </w:rPr>
        <w:t>et al.</w:t>
      </w:r>
      <w:r w:rsidRPr="007C0CD5">
        <w:rPr>
          <w:rFonts w:ascii="Arial" w:hAnsi="Arial" w:cs="Arial"/>
          <w:color w:val="0D0D0D" w:themeColor="text1" w:themeTint="F2"/>
          <w:sz w:val="24"/>
          <w:szCs w:val="24"/>
        </w:rPr>
        <w:t xml:space="preserve"> (2014) </w:t>
      </w:r>
      <w:r w:rsidRPr="007C0CD5">
        <w:rPr>
          <w:rFonts w:ascii="Arial" w:hAnsi="Arial" w:cs="Arial"/>
          <w:i/>
          <w:iCs/>
          <w:color w:val="0D0D0D" w:themeColor="text1" w:themeTint="F2"/>
          <w:sz w:val="24"/>
          <w:szCs w:val="24"/>
        </w:rPr>
        <w:t xml:space="preserve">Assessing Parental Capacity to Change when Children are on the Edge of Care: an overview of current research evidence.  </w:t>
      </w:r>
      <w:r w:rsidRPr="007C0CD5">
        <w:rPr>
          <w:rFonts w:ascii="Arial" w:hAnsi="Arial" w:cs="Arial"/>
          <w:color w:val="0D0D0D" w:themeColor="text1" w:themeTint="F2"/>
          <w:sz w:val="24"/>
          <w:szCs w:val="24"/>
        </w:rPr>
        <w:t xml:space="preserve">Available at: </w:t>
      </w:r>
      <w:hyperlink r:id="rId37" w:history="1">
        <w:r w:rsidRPr="007C0CD5">
          <w:rPr>
            <w:rStyle w:val="Hyperlink"/>
            <w:rFonts w:ascii="Arial" w:hAnsi="Arial" w:cs="Arial"/>
            <w:color w:val="0D0D0D" w:themeColor="text1" w:themeTint="F2"/>
            <w:sz w:val="24"/>
            <w:szCs w:val="24"/>
            <w:u w:val="none"/>
          </w:rPr>
          <w:t>https://assets.publishing.service.gov.uk/government/uploads/system/uploads/attachment_data/file/330332/RR369_Assessing_parental_capacity_to_change_Final.pdf</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0DC069BE"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lastRenderedPageBreak/>
        <w:t xml:space="preserve">Welsh Government (2015) </w:t>
      </w:r>
      <w:r w:rsidRPr="007C0CD5">
        <w:rPr>
          <w:rFonts w:ascii="Arial" w:hAnsi="Arial" w:cs="Arial"/>
          <w:i/>
          <w:iCs/>
          <w:color w:val="0D0D0D" w:themeColor="text1" w:themeTint="F2"/>
          <w:sz w:val="24"/>
          <w:szCs w:val="24"/>
        </w:rPr>
        <w:t>The four purposes of curriculum for Wales.</w:t>
      </w:r>
      <w:r w:rsidRPr="007C0CD5">
        <w:rPr>
          <w:rFonts w:ascii="Arial" w:hAnsi="Arial" w:cs="Arial"/>
          <w:color w:val="0D0D0D" w:themeColor="text1" w:themeTint="F2"/>
          <w:sz w:val="24"/>
          <w:szCs w:val="24"/>
        </w:rPr>
        <w:t xml:space="preserve"> Available at: </w:t>
      </w:r>
      <w:hyperlink r:id="rId38" w:history="1">
        <w:r w:rsidRPr="007C0CD5">
          <w:rPr>
            <w:rStyle w:val="Hyperlink"/>
            <w:rFonts w:ascii="Arial" w:hAnsi="Arial" w:cs="Arial"/>
            <w:color w:val="0D0D0D" w:themeColor="text1" w:themeTint="F2"/>
            <w:sz w:val="24"/>
            <w:szCs w:val="24"/>
            <w:u w:val="none"/>
          </w:rPr>
          <w:t>the-four-purposes-of-the-curriculum-for-wales.pdf (gov.wales)</w:t>
        </w:r>
      </w:hyperlink>
      <w:r w:rsidRPr="007C0CD5">
        <w:rPr>
          <w:rFonts w:ascii="Arial" w:hAnsi="Arial" w:cs="Arial"/>
          <w:color w:val="0D0D0D" w:themeColor="text1" w:themeTint="F2"/>
          <w:sz w:val="24"/>
          <w:szCs w:val="24"/>
        </w:rPr>
        <w:t xml:space="preserve"> (Accessed: 13</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29A554F3"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(2015a) </w:t>
      </w:r>
      <w:r w:rsidRPr="007C0CD5">
        <w:rPr>
          <w:rFonts w:ascii="Arial" w:hAnsi="Arial" w:cs="Arial"/>
          <w:i/>
          <w:iCs/>
          <w:color w:val="0D0D0D" w:themeColor="text1" w:themeTint="F2"/>
          <w:sz w:val="24"/>
          <w:szCs w:val="24"/>
        </w:rPr>
        <w:t>Successful futures</w:t>
      </w:r>
      <w:r w:rsidRPr="007C0CD5">
        <w:rPr>
          <w:rFonts w:ascii="Arial" w:hAnsi="Arial" w:cs="Arial"/>
          <w:color w:val="0D0D0D" w:themeColor="text1" w:themeTint="F2"/>
          <w:sz w:val="24"/>
          <w:szCs w:val="24"/>
        </w:rPr>
        <w:t xml:space="preserve">. Available at: </w:t>
      </w:r>
      <w:hyperlink r:id="rId39" w:history="1">
        <w:r w:rsidRPr="007C0CD5">
          <w:rPr>
            <w:rStyle w:val="Hyperlink"/>
            <w:rFonts w:ascii="Arial" w:hAnsi="Arial" w:cs="Arial"/>
            <w:color w:val="0D0D0D" w:themeColor="text1" w:themeTint="F2"/>
            <w:sz w:val="24"/>
            <w:szCs w:val="24"/>
            <w:u w:val="none"/>
          </w:rPr>
          <w:t>succesful-futures-a-summary-of-professor-graham-donaldsons-report.pdf (gov.wales)</w:t>
        </w:r>
      </w:hyperlink>
      <w:r w:rsidRPr="007C0CD5">
        <w:rPr>
          <w:rFonts w:ascii="Arial" w:hAnsi="Arial" w:cs="Arial"/>
          <w:color w:val="0D0D0D" w:themeColor="text1" w:themeTint="F2"/>
          <w:sz w:val="24"/>
          <w:szCs w:val="24"/>
        </w:rPr>
        <w:t xml:space="preserve"> (Accessed: 12</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46B8A739" w14:textId="77777777" w:rsidR="007C0CD5" w:rsidRPr="007C0CD5" w:rsidRDefault="007C0CD5" w:rsidP="007C0CD5">
      <w:pPr>
        <w:spacing w:line="360" w:lineRule="auto"/>
        <w:jc w:val="both"/>
        <w:rPr>
          <w:rFonts w:ascii="Arial" w:hAnsi="Arial" w:cs="Arial"/>
          <w:color w:val="0D0D0D" w:themeColor="text1" w:themeTint="F2"/>
          <w:sz w:val="24"/>
          <w:szCs w:val="24"/>
          <w:lang w:eastAsia="zh-CN"/>
        </w:rPr>
      </w:pPr>
      <w:r w:rsidRPr="007C0CD5">
        <w:rPr>
          <w:rFonts w:ascii="Arial" w:hAnsi="Arial" w:cs="Arial"/>
          <w:color w:val="0D0D0D" w:themeColor="text1" w:themeTint="F2"/>
          <w:sz w:val="24"/>
          <w:szCs w:val="24"/>
          <w:lang w:eastAsia="zh-CN"/>
        </w:rPr>
        <w:t xml:space="preserve">Welsh Government (2016) </w:t>
      </w:r>
      <w:r w:rsidRPr="007C0CD5">
        <w:rPr>
          <w:rFonts w:ascii="Arial" w:hAnsi="Arial" w:cs="Arial"/>
          <w:i/>
          <w:iCs/>
          <w:color w:val="0D0D0D" w:themeColor="text1" w:themeTint="F2"/>
          <w:sz w:val="24"/>
          <w:szCs w:val="24"/>
          <w:lang w:eastAsia="zh-CN"/>
        </w:rPr>
        <w:t xml:space="preserve">Face the challenge together: Family and community engagement toolkit for schools in Wales Main guidance. </w:t>
      </w:r>
      <w:r w:rsidRPr="007C0CD5">
        <w:rPr>
          <w:rFonts w:ascii="Arial" w:hAnsi="Arial" w:cs="Arial"/>
          <w:color w:val="0D0D0D" w:themeColor="text1" w:themeTint="F2"/>
          <w:sz w:val="24"/>
          <w:szCs w:val="24"/>
          <w:lang w:eastAsia="zh-CN"/>
        </w:rPr>
        <w:t xml:space="preserve">Available at: </w:t>
      </w:r>
      <w:hyperlink r:id="rId40" w:history="1">
        <w:r w:rsidRPr="007C0CD5">
          <w:rPr>
            <w:rStyle w:val="Hyperlink"/>
            <w:rFonts w:ascii="Arial" w:hAnsi="Arial" w:cs="Arial"/>
            <w:color w:val="0D0D0D" w:themeColor="text1" w:themeTint="F2"/>
            <w:sz w:val="24"/>
            <w:szCs w:val="24"/>
            <w:u w:val="none"/>
            <w:lang w:eastAsia="zh-CN"/>
          </w:rPr>
          <w:t>https://gov.wales/sites/default/files/publications/2018-12/face-the-challenge-together-family-and-community-engagement-toolkit-for-schools-in-wales-main-guidance.pdf</w:t>
        </w:r>
      </w:hyperlink>
      <w:r w:rsidRPr="007C0CD5">
        <w:rPr>
          <w:rFonts w:ascii="Arial" w:hAnsi="Arial" w:cs="Arial"/>
          <w:color w:val="0D0D0D" w:themeColor="text1" w:themeTint="F2"/>
          <w:sz w:val="24"/>
          <w:szCs w:val="24"/>
          <w:lang w:eastAsia="zh-CN"/>
        </w:rPr>
        <w:t xml:space="preserve">  (Accessed: 17</w:t>
      </w:r>
      <w:r w:rsidRPr="007C0CD5">
        <w:rPr>
          <w:rFonts w:ascii="Arial" w:hAnsi="Arial" w:cs="Arial"/>
          <w:color w:val="0D0D0D" w:themeColor="text1" w:themeTint="F2"/>
          <w:sz w:val="24"/>
          <w:szCs w:val="24"/>
          <w:vertAlign w:val="superscript"/>
          <w:lang w:eastAsia="zh-CN"/>
        </w:rPr>
        <w:t>th</w:t>
      </w:r>
      <w:r w:rsidRPr="007C0CD5">
        <w:rPr>
          <w:rFonts w:ascii="Arial" w:hAnsi="Arial" w:cs="Arial"/>
          <w:color w:val="0D0D0D" w:themeColor="text1" w:themeTint="F2"/>
          <w:sz w:val="24"/>
          <w:szCs w:val="24"/>
          <w:lang w:eastAsia="zh-CN"/>
        </w:rPr>
        <w:t xml:space="preserve"> June 2023).</w:t>
      </w:r>
    </w:p>
    <w:p w14:paraId="34F41158"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(2018) </w:t>
      </w:r>
      <w:r w:rsidRPr="007C0CD5">
        <w:rPr>
          <w:rFonts w:ascii="Arial" w:hAnsi="Arial" w:cs="Arial"/>
          <w:i/>
          <w:iCs/>
          <w:color w:val="0D0D0D" w:themeColor="text1" w:themeTint="F2"/>
          <w:sz w:val="24"/>
          <w:szCs w:val="24"/>
        </w:rPr>
        <w:t xml:space="preserve">The Ways of Working of The Well-being of Future Generations (Wales) Act 2015. </w:t>
      </w:r>
      <w:r w:rsidRPr="007C0CD5">
        <w:rPr>
          <w:rFonts w:ascii="Arial" w:hAnsi="Arial" w:cs="Arial"/>
          <w:color w:val="0D0D0D" w:themeColor="text1" w:themeTint="F2"/>
          <w:sz w:val="24"/>
          <w:szCs w:val="24"/>
        </w:rPr>
        <w:t xml:space="preserve"> Available at: </w:t>
      </w:r>
      <w:hyperlink r:id="rId41" w:history="1">
        <w:r w:rsidRPr="007C0CD5">
          <w:rPr>
            <w:rStyle w:val="Hyperlink"/>
            <w:rFonts w:ascii="Arial" w:hAnsi="Arial" w:cs="Arial"/>
            <w:color w:val="0D0D0D" w:themeColor="text1" w:themeTint="F2"/>
            <w:sz w:val="24"/>
            <w:szCs w:val="24"/>
            <w:u w:val="none"/>
          </w:rPr>
          <w:t>The-Ways-of-Working-of-The-Well-being-of-Future-Generations-Wales-Act-2015.pdf (wcva.cymru)</w:t>
        </w:r>
      </w:hyperlink>
      <w:r w:rsidRPr="007C0CD5">
        <w:rPr>
          <w:rFonts w:ascii="Arial" w:hAnsi="Arial" w:cs="Arial"/>
          <w:color w:val="0D0D0D" w:themeColor="text1" w:themeTint="F2"/>
          <w:sz w:val="24"/>
          <w:szCs w:val="24"/>
        </w:rPr>
        <w:t xml:space="preserve"> (Accessed: 2</w:t>
      </w:r>
      <w:r w:rsidRPr="007C0CD5">
        <w:rPr>
          <w:rFonts w:ascii="Arial" w:hAnsi="Arial" w:cs="Arial"/>
          <w:color w:val="0D0D0D" w:themeColor="text1" w:themeTint="F2"/>
          <w:sz w:val="24"/>
          <w:szCs w:val="24"/>
          <w:vertAlign w:val="superscript"/>
        </w:rPr>
        <w:t>nd</w:t>
      </w:r>
      <w:r w:rsidRPr="007C0CD5">
        <w:rPr>
          <w:rFonts w:ascii="Arial" w:hAnsi="Arial" w:cs="Arial"/>
          <w:color w:val="0D0D0D" w:themeColor="text1" w:themeTint="F2"/>
          <w:sz w:val="24"/>
          <w:szCs w:val="24"/>
        </w:rPr>
        <w:t xml:space="preserve"> June 2023).</w:t>
      </w:r>
    </w:p>
    <w:p w14:paraId="124A3C6E"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(2020) </w:t>
      </w:r>
      <w:r w:rsidRPr="007C0CD5">
        <w:rPr>
          <w:rFonts w:ascii="Arial" w:hAnsi="Arial" w:cs="Arial"/>
          <w:i/>
          <w:iCs/>
          <w:color w:val="0D0D0D" w:themeColor="text1" w:themeTint="F2"/>
          <w:sz w:val="24"/>
          <w:szCs w:val="24"/>
        </w:rPr>
        <w:t xml:space="preserve">Curriculum for Wales: overview. </w:t>
      </w:r>
      <w:r w:rsidRPr="007C0CD5">
        <w:rPr>
          <w:rFonts w:ascii="Arial" w:hAnsi="Arial" w:cs="Arial"/>
          <w:color w:val="0D0D0D" w:themeColor="text1" w:themeTint="F2"/>
          <w:sz w:val="24"/>
          <w:szCs w:val="24"/>
        </w:rPr>
        <w:t xml:space="preserve">Available at: </w:t>
      </w:r>
      <w:hyperlink r:id="rId42" w:history="1">
        <w:r w:rsidRPr="007C0CD5">
          <w:rPr>
            <w:rStyle w:val="Hyperlink"/>
            <w:rFonts w:ascii="Arial" w:hAnsi="Arial" w:cs="Arial"/>
            <w:color w:val="0D0D0D" w:themeColor="text1" w:themeTint="F2"/>
            <w:sz w:val="24"/>
            <w:szCs w:val="24"/>
            <w:u w:val="none"/>
          </w:rPr>
          <w:t>Curriculum for Wales: overview | GOV.WALES</w:t>
        </w:r>
      </w:hyperlink>
      <w:r w:rsidRPr="007C0CD5">
        <w:rPr>
          <w:rFonts w:ascii="Arial" w:hAnsi="Arial" w:cs="Arial"/>
          <w:color w:val="0D0D0D" w:themeColor="text1" w:themeTint="F2"/>
          <w:sz w:val="24"/>
          <w:szCs w:val="24"/>
        </w:rPr>
        <w:t xml:space="preserve"> (Accessed: 16</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44FD0B2C"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(2020) </w:t>
      </w:r>
      <w:r w:rsidRPr="007C0CD5">
        <w:rPr>
          <w:rFonts w:ascii="Arial" w:hAnsi="Arial" w:cs="Arial"/>
          <w:i/>
          <w:iCs/>
          <w:color w:val="0D0D0D" w:themeColor="text1" w:themeTint="F2"/>
          <w:sz w:val="24"/>
          <w:szCs w:val="24"/>
        </w:rPr>
        <w:t>Education in Wales: Our national mission guidance.</w:t>
      </w:r>
      <w:r w:rsidRPr="007C0CD5">
        <w:rPr>
          <w:rFonts w:ascii="Arial" w:hAnsi="Arial" w:cs="Arial"/>
          <w:color w:val="0D0D0D" w:themeColor="text1" w:themeTint="F2"/>
          <w:sz w:val="24"/>
          <w:szCs w:val="24"/>
        </w:rPr>
        <w:t xml:space="preserve"> Available at: </w:t>
      </w:r>
      <w:hyperlink r:id="rId43" w:history="1">
        <w:r w:rsidRPr="007C0CD5">
          <w:rPr>
            <w:rFonts w:ascii="Arial" w:hAnsi="Arial" w:cs="Arial"/>
            <w:color w:val="0D0D0D" w:themeColor="text1" w:themeTint="F2"/>
            <w:sz w:val="24"/>
            <w:szCs w:val="24"/>
          </w:rPr>
          <w:t>https://gov.wales/sites/default/files/publications/2020-10/education-in-Wales-our-national-mission-update-october-2020.pdf</w:t>
        </w:r>
      </w:hyperlink>
      <w:r w:rsidRPr="007C0CD5">
        <w:rPr>
          <w:rFonts w:ascii="Arial" w:hAnsi="Arial" w:cs="Arial"/>
          <w:color w:val="0D0D0D" w:themeColor="text1" w:themeTint="F2"/>
          <w:sz w:val="24"/>
          <w:szCs w:val="24"/>
        </w:rPr>
        <w:t xml:space="preserve"> (Accessed: 10th June 2023).</w:t>
      </w:r>
    </w:p>
    <w:p w14:paraId="3AA26E34"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 xml:space="preserve">Welsh Government (2021) </w:t>
      </w:r>
      <w:r w:rsidRPr="007C0CD5">
        <w:rPr>
          <w:rFonts w:ascii="Arial" w:hAnsi="Arial" w:cs="Arial"/>
          <w:i/>
          <w:iCs/>
          <w:color w:val="0D0D0D" w:themeColor="text1" w:themeTint="F2"/>
          <w:sz w:val="24"/>
          <w:szCs w:val="24"/>
        </w:rPr>
        <w:t>Introduction to Curriculum for Wales guidance.</w:t>
      </w:r>
      <w:r w:rsidRPr="007C0CD5">
        <w:rPr>
          <w:rFonts w:ascii="Arial" w:hAnsi="Arial" w:cs="Arial"/>
          <w:color w:val="0D0D0D" w:themeColor="text1" w:themeTint="F2"/>
          <w:sz w:val="24"/>
          <w:szCs w:val="24"/>
        </w:rPr>
        <w:t xml:space="preserve"> Available at: </w:t>
      </w:r>
      <w:hyperlink r:id="rId44" w:history="1">
        <w:r w:rsidRPr="007C0CD5">
          <w:rPr>
            <w:rFonts w:ascii="Arial" w:hAnsi="Arial" w:cs="Arial"/>
            <w:color w:val="0D0D0D" w:themeColor="text1" w:themeTint="F2"/>
            <w:sz w:val="24"/>
            <w:szCs w:val="24"/>
          </w:rPr>
          <w:t>https://hwb.gov.wales/curriculum-for-wales/introduction</w:t>
        </w:r>
      </w:hyperlink>
      <w:r w:rsidRPr="007C0CD5">
        <w:rPr>
          <w:rFonts w:ascii="Arial" w:hAnsi="Arial" w:cs="Arial"/>
          <w:color w:val="0D0D0D" w:themeColor="text1" w:themeTint="F2"/>
          <w:sz w:val="24"/>
          <w:szCs w:val="24"/>
        </w:rPr>
        <w:t xml:space="preserve"> (Accessed: 11th June 2023).</w:t>
      </w:r>
    </w:p>
    <w:p w14:paraId="046A84DB"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 xml:space="preserve">Westphal, S. K., Poortman, A.-R., &amp; Van der Lippe, T. (2014). Non-resident father–child contact across divorce cohorts: The role of father involvement during marriage. European Sociological Review, 30(4), 444– 456.Available at;  </w:t>
      </w:r>
      <w:hyperlink r:id="rId45" w:history="1">
        <w:r w:rsidRPr="007C0CD5">
          <w:rPr>
            <w:rStyle w:val="Hyperlink"/>
            <w:rFonts w:ascii="Arial" w:hAnsi="Arial" w:cs="Arial"/>
            <w:color w:val="0D0D0D" w:themeColor="text1" w:themeTint="F2"/>
            <w:sz w:val="24"/>
            <w:szCs w:val="24"/>
            <w:shd w:val="clear" w:color="auto" w:fill="FFFFFF"/>
          </w:rPr>
          <w:t>https://doi.org/10.1093/esr/jcu050</w:t>
        </w:r>
      </w:hyperlink>
      <w:r w:rsidRPr="007C0CD5">
        <w:rPr>
          <w:rFonts w:ascii="Arial" w:hAnsi="Arial" w:cs="Arial"/>
          <w:color w:val="0D0D0D" w:themeColor="text1" w:themeTint="F2"/>
          <w:sz w:val="24"/>
          <w:szCs w:val="24"/>
          <w:shd w:val="clear" w:color="auto" w:fill="FFFFFF"/>
        </w:rPr>
        <w:t>.</w:t>
      </w:r>
    </w:p>
    <w:p w14:paraId="05776F5F" w14:textId="77777777" w:rsidR="007C0CD5" w:rsidRPr="007C0CD5" w:rsidRDefault="007C0CD5" w:rsidP="007C0CD5">
      <w:pPr>
        <w:spacing w:line="360" w:lineRule="auto"/>
        <w:jc w:val="both"/>
        <w:rPr>
          <w:rFonts w:ascii="Arial" w:hAnsi="Arial" w:cs="Arial"/>
          <w:color w:val="0D0D0D" w:themeColor="text1" w:themeTint="F2"/>
          <w:sz w:val="24"/>
          <w:szCs w:val="24"/>
          <w:shd w:val="clear" w:color="auto" w:fill="FFFFFF"/>
        </w:rPr>
      </w:pPr>
      <w:r w:rsidRPr="007C0CD5">
        <w:rPr>
          <w:rFonts w:ascii="Arial" w:hAnsi="Arial" w:cs="Arial"/>
          <w:color w:val="0D0D0D" w:themeColor="text1" w:themeTint="F2"/>
          <w:sz w:val="24"/>
          <w:szCs w:val="24"/>
          <w:shd w:val="clear" w:color="auto" w:fill="FFFFFF"/>
        </w:rPr>
        <w:t>Wilson, T. (2016) </w:t>
      </w:r>
      <w:r w:rsidRPr="007C0CD5">
        <w:rPr>
          <w:rFonts w:ascii="Arial" w:hAnsi="Arial" w:cs="Arial"/>
          <w:i/>
          <w:iCs/>
          <w:color w:val="0D0D0D" w:themeColor="text1" w:themeTint="F2"/>
          <w:sz w:val="24"/>
          <w:szCs w:val="24"/>
          <w:shd w:val="clear" w:color="auto" w:fill="FFFFFF"/>
        </w:rPr>
        <w:t>Working with parents, carers and families in the early years : the essential guide</w:t>
      </w:r>
      <w:r w:rsidRPr="007C0CD5">
        <w:rPr>
          <w:rFonts w:ascii="Arial" w:hAnsi="Arial" w:cs="Arial"/>
          <w:color w:val="0D0D0D" w:themeColor="text1" w:themeTint="F2"/>
          <w:sz w:val="24"/>
          <w:szCs w:val="24"/>
          <w:shd w:val="clear" w:color="auto" w:fill="FFFFFF"/>
        </w:rPr>
        <w:t xml:space="preserve">. New York: Routledge. Available at: </w:t>
      </w:r>
      <w:hyperlink r:id="rId46" w:history="1">
        <w:r w:rsidRPr="007C0CD5">
          <w:rPr>
            <w:rStyle w:val="Hyperlink"/>
            <w:rFonts w:ascii="Arial" w:hAnsi="Arial" w:cs="Arial"/>
            <w:color w:val="0D0D0D" w:themeColor="text1" w:themeTint="F2"/>
            <w:sz w:val="24"/>
            <w:szCs w:val="24"/>
            <w:u w:val="none"/>
            <w:shd w:val="clear" w:color="auto" w:fill="FFFFFF"/>
          </w:rPr>
          <w:t>https://doi.org/10.4324/9781315691206</w:t>
        </w:r>
      </w:hyperlink>
      <w:r w:rsidRPr="007C0CD5">
        <w:rPr>
          <w:rFonts w:ascii="Arial" w:hAnsi="Arial" w:cs="Arial"/>
          <w:color w:val="0D0D0D" w:themeColor="text1" w:themeTint="F2"/>
          <w:sz w:val="24"/>
          <w:szCs w:val="24"/>
          <w:shd w:val="clear" w:color="auto" w:fill="FFFFFF"/>
        </w:rPr>
        <w:t>.</w:t>
      </w:r>
    </w:p>
    <w:p w14:paraId="51F850A0" w14:textId="77777777"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shd w:val="clear" w:color="auto" w:fill="FFFFFF"/>
        </w:rPr>
        <w:lastRenderedPageBreak/>
        <w:t>Wong, M. (2022). Towards a decolonised and anti-racist British Columbia classroom curriculum. </w:t>
      </w:r>
      <w:r w:rsidRPr="007C0CD5">
        <w:rPr>
          <w:rFonts w:ascii="Arial" w:hAnsi="Arial" w:cs="Arial"/>
          <w:i/>
          <w:iCs/>
          <w:color w:val="0D0D0D" w:themeColor="text1" w:themeTint="F2"/>
          <w:sz w:val="24"/>
          <w:szCs w:val="24"/>
          <w:shd w:val="clear" w:color="auto" w:fill="FFFFFF"/>
        </w:rPr>
        <w:t>International Journal of Home Economics</w:t>
      </w:r>
      <w:r w:rsidRPr="007C0CD5">
        <w:rPr>
          <w:rFonts w:ascii="Arial" w:hAnsi="Arial" w:cs="Arial"/>
          <w:color w:val="0D0D0D" w:themeColor="text1" w:themeTint="F2"/>
          <w:sz w:val="24"/>
          <w:szCs w:val="24"/>
          <w:shd w:val="clear" w:color="auto" w:fill="FFFFFF"/>
        </w:rPr>
        <w:t>, </w:t>
      </w:r>
      <w:r w:rsidRPr="007C0CD5">
        <w:rPr>
          <w:rFonts w:ascii="Arial" w:hAnsi="Arial" w:cs="Arial"/>
          <w:i/>
          <w:iCs/>
          <w:color w:val="0D0D0D" w:themeColor="text1" w:themeTint="F2"/>
          <w:sz w:val="24"/>
          <w:szCs w:val="24"/>
          <w:shd w:val="clear" w:color="auto" w:fill="FFFFFF"/>
        </w:rPr>
        <w:t>15</w:t>
      </w:r>
      <w:r w:rsidRPr="007C0CD5">
        <w:rPr>
          <w:rFonts w:ascii="Arial" w:hAnsi="Arial" w:cs="Arial"/>
          <w:color w:val="0D0D0D" w:themeColor="text1" w:themeTint="F2"/>
          <w:sz w:val="24"/>
          <w:szCs w:val="24"/>
          <w:shd w:val="clear" w:color="auto" w:fill="FFFFFF"/>
        </w:rPr>
        <w:t>(1), 106-122.</w:t>
      </w:r>
    </w:p>
    <w:p w14:paraId="3E39DE0C" w14:textId="6EE2D2FC" w:rsidR="007C0CD5" w:rsidRPr="007C0CD5" w:rsidRDefault="007C0CD5" w:rsidP="007C0CD5">
      <w:pPr>
        <w:spacing w:line="360" w:lineRule="auto"/>
        <w:jc w:val="both"/>
        <w:rPr>
          <w:rFonts w:ascii="Arial" w:hAnsi="Arial" w:cs="Arial"/>
          <w:color w:val="0D0D0D" w:themeColor="text1" w:themeTint="F2"/>
          <w:sz w:val="24"/>
          <w:szCs w:val="24"/>
        </w:rPr>
      </w:pPr>
      <w:r w:rsidRPr="007C0CD5">
        <w:rPr>
          <w:rFonts w:ascii="Arial" w:hAnsi="Arial" w:cs="Arial"/>
          <w:color w:val="0D0D0D" w:themeColor="text1" w:themeTint="F2"/>
          <w:sz w:val="24"/>
          <w:szCs w:val="24"/>
        </w:rPr>
        <w:t>World Health Organisation (2018) NURTURING CARE FOR EARLY CHILDHOOD DEVELOPMENT.</w:t>
      </w:r>
      <w:r w:rsidRPr="007C0CD5">
        <w:rPr>
          <w:rFonts w:ascii="Arial" w:hAnsi="Arial" w:cs="Arial"/>
          <w:color w:val="0D0D0D" w:themeColor="text1" w:themeTint="F2"/>
          <w:sz w:val="24"/>
          <w:szCs w:val="24"/>
        </w:rPr>
        <w:t xml:space="preserve"> </w:t>
      </w:r>
      <w:r w:rsidRPr="007C0CD5">
        <w:rPr>
          <w:rFonts w:ascii="Arial" w:hAnsi="Arial" w:cs="Arial"/>
          <w:color w:val="0D0D0D" w:themeColor="text1" w:themeTint="F2"/>
          <w:sz w:val="24"/>
          <w:szCs w:val="24"/>
        </w:rPr>
        <w:t xml:space="preserve">Available at: </w:t>
      </w:r>
      <w:hyperlink r:id="rId47" w:history="1">
        <w:r w:rsidRPr="007C0CD5">
          <w:rPr>
            <w:rFonts w:ascii="Arial" w:hAnsi="Arial" w:cs="Arial"/>
            <w:color w:val="0D0D0D" w:themeColor="text1" w:themeTint="F2"/>
            <w:sz w:val="24"/>
            <w:szCs w:val="24"/>
          </w:rPr>
          <w:t>https://apps.who.int/iris/bitstream/handle/10665/272603/9789241514064-eng.pdf</w:t>
        </w:r>
      </w:hyperlink>
      <w:r w:rsidRPr="007C0CD5">
        <w:rPr>
          <w:rFonts w:ascii="Arial" w:hAnsi="Arial" w:cs="Arial"/>
          <w:color w:val="0D0D0D" w:themeColor="text1" w:themeTint="F2"/>
          <w:sz w:val="24"/>
          <w:szCs w:val="24"/>
        </w:rPr>
        <w:t xml:space="preserve"> (Accessed: 14</w:t>
      </w:r>
      <w:r w:rsidRPr="007C0CD5">
        <w:rPr>
          <w:rFonts w:ascii="Arial" w:hAnsi="Arial" w:cs="Arial"/>
          <w:color w:val="0D0D0D" w:themeColor="text1" w:themeTint="F2"/>
          <w:sz w:val="24"/>
          <w:szCs w:val="24"/>
          <w:vertAlign w:val="superscript"/>
        </w:rPr>
        <w:t>th</w:t>
      </w:r>
      <w:r w:rsidRPr="007C0CD5">
        <w:rPr>
          <w:rFonts w:ascii="Arial" w:hAnsi="Arial" w:cs="Arial"/>
          <w:color w:val="0D0D0D" w:themeColor="text1" w:themeTint="F2"/>
          <w:sz w:val="24"/>
          <w:szCs w:val="24"/>
        </w:rPr>
        <w:t xml:space="preserve"> June 2023).</w:t>
      </w:r>
    </w:p>
    <w:p w14:paraId="7C6F5E35" w14:textId="77777777" w:rsidR="007C0CD5" w:rsidRPr="007C0CD5" w:rsidRDefault="007C0CD5" w:rsidP="005612F7">
      <w:pPr>
        <w:spacing w:line="360" w:lineRule="auto"/>
        <w:rPr>
          <w:rFonts w:ascii="Arial" w:hAnsi="Arial" w:cs="Arial"/>
          <w:color w:val="000000" w:themeColor="text1"/>
          <w:sz w:val="24"/>
          <w:szCs w:val="24"/>
          <w:u w:val="single"/>
        </w:rPr>
      </w:pPr>
    </w:p>
    <w:sectPr w:rsidR="007C0CD5" w:rsidRPr="007C0CD5">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6C47E" w14:textId="77777777" w:rsidR="00D63E20" w:rsidRDefault="00D63E20" w:rsidP="00C71287">
      <w:pPr>
        <w:spacing w:after="0" w:line="240" w:lineRule="auto"/>
      </w:pPr>
      <w:r>
        <w:separator/>
      </w:r>
    </w:p>
  </w:endnote>
  <w:endnote w:type="continuationSeparator" w:id="0">
    <w:p w14:paraId="5C315D5E" w14:textId="77777777" w:rsidR="00D63E20" w:rsidRDefault="00D63E20" w:rsidP="00C7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1961869"/>
      <w:docPartObj>
        <w:docPartGallery w:val="Page Numbers (Bottom of Page)"/>
        <w:docPartUnique/>
      </w:docPartObj>
    </w:sdtPr>
    <w:sdtContent>
      <w:sdt>
        <w:sdtPr>
          <w:id w:val="1728636285"/>
          <w:docPartObj>
            <w:docPartGallery w:val="Page Numbers (Top of Page)"/>
            <w:docPartUnique/>
          </w:docPartObj>
        </w:sdtPr>
        <w:sdtContent>
          <w:p w14:paraId="56911292" w14:textId="1DA20889" w:rsidR="00B050AA" w:rsidRDefault="00B050A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B28B023" w14:textId="77777777" w:rsidR="00C71287" w:rsidRDefault="00C71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9FCCD" w14:textId="77777777" w:rsidR="00D63E20" w:rsidRDefault="00D63E20" w:rsidP="00C71287">
      <w:pPr>
        <w:spacing w:after="0" w:line="240" w:lineRule="auto"/>
      </w:pPr>
      <w:r>
        <w:separator/>
      </w:r>
    </w:p>
  </w:footnote>
  <w:footnote w:type="continuationSeparator" w:id="0">
    <w:p w14:paraId="5C1066E9" w14:textId="77777777" w:rsidR="00D63E20" w:rsidRDefault="00D63E20" w:rsidP="00C71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8383" w14:textId="5CCCB42B" w:rsidR="00C71287" w:rsidRDefault="00C71287">
    <w:pPr>
      <w:pStyle w:val="Header"/>
    </w:pPr>
    <w:r>
      <w:t>Student:2100587</w:t>
    </w:r>
    <w:r>
      <w:ptab w:relativeTo="margin" w:alignment="center" w:leader="none"/>
    </w:r>
    <w:r>
      <w:t>ECEY6004</w:t>
    </w:r>
    <w:r>
      <w:ptab w:relativeTo="margin" w:alignment="right" w:leader="none"/>
    </w:r>
    <w:r>
      <w:t>Word Count:</w:t>
    </w:r>
    <w:r w:rsidR="007C0CD5">
      <w:t>4398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89"/>
    <w:rsid w:val="000A6B6A"/>
    <w:rsid w:val="000C733F"/>
    <w:rsid w:val="00122E58"/>
    <w:rsid w:val="001408C6"/>
    <w:rsid w:val="00177B53"/>
    <w:rsid w:val="001D0B96"/>
    <w:rsid w:val="001D7316"/>
    <w:rsid w:val="00251E03"/>
    <w:rsid w:val="00252500"/>
    <w:rsid w:val="0025534A"/>
    <w:rsid w:val="003125B7"/>
    <w:rsid w:val="003B5FC0"/>
    <w:rsid w:val="003B7D3A"/>
    <w:rsid w:val="003C48F4"/>
    <w:rsid w:val="00415624"/>
    <w:rsid w:val="00483010"/>
    <w:rsid w:val="004969DC"/>
    <w:rsid w:val="004A5FEA"/>
    <w:rsid w:val="00511C44"/>
    <w:rsid w:val="0051379C"/>
    <w:rsid w:val="005612F7"/>
    <w:rsid w:val="005A659C"/>
    <w:rsid w:val="005F204F"/>
    <w:rsid w:val="00617268"/>
    <w:rsid w:val="00687E55"/>
    <w:rsid w:val="00697D44"/>
    <w:rsid w:val="006C1331"/>
    <w:rsid w:val="006D6DF0"/>
    <w:rsid w:val="006E154F"/>
    <w:rsid w:val="00702DCC"/>
    <w:rsid w:val="00720D5D"/>
    <w:rsid w:val="00732C03"/>
    <w:rsid w:val="00781B36"/>
    <w:rsid w:val="007C0CD5"/>
    <w:rsid w:val="007F7049"/>
    <w:rsid w:val="00835A97"/>
    <w:rsid w:val="008414E6"/>
    <w:rsid w:val="00853389"/>
    <w:rsid w:val="00873374"/>
    <w:rsid w:val="008D1909"/>
    <w:rsid w:val="008E2E0C"/>
    <w:rsid w:val="00961540"/>
    <w:rsid w:val="0096434D"/>
    <w:rsid w:val="00993DDB"/>
    <w:rsid w:val="009C37A4"/>
    <w:rsid w:val="009E6216"/>
    <w:rsid w:val="00A21AF3"/>
    <w:rsid w:val="00A6340E"/>
    <w:rsid w:val="00AF7F72"/>
    <w:rsid w:val="00B050AA"/>
    <w:rsid w:val="00B36BFA"/>
    <w:rsid w:val="00B5512F"/>
    <w:rsid w:val="00B6066B"/>
    <w:rsid w:val="00B8166A"/>
    <w:rsid w:val="00BE7863"/>
    <w:rsid w:val="00C42011"/>
    <w:rsid w:val="00C621FB"/>
    <w:rsid w:val="00C71287"/>
    <w:rsid w:val="00D43964"/>
    <w:rsid w:val="00D63E20"/>
    <w:rsid w:val="00DA1980"/>
    <w:rsid w:val="00DF2CDE"/>
    <w:rsid w:val="00E06007"/>
    <w:rsid w:val="00E2152B"/>
    <w:rsid w:val="00E4047F"/>
    <w:rsid w:val="00E40BE1"/>
    <w:rsid w:val="00F12F6A"/>
    <w:rsid w:val="00F13BC1"/>
    <w:rsid w:val="00F176D9"/>
    <w:rsid w:val="00F255C0"/>
    <w:rsid w:val="00F604FD"/>
    <w:rsid w:val="00F60D9C"/>
    <w:rsid w:val="00FA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B4198"/>
  <w15:chartTrackingRefBased/>
  <w15:docId w15:val="{9D32CAD4-4656-429A-A923-82FB7F2D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C0CD5"/>
    <w:pPr>
      <w:keepNext/>
      <w:keepLines/>
      <w:spacing w:before="40" w:after="0" w:line="254"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287"/>
  </w:style>
  <w:style w:type="paragraph" w:styleId="Footer">
    <w:name w:val="footer"/>
    <w:basedOn w:val="Normal"/>
    <w:link w:val="FooterChar"/>
    <w:uiPriority w:val="99"/>
    <w:unhideWhenUsed/>
    <w:rsid w:val="00C71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287"/>
  </w:style>
  <w:style w:type="paragraph" w:styleId="FootnoteText">
    <w:name w:val="footnote text"/>
    <w:basedOn w:val="Normal"/>
    <w:link w:val="FootnoteTextChar"/>
    <w:uiPriority w:val="99"/>
    <w:semiHidden/>
    <w:unhideWhenUsed/>
    <w:rsid w:val="005F20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204F"/>
    <w:rPr>
      <w:sz w:val="20"/>
      <w:szCs w:val="20"/>
    </w:rPr>
  </w:style>
  <w:style w:type="character" w:styleId="FootnoteReference">
    <w:name w:val="footnote reference"/>
    <w:basedOn w:val="DefaultParagraphFont"/>
    <w:uiPriority w:val="99"/>
    <w:semiHidden/>
    <w:unhideWhenUsed/>
    <w:rsid w:val="005F204F"/>
    <w:rPr>
      <w:vertAlign w:val="superscript"/>
    </w:rPr>
  </w:style>
  <w:style w:type="character" w:customStyle="1" w:styleId="Heading2Char">
    <w:name w:val="Heading 2 Char"/>
    <w:basedOn w:val="DefaultParagraphFont"/>
    <w:link w:val="Heading2"/>
    <w:uiPriority w:val="9"/>
    <w:semiHidden/>
    <w:rsid w:val="007C0CD5"/>
    <w:rPr>
      <w:rFonts w:asciiTheme="majorHAnsi" w:eastAsiaTheme="majorEastAsia" w:hAnsiTheme="majorHAnsi" w:cstheme="majorBidi"/>
      <w:color w:val="2F5496" w:themeColor="accent1" w:themeShade="BF"/>
      <w:sz w:val="26"/>
      <w:szCs w:val="26"/>
      <w:lang w:eastAsia="zh-CN"/>
    </w:rPr>
  </w:style>
  <w:style w:type="character" w:styleId="Hyperlink">
    <w:name w:val="Hyperlink"/>
    <w:basedOn w:val="DefaultParagraphFont"/>
    <w:uiPriority w:val="99"/>
    <w:unhideWhenUsed/>
    <w:rsid w:val="007C0CD5"/>
    <w:rPr>
      <w:color w:val="0563C1" w:themeColor="hyperlink"/>
      <w:u w:val="single"/>
    </w:rPr>
  </w:style>
  <w:style w:type="character" w:customStyle="1" w:styleId="surname">
    <w:name w:val="surname"/>
    <w:basedOn w:val="DefaultParagraphFont"/>
    <w:rsid w:val="007C0CD5"/>
  </w:style>
  <w:style w:type="character" w:customStyle="1" w:styleId="author">
    <w:name w:val="author"/>
    <w:basedOn w:val="DefaultParagraphFont"/>
    <w:rsid w:val="007C0CD5"/>
  </w:style>
  <w:style w:type="character" w:customStyle="1" w:styleId="pubyear">
    <w:name w:val="pubyear"/>
    <w:basedOn w:val="DefaultParagraphFont"/>
    <w:rsid w:val="007C0CD5"/>
  </w:style>
  <w:style w:type="character" w:customStyle="1" w:styleId="articletitle">
    <w:name w:val="articletitle"/>
    <w:basedOn w:val="DefaultParagraphFont"/>
    <w:rsid w:val="007C0CD5"/>
  </w:style>
  <w:style w:type="character" w:customStyle="1" w:styleId="vol">
    <w:name w:val="vol"/>
    <w:basedOn w:val="DefaultParagraphFont"/>
    <w:rsid w:val="007C0CD5"/>
  </w:style>
  <w:style w:type="character" w:customStyle="1" w:styleId="pagefirst">
    <w:name w:val="pagefirst"/>
    <w:basedOn w:val="DefaultParagraphFont"/>
    <w:rsid w:val="007C0CD5"/>
  </w:style>
  <w:style w:type="character" w:customStyle="1" w:styleId="pagelast">
    <w:name w:val="pagelast"/>
    <w:basedOn w:val="DefaultParagraphFont"/>
    <w:rsid w:val="007C0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4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international1892.org/wpcontent/uploads/2021/07/InclusiveLeadershipBriefJuly2021.pdf" TargetMode="External"/><Relationship Id="rId18" Type="http://schemas.openxmlformats.org/officeDocument/2006/relationships/hyperlink" Target="https://www.emerald.com/insight/publication/issn/0957-8234" TargetMode="External"/><Relationship Id="rId26" Type="http://schemas.openxmlformats.org/officeDocument/2006/relationships/hyperlink" Target="https://doi.org/10.1111/j.0022-2445.2005.00012.x" TargetMode="External"/><Relationship Id="rId39" Type="http://schemas.openxmlformats.org/officeDocument/2006/relationships/hyperlink" Target="https://gov.wales/sites/default/files/publications/2018-03/succesful-futures-a-summary-of-professor-graham-donaldsons-report.pdf" TargetMode="External"/><Relationship Id="rId21" Type="http://schemas.openxmlformats.org/officeDocument/2006/relationships/hyperlink" Target="https://doi.org/10.1080/02650533.2020.1834371" TargetMode="External"/><Relationship Id="rId34" Type="http://schemas.openxmlformats.org/officeDocument/2006/relationships/hyperlink" Target="https://www.oecd.org/education/wales-should-continue-reforms-to-boost-quality-and-equity-of-school-system.htm" TargetMode="External"/><Relationship Id="rId42" Type="http://schemas.openxmlformats.org/officeDocument/2006/relationships/hyperlink" Target="https://gov.wales/curriculum-wales-overview" TargetMode="External"/><Relationship Id="rId47" Type="http://schemas.openxmlformats.org/officeDocument/2006/relationships/hyperlink" Target="https://apps.who.int/iris/bitstream/handle/10665/272603/9789241514064-eng.pdf" TargetMode="External"/><Relationship Id="rId50" Type="http://schemas.openxmlformats.org/officeDocument/2006/relationships/fontTable" Target="fontTable.xml"/><Relationship Id="rId7" Type="http://schemas.openxmlformats.org/officeDocument/2006/relationships/hyperlink" Target="https://promundoglobal.org/wp-content/uploads/2020/08/Parenting-Education_-the-role-of-fathers_-paper-060520-2-col.pdf" TargetMode="External"/><Relationship Id="rId2" Type="http://schemas.openxmlformats.org/officeDocument/2006/relationships/styles" Target="styles.xml"/><Relationship Id="rId16" Type="http://schemas.openxmlformats.org/officeDocument/2006/relationships/hyperlink" Target="https://www.dadsgroup.org/dadsgroupabout" TargetMode="External"/><Relationship Id="rId29" Type="http://schemas.openxmlformats.org/officeDocument/2006/relationships/hyperlink" Target="https://www.hindawi.com/journals/edri/2018/3524879/" TargetMode="External"/><Relationship Id="rId11" Type="http://schemas.openxmlformats.org/officeDocument/2006/relationships/hyperlink" Target="https://www.theguardian.com/social-care-network/2013/feb/21/single-parents-beyond-the-stigma" TargetMode="External"/><Relationship Id="rId24" Type="http://schemas.openxmlformats.org/officeDocument/2006/relationships/hyperlink" Target="https://www.familyfriendlyhq.ie/parenthood/health-wellness/dads-lonely-too-11667/" TargetMode="External"/><Relationship Id="rId32" Type="http://schemas.openxmlformats.org/officeDocument/2006/relationships/hyperlink" Target="https://learning.nspcc.org.uk/child-protection-system/multi-agency-working-child-protection" TargetMode="External"/><Relationship Id="rId37" Type="http://schemas.openxmlformats.org/officeDocument/2006/relationships/hyperlink" Target="https://assets.publishing.service.gov.uk/government/uploads/system/uploads/attachment_data/file/330332/RR369_Assessing_parental_capacity_to_change_Final.pdf" TargetMode="External"/><Relationship Id="rId40" Type="http://schemas.openxmlformats.org/officeDocument/2006/relationships/hyperlink" Target="https://gov.wales/sites/default/files/publications/2018-12/face-the-challenge-together-family-and-community-engagement-toolkit-for-schools-in-wales-main-guidance.pdf" TargetMode="External"/><Relationship Id="rId45" Type="http://schemas.openxmlformats.org/officeDocument/2006/relationships/hyperlink" Target="https://doi.org/10.1093/esr/jcu050" TargetMode="External"/><Relationship Id="rId5" Type="http://schemas.openxmlformats.org/officeDocument/2006/relationships/footnotes" Target="footnotes.xml"/><Relationship Id="rId15" Type="http://schemas.openxmlformats.org/officeDocument/2006/relationships/hyperlink" Target="https://doi.org/10.1080/1350293X.2013.788314" TargetMode="External"/><Relationship Id="rId23" Type="http://schemas.openxmlformats.org/officeDocument/2006/relationships/hyperlink" Target="https://doi.org/10.1080/13632434.2020.1704470" TargetMode="External"/><Relationship Id="rId28" Type="http://schemas.openxmlformats.org/officeDocument/2006/relationships/hyperlink" Target="https://www.washingtonpost.com/news/parenting/wp/2015/04/20/im-a-dad-in-a-moms-world/" TargetMode="External"/><Relationship Id="rId36" Type="http://schemas.openxmlformats.org/officeDocument/2006/relationships/hyperlink" Target="https://doi.org/10.1016/j.wsif.2010.02.019" TargetMode="External"/><Relationship Id="rId49" Type="http://schemas.openxmlformats.org/officeDocument/2006/relationships/footer" Target="footer1.xml"/><Relationship Id="rId10" Type="http://schemas.openxmlformats.org/officeDocument/2006/relationships/hyperlink" Target="https://inclusiveleadership.eu/il_theoreticalframework_en.pdf" TargetMode="External"/><Relationship Id="rId19" Type="http://schemas.openxmlformats.org/officeDocument/2006/relationships/hyperlink" Target="https://gov.wales/sites/default/files/publications/2018-03/successful-futures.pdf" TargetMode="External"/><Relationship Id="rId31" Type="http://schemas.openxmlformats.org/officeDocument/2006/relationships/hyperlink" Target="https://doi.org/10.2304/eerj.2012.11.3.357" TargetMode="External"/><Relationship Id="rId44" Type="http://schemas.openxmlformats.org/officeDocument/2006/relationships/hyperlink" Target="https://hwb.gov.wales/curriculum-for-wales/introduction" TargetMode="External"/><Relationship Id="rId4" Type="http://schemas.openxmlformats.org/officeDocument/2006/relationships/webSettings" Target="webSettings.xml"/><Relationship Id="rId9" Type="http://schemas.openxmlformats.org/officeDocument/2006/relationships/hyperlink" Target="https://psycnet.apa.org/doi/10.1002/9781118764282.ch10" TargetMode="External"/><Relationship Id="rId14" Type="http://schemas.openxmlformats.org/officeDocument/2006/relationships/hyperlink" Target="https://www.childcomwales.org.uk/wp-content/uploads/2017/05/The-Right-Way-Education.pdf" TargetMode="External"/><Relationship Id="rId22" Type="http://schemas.openxmlformats.org/officeDocument/2006/relationships/hyperlink" Target="https://www.foundationyears.org.uk/files/2015/06/Section-3-Universal-inclusive-practice.pdf" TargetMode="External"/><Relationship Id="rId27" Type="http://schemas.openxmlformats.org/officeDocument/2006/relationships/hyperlink" Target="https://lincprogramme.ie/blog/why-partnership-with-parents-is-so-important" TargetMode="External"/><Relationship Id="rId30" Type="http://schemas.openxmlformats.org/officeDocument/2006/relationships/hyperlink" Target="https://www.rte.ie/brainstorm/2021/0628/1231750-ireland-social-workers-tusla-children/" TargetMode="External"/><Relationship Id="rId35"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43" Type="http://schemas.openxmlformats.org/officeDocument/2006/relationships/hyperlink" Target="https://gov.wales/sites/default/files/publications/2020-10/education-in-Wales-our-national-mission-update-october-2020.pdf" TargetMode="External"/><Relationship Id="rId48" Type="http://schemas.openxmlformats.org/officeDocument/2006/relationships/header" Target="header1.xml"/><Relationship Id="rId8" Type="http://schemas.openxmlformats.org/officeDocument/2006/relationships/hyperlink" Target="http://dx.doi.org/10.1177/0002716210393648"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jlh52\Downloads\Brene-Brown-on-Power-and-Leadership-10-26-20.pdf" TargetMode="External"/><Relationship Id="rId17" Type="http://schemas.openxmlformats.org/officeDocument/2006/relationships/hyperlink" Target="https://www.emerald.com/insight/search?q=David%20DeMatthews" TargetMode="External"/><Relationship Id="rId25" Type="http://schemas.openxmlformats.org/officeDocument/2006/relationships/hyperlink" Target="https://doi.org/10.1002/curj.25" TargetMode="External"/><Relationship Id="rId33" Type="http://schemas.openxmlformats.org/officeDocument/2006/relationships/hyperlink" Target="https://books.google.co.uk/books?hl=en&amp;lr=&amp;id=3kFPi4U4iXwC&amp;oi=fnd&amp;pg=PP2&amp;dq=early+years+inclusion+&amp;ots=HVxfEXtBU_&amp;sig=SUTPNMJqdYex-oDWcAvZvCSIP-g&amp;redir_esc=y" TargetMode="External"/><Relationship Id="rId38" Type="http://schemas.openxmlformats.org/officeDocument/2006/relationships/hyperlink" Target="https://gov.wales/sites/default/files/publications/2018-03/the-four-purposes-of-the-curriculum-for-wales.pdf" TargetMode="External"/><Relationship Id="rId46" Type="http://schemas.openxmlformats.org/officeDocument/2006/relationships/hyperlink" Target="https://doi.org/10.4324/9781315691206" TargetMode="External"/><Relationship Id="rId20" Type="http://schemas.openxmlformats.org/officeDocument/2006/relationships/hyperlink" Target="https://doi.org/10.1787/6e563bae-en" TargetMode="External"/><Relationship Id="rId41" Type="http://schemas.openxmlformats.org/officeDocument/2006/relationships/hyperlink" Target="http://wcva.cymru/wp-content/uploads/2020/03/The-Ways-of-Working-of-The-Well-being-of-Future-Generations-Wales-Act-2015.pdf"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66C16-63B6-4EAC-A986-F15F68E6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6329</TotalTime>
  <Pages>22</Pages>
  <Words>7526</Words>
  <Characters>42903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(2100587)</dc:creator>
  <cp:keywords/>
  <dc:description/>
  <cp:lastModifiedBy>Chloe Thomas (2100587)</cp:lastModifiedBy>
  <cp:revision>44</cp:revision>
  <dcterms:created xsi:type="dcterms:W3CDTF">2023-06-11T16:27:00Z</dcterms:created>
  <dcterms:modified xsi:type="dcterms:W3CDTF">2023-06-18T16:47:00Z</dcterms:modified>
</cp:coreProperties>
</file>