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565001" w:rsidRDefault="00565001">
      <w:pPr>
        <w:pStyle w:val="NoSpacing"/>
        <w:pageBreakBefore/>
        <w:rPr>
          <w:rFonts w:ascii="Times New Roman" w:hAnsi="Times New Roman" w:cs="Times New Roman"/>
          <w:sz w:val="96"/>
          <w:szCs w:val="96"/>
        </w:rPr>
      </w:pPr>
    </w:p>
    <w:p w:rsidR="00565001" w:rsidRDefault="00565001">
      <w:pPr>
        <w:pStyle w:val="NoSpacing"/>
        <w:rPr>
          <w:rFonts w:ascii="Times New Roman" w:hAnsi="Times New Roman" w:cs="Times New Roman"/>
          <w:sz w:val="96"/>
          <w:szCs w:val="96"/>
        </w:rPr>
      </w:pPr>
    </w:p>
    <w:p w:rsidR="00565001" w:rsidRDefault="00565001">
      <w:pPr>
        <w:pStyle w:val="NoSpacing"/>
        <w:jc w:val="center"/>
        <w:rPr>
          <w:rFonts w:ascii="Times New Roman" w:hAnsi="Times New Roman" w:cs="Times New Roman"/>
          <w:sz w:val="96"/>
          <w:szCs w:val="96"/>
        </w:rPr>
      </w:pPr>
      <w:r>
        <w:rPr>
          <w:rFonts w:ascii="Times New Roman" w:hAnsi="Times New Roman" w:cs="Times New Roman"/>
          <w:b/>
          <w:bCs/>
          <w:color w:val="000000"/>
          <w:sz w:val="96"/>
          <w:szCs w:val="96"/>
        </w:rPr>
        <w:t>Community</w:t>
      </w:r>
      <w:r w:rsidR="00E8107E">
        <w:rPr>
          <w:rFonts w:ascii="Times New Roman" w:hAnsi="Times New Roman" w:cs="Times New Roman"/>
          <w:b/>
          <w:bCs/>
          <w:color w:val="000000"/>
          <w:sz w:val="96"/>
          <w:szCs w:val="96"/>
        </w:rPr>
        <w:t xml:space="preserve"> </w:t>
      </w:r>
      <w:r>
        <w:rPr>
          <w:rFonts w:ascii="Times New Roman" w:hAnsi="Times New Roman" w:cs="Times New Roman"/>
          <w:b/>
          <w:bCs/>
          <w:color w:val="000000"/>
          <w:sz w:val="96"/>
          <w:szCs w:val="96"/>
        </w:rPr>
        <w:t xml:space="preserve"> Engagement-1</w:t>
      </w:r>
      <w:r>
        <w:rPr>
          <w:rFonts w:ascii="Times New Roman" w:hAnsi="Times New Roman" w:cs="Times New Roman"/>
          <w:b/>
          <w:bCs/>
          <w:sz w:val="96"/>
          <w:szCs w:val="96"/>
        </w:rPr>
        <w:t xml:space="preserve"> </w:t>
      </w:r>
    </w:p>
    <w:p w:rsidR="00565001" w:rsidRDefault="00565001">
      <w:pPr>
        <w:pStyle w:val="NoSpacing"/>
        <w:jc w:val="right"/>
        <w:rPr>
          <w:rFonts w:ascii="Times New Roman" w:hAnsi="Times New Roman" w:cs="Times New Roman"/>
          <w:sz w:val="96"/>
          <w:szCs w:val="96"/>
        </w:rPr>
      </w:pPr>
    </w:p>
    <w:p w:rsidR="000E51A6" w:rsidRPr="000E51A6" w:rsidRDefault="000E51A6" w:rsidP="000E51A6">
      <w:pPr>
        <w:suppressAutoHyphens w:val="0"/>
        <w:spacing w:after="160"/>
        <w:rPr>
          <w:rFonts w:eastAsiaTheme="minorHAnsi" w:cstheme="minorBidi"/>
          <w:color w:val="auto"/>
          <w:lang w:val="en-US" w:eastAsia="en-US"/>
        </w:rPr>
      </w:pPr>
      <w:r w:rsidRPr="000E51A6">
        <w:rPr>
          <w:rFonts w:eastAsiaTheme="minorHAnsi" w:cstheme="minorBidi"/>
          <w:color w:val="auto"/>
          <w:lang w:val="en-US" w:eastAsia="en-US"/>
        </w:rPr>
        <w:t>Student ID :1919245</w:t>
      </w:r>
    </w:p>
    <w:p w:rsidR="000E51A6" w:rsidRDefault="000E51A6" w:rsidP="000E51A6">
      <w:pPr>
        <w:suppressAutoHyphens w:val="0"/>
        <w:spacing w:after="160"/>
        <w:rPr>
          <w:rFonts w:eastAsiaTheme="minorHAnsi" w:cstheme="minorBidi"/>
          <w:color w:val="auto"/>
          <w:lang w:val="en-US" w:eastAsia="en-US"/>
        </w:rPr>
      </w:pPr>
      <w:r w:rsidRPr="000E51A6">
        <w:rPr>
          <w:rFonts w:eastAsiaTheme="minorHAnsi" w:cstheme="minorBidi"/>
          <w:color w:val="auto"/>
          <w:lang w:val="en-US" w:eastAsia="en-US"/>
        </w:rPr>
        <w:t xml:space="preserve">Student Name: Mihaela-Cristina Teleanu </w:t>
      </w:r>
    </w:p>
    <w:p w:rsidR="00565001" w:rsidRPr="000E51A6" w:rsidRDefault="000E51A6" w:rsidP="000E51A6">
      <w:pPr>
        <w:suppressAutoHyphens w:val="0"/>
        <w:spacing w:after="160"/>
        <w:rPr>
          <w:rFonts w:eastAsiaTheme="minorHAnsi" w:cstheme="minorBidi"/>
          <w:color w:val="auto"/>
          <w:lang w:val="en-US" w:eastAsia="en-US"/>
        </w:rPr>
      </w:pPr>
      <w:r w:rsidRPr="000E51A6">
        <w:rPr>
          <w:rFonts w:eastAsiaTheme="minorHAnsi" w:cstheme="minorBidi"/>
          <w:lang w:val="en-US" w:eastAsia="en-US"/>
        </w:rPr>
        <w:t xml:space="preserve">Lecturer Name: </w:t>
      </w:r>
      <w:proofErr w:type="spellStart"/>
      <w:r w:rsidR="00C627F7">
        <w:rPr>
          <w:rFonts w:eastAsiaTheme="minorHAnsi" w:cstheme="minorBidi"/>
          <w:lang w:val="en-US" w:eastAsia="en-US"/>
        </w:rPr>
        <w:t>Rula</w:t>
      </w:r>
      <w:proofErr w:type="spellEnd"/>
      <w:r w:rsidR="00C627F7">
        <w:rPr>
          <w:rFonts w:eastAsiaTheme="minorHAnsi" w:cstheme="minorBidi"/>
          <w:lang w:val="en-US" w:eastAsia="en-US"/>
        </w:rPr>
        <w:t xml:space="preserve"> </w:t>
      </w:r>
      <w:proofErr w:type="spellStart"/>
      <w:r w:rsidR="00C627F7">
        <w:rPr>
          <w:rFonts w:eastAsiaTheme="minorHAnsi" w:cstheme="minorBidi"/>
          <w:lang w:val="en-US" w:eastAsia="en-US"/>
        </w:rPr>
        <w:t>Alousi</w:t>
      </w:r>
      <w:proofErr w:type="spellEnd"/>
    </w:p>
    <w:p w:rsidR="00565001" w:rsidRDefault="00565001">
      <w:pPr>
        <w:jc w:val="center"/>
        <w:rPr>
          <w:rFonts w:ascii="Times" w:hAnsi="Times" w:cs="Times"/>
          <w:b/>
          <w:bCs/>
          <w:sz w:val="72"/>
          <w:szCs w:val="72"/>
        </w:rPr>
      </w:pPr>
    </w:p>
    <w:p w:rsidR="00565001" w:rsidRDefault="00565001">
      <w:pPr>
        <w:pStyle w:val="BodyText"/>
        <w:pageBreakBefore/>
        <w:jc w:val="center"/>
        <w:rPr>
          <w:rFonts w:ascii="Times" w:hAnsi="Times" w:cs="Times"/>
          <w:b/>
          <w:bCs/>
          <w:sz w:val="72"/>
          <w:szCs w:val="72"/>
        </w:rPr>
      </w:pPr>
    </w:p>
    <w:p w:rsidR="00565001" w:rsidRDefault="00565001">
      <w:pPr>
        <w:pStyle w:val="ContentsHeading"/>
      </w:pPr>
      <w:r>
        <w:t>Table of Contents</w:t>
      </w:r>
    </w:p>
    <w:p w:rsidR="00565001" w:rsidRDefault="00565001">
      <w:pPr>
        <w:pStyle w:val="TOC1"/>
      </w:pPr>
      <w:r>
        <w:fldChar w:fldCharType="begin"/>
      </w:r>
      <w:r>
        <w:instrText xml:space="preserve"> TOC \f \o "1-9" \o "1-9" </w:instrText>
      </w:r>
      <w:r>
        <w:fldChar w:fldCharType="separate"/>
      </w:r>
      <w:r>
        <w:t>INTRODUCTION</w:t>
      </w:r>
      <w:r>
        <w:tab/>
        <w:t>1</w:t>
      </w:r>
    </w:p>
    <w:p w:rsidR="00565001" w:rsidRDefault="00565001">
      <w:pPr>
        <w:pStyle w:val="TOC1"/>
      </w:pPr>
      <w:r>
        <w:t>MAIN BODY.</w:t>
      </w:r>
      <w:r>
        <w:tab/>
        <w:t>1</w:t>
      </w:r>
    </w:p>
    <w:p w:rsidR="00565001" w:rsidRDefault="00565001">
      <w:pPr>
        <w:pStyle w:val="TOC2"/>
        <w:tabs>
          <w:tab w:val="clear" w:pos="9077"/>
          <w:tab w:val="right" w:leader="dot" w:pos="9360"/>
        </w:tabs>
      </w:pPr>
      <w:r>
        <w:t>1. Identify and establish the sort of relationship they have with the stakeholders and how they engaged with them</w:t>
      </w:r>
      <w:r>
        <w:tab/>
        <w:t>1</w:t>
      </w:r>
    </w:p>
    <w:p w:rsidR="00565001" w:rsidRDefault="00565001">
      <w:pPr>
        <w:pStyle w:val="TOC2"/>
        <w:tabs>
          <w:tab w:val="clear" w:pos="9077"/>
          <w:tab w:val="right" w:leader="dot" w:pos="9360"/>
        </w:tabs>
      </w:pPr>
      <w:r>
        <w:t>2. Evaluate different areas of the organisation and highlight about how community engagement evolved. Discuss about range of skills, knowledge and strategies employees require</w:t>
      </w:r>
      <w:r>
        <w:cr/>
        <w:t xml:space="preserve"> to carry out their jobs effectively and efficiently.</w:t>
      </w:r>
      <w:r>
        <w:tab/>
        <w:t>2</w:t>
      </w:r>
    </w:p>
    <w:p w:rsidR="00565001" w:rsidRDefault="00565001">
      <w:pPr>
        <w:pStyle w:val="TOC2"/>
        <w:tabs>
          <w:tab w:val="clear" w:pos="9077"/>
          <w:tab w:val="right" w:leader="dot" w:pos="9360"/>
        </w:tabs>
      </w:pPr>
      <w:r>
        <w:t>3. Provide a detailed narrative of how they use different social media platforms as an outreach to support the programme/ business</w:t>
      </w:r>
      <w:r>
        <w:tab/>
        <w:t>4</w:t>
      </w:r>
    </w:p>
    <w:p w:rsidR="00565001" w:rsidRDefault="00565001">
      <w:pPr>
        <w:pStyle w:val="TOC2"/>
        <w:tabs>
          <w:tab w:val="clear" w:pos="9077"/>
          <w:tab w:val="right" w:leader="dot" w:pos="9360"/>
        </w:tabs>
      </w:pPr>
      <w:r>
        <w:t>4. Explain the training and development required to equip employees in dealing with socio-cultural issues within society.</w:t>
      </w:r>
      <w:r>
        <w:tab/>
        <w:t>4</w:t>
      </w:r>
    </w:p>
    <w:p w:rsidR="00565001" w:rsidRDefault="00565001">
      <w:pPr>
        <w:pStyle w:val="TOC2"/>
        <w:tabs>
          <w:tab w:val="clear" w:pos="9077"/>
          <w:tab w:val="right" w:leader="dot" w:pos="9360"/>
        </w:tabs>
      </w:pPr>
      <w:r>
        <w:t>5. Consider why the organisations need to adopt a forward-looking approach in training their employees on multiculturalism, and the external factors that should be considered in building and sustaining business relationship between the Organisation and its network partners.</w:t>
      </w:r>
      <w:r>
        <w:tab/>
        <w:t>5</w:t>
      </w:r>
    </w:p>
    <w:p w:rsidR="00565001" w:rsidRDefault="00565001">
      <w:pPr>
        <w:pStyle w:val="TOC1"/>
      </w:pPr>
      <w:r>
        <w:t>CONCLUSION</w:t>
      </w:r>
      <w:r>
        <w:tab/>
        <w:t>5</w:t>
      </w:r>
    </w:p>
    <w:p w:rsidR="00565001" w:rsidRDefault="00565001">
      <w:pPr>
        <w:pStyle w:val="TOC1"/>
        <w:rPr>
          <w:rFonts w:ascii="Times" w:hAnsi="Times" w:cs="Times"/>
          <w:b/>
          <w:bCs/>
          <w:sz w:val="72"/>
          <w:szCs w:val="72"/>
        </w:rPr>
      </w:pPr>
      <w:r>
        <w:t>REFERENCES</w:t>
      </w:r>
      <w:r>
        <w:tab/>
        <w:t>7</w:t>
      </w:r>
      <w:r>
        <w:fldChar w:fldCharType="end"/>
      </w:r>
    </w:p>
    <w:p w:rsidR="00565001" w:rsidRDefault="00565001">
      <w:pPr>
        <w:pStyle w:val="BodyText"/>
        <w:jc w:val="center"/>
        <w:rPr>
          <w:rFonts w:ascii="Times" w:hAnsi="Times" w:cs="Times"/>
          <w:b/>
          <w:bCs/>
          <w:sz w:val="72"/>
          <w:szCs w:val="72"/>
        </w:rPr>
      </w:pPr>
    </w:p>
    <w:p w:rsidR="00565001" w:rsidRDefault="00565001">
      <w:pPr>
        <w:pStyle w:val="Heading1"/>
        <w:numPr>
          <w:ilvl w:val="0"/>
          <w:numId w:val="0"/>
        </w:numPr>
        <w:jc w:val="center"/>
        <w:rPr>
          <w:rFonts w:ascii="Times" w:hAnsi="Times" w:cs="Times"/>
          <w:sz w:val="88"/>
          <w:szCs w:val="88"/>
        </w:rPr>
      </w:pPr>
    </w:p>
    <w:p w:rsidR="00565001" w:rsidRDefault="00565001">
      <w:pPr>
        <w:pStyle w:val="Heading1"/>
        <w:numPr>
          <w:ilvl w:val="0"/>
          <w:numId w:val="0"/>
        </w:numPr>
        <w:jc w:val="center"/>
        <w:rPr>
          <w:rFonts w:ascii="Times" w:hAnsi="Times" w:cs="Times"/>
          <w:sz w:val="88"/>
          <w:szCs w:val="88"/>
        </w:rPr>
      </w:pPr>
    </w:p>
    <w:p w:rsidR="00565001" w:rsidRDefault="00565001">
      <w:pPr>
        <w:pStyle w:val="Heading1"/>
        <w:numPr>
          <w:ilvl w:val="0"/>
          <w:numId w:val="0"/>
        </w:numPr>
        <w:jc w:val="center"/>
        <w:rPr>
          <w:rFonts w:ascii="Times" w:hAnsi="Times" w:cs="Times"/>
        </w:rPr>
      </w:pPr>
    </w:p>
    <w:p w:rsidR="00565001" w:rsidRDefault="00565001">
      <w:pPr>
        <w:spacing w:before="113"/>
        <w:jc w:val="center"/>
        <w:rPr>
          <w:rFonts w:ascii="Times" w:hAnsi="Times" w:cs="Times"/>
          <w:sz w:val="88"/>
          <w:szCs w:val="88"/>
        </w:rPr>
      </w:pPr>
    </w:p>
    <w:p w:rsidR="00565001" w:rsidRDefault="00565001">
      <w:pPr>
        <w:rPr>
          <w:rFonts w:ascii="Times" w:hAnsi="Times" w:cs="Times"/>
        </w:rPr>
      </w:pPr>
    </w:p>
    <w:p w:rsidR="00565001" w:rsidRDefault="00565001">
      <w:pPr>
        <w:sectPr w:rsidR="0056500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565001" w:rsidRDefault="00565001">
      <w:pPr>
        <w:pStyle w:val="Heading1"/>
      </w:pPr>
      <w:r>
        <w:lastRenderedPageBreak/>
        <w:t>INTRODUCTION</w:t>
      </w:r>
    </w:p>
    <w:p w:rsidR="00565001" w:rsidRDefault="00565001">
      <w:r>
        <w:tab/>
        <w:t>Community and Engagement is the procedure of commence working collaborative where group of people affiliated on geographic proximity, special interest or having similar situation to addresses for better create issues The issues are mainly enhance affects those people that enhance powerful vehicle that bringing about the environmental and behavioural that creates change effecting towards well being (</w:t>
      </w:r>
      <w:proofErr w:type="spellStart"/>
      <w:r>
        <w:rPr>
          <w:szCs w:val="24"/>
        </w:rPr>
        <w:t>Abimbola</w:t>
      </w:r>
      <w:proofErr w:type="spellEnd"/>
      <w:r>
        <w:rPr>
          <w:szCs w:val="24"/>
        </w:rPr>
        <w:t>., 2020)</w:t>
      </w:r>
      <w:r>
        <w:t xml:space="preserve">. It is more strengthen that generate and behavioural changes within effective. The objective of conduct community engagement is to enhance work in discipline and makes public support and satisfaction as well as over comes challenges reduced. </w:t>
      </w:r>
    </w:p>
    <w:p w:rsidR="00565001" w:rsidRDefault="00565001">
      <w:r>
        <w:tab/>
        <w:t>In perspective of this report, the organisation is consider is “A London Service Ambulance” that comes under National health Services company. The NHS is British based venture that provide free rides of point for using emergency medical that essential of carrying towards better person treatment within United Kingdom (</w:t>
      </w:r>
      <w:proofErr w:type="spellStart"/>
      <w:r>
        <w:rPr>
          <w:szCs w:val="24"/>
        </w:rPr>
        <w:t>Brunton</w:t>
      </w:r>
      <w:proofErr w:type="spellEnd"/>
      <w:r>
        <w:rPr>
          <w:szCs w:val="24"/>
        </w:rPr>
        <w:t xml:space="preserve">, Jamal and </w:t>
      </w:r>
      <w:proofErr w:type="spellStart"/>
      <w:r>
        <w:rPr>
          <w:szCs w:val="24"/>
        </w:rPr>
        <w:t>Kavanagh</w:t>
      </w:r>
      <w:proofErr w:type="spellEnd"/>
      <w:r>
        <w:rPr>
          <w:szCs w:val="24"/>
        </w:rPr>
        <w:t>., 2017)</w:t>
      </w:r>
      <w:r>
        <w:t xml:space="preserve">. They initially provides 14 National Health service that creates trust 11 ambulance separate towards national worldwide series in Scotland respectively. The following discussion is made on the benefits of the social program to the society, relationship with stakeholders and engagement with the company, different areas of </w:t>
      </w:r>
      <w:proofErr w:type="spellStart"/>
      <w:r>
        <w:t>organization</w:t>
      </w:r>
      <w:proofErr w:type="spellEnd"/>
      <w:r>
        <w:t xml:space="preserve"> along with the skills that are required by the employees to perform their jobs in a effective manner, social media platforms to outreach the community and forward looking approach for employees to build the networks within or outside the </w:t>
      </w:r>
      <w:proofErr w:type="spellStart"/>
      <w:r>
        <w:t>organization</w:t>
      </w:r>
      <w:proofErr w:type="spellEnd"/>
      <w:r>
        <w:t xml:space="preserve"> with proper findings and conclusion.          </w:t>
      </w:r>
    </w:p>
    <w:p w:rsidR="00565001" w:rsidRDefault="00565001">
      <w:pPr>
        <w:pStyle w:val="Heading1"/>
      </w:pPr>
      <w:r>
        <w:t>MAIN BODY.</w:t>
      </w:r>
    </w:p>
    <w:p w:rsidR="00565001" w:rsidRDefault="00565001">
      <w:pPr>
        <w:pStyle w:val="Heading2"/>
        <w:rPr>
          <w:b/>
        </w:rPr>
      </w:pPr>
      <w:r>
        <w:t>1. Identify and establish the sort of relationship they have with the stakeholders and how they engaged with them</w:t>
      </w:r>
    </w:p>
    <w:p w:rsidR="00565001" w:rsidRDefault="00565001">
      <w:pPr>
        <w:rPr>
          <w:b/>
          <w:bCs/>
          <w:i/>
          <w:iCs/>
        </w:rPr>
      </w:pPr>
      <w:r>
        <w:rPr>
          <w:b/>
          <w:bCs/>
          <w:u w:val="single"/>
        </w:rPr>
        <w:t>Establishing relationship</w:t>
      </w:r>
    </w:p>
    <w:p w:rsidR="00565001" w:rsidRDefault="00565001">
      <w:pPr>
        <w:rPr>
          <w:b/>
          <w:bCs/>
          <w:i/>
          <w:iCs/>
        </w:rPr>
      </w:pPr>
      <w:r>
        <w:rPr>
          <w:b/>
          <w:bCs/>
          <w:i/>
          <w:iCs/>
        </w:rPr>
        <w:t>Grouping and brainstorming</w:t>
      </w:r>
    </w:p>
    <w:p w:rsidR="00565001" w:rsidRDefault="00565001">
      <w:pPr>
        <w:rPr>
          <w:b/>
          <w:bCs/>
          <w:i/>
          <w:iCs/>
        </w:rPr>
      </w:pPr>
      <w:r>
        <w:rPr>
          <w:b/>
          <w:bCs/>
          <w:i/>
          <w:iCs/>
        </w:rPr>
        <w:tab/>
      </w:r>
      <w:r>
        <w:t>It is one of the method to establish the relationship with the stakeholders that is the grouping and brainstorming which means that gathering together in one place and discussion about the project and sharing ideas with each other on a frequent basis helps to maintain the relationship with the stakeholders.</w:t>
      </w:r>
    </w:p>
    <w:p w:rsidR="00565001" w:rsidRDefault="00565001">
      <w:pPr>
        <w:rPr>
          <w:b/>
          <w:bCs/>
          <w:i/>
          <w:iCs/>
        </w:rPr>
      </w:pPr>
      <w:r>
        <w:rPr>
          <w:b/>
          <w:bCs/>
          <w:i/>
          <w:iCs/>
        </w:rPr>
        <w:t>Staying consistent with the project</w:t>
      </w:r>
    </w:p>
    <w:p w:rsidR="00565001" w:rsidRDefault="00565001">
      <w:pPr>
        <w:rPr>
          <w:b/>
          <w:bCs/>
          <w:i/>
          <w:iCs/>
        </w:rPr>
      </w:pPr>
      <w:r>
        <w:rPr>
          <w:b/>
          <w:bCs/>
          <w:i/>
          <w:iCs/>
        </w:rPr>
        <w:lastRenderedPageBreak/>
        <w:tab/>
      </w:r>
      <w:r>
        <w:t xml:space="preserve">It is an another method to establish the relationship with the stakeholders that is the staying consistent with the project which means that commitment is an important aspect with the stakeholders so that trust can be gained regarding the project accomplishment on time with maximum </w:t>
      </w:r>
      <w:proofErr w:type="spellStart"/>
      <w:r>
        <w:t>utilization</w:t>
      </w:r>
      <w:proofErr w:type="spellEnd"/>
      <w:r>
        <w:t xml:space="preserve"> of resources in an efficient and effective manner.</w:t>
      </w:r>
    </w:p>
    <w:p w:rsidR="00565001" w:rsidRDefault="00565001">
      <w:pPr>
        <w:rPr>
          <w:b/>
          <w:bCs/>
          <w:i/>
          <w:iCs/>
        </w:rPr>
      </w:pPr>
      <w:r>
        <w:rPr>
          <w:b/>
          <w:bCs/>
          <w:i/>
          <w:iCs/>
        </w:rPr>
        <w:t>Regular contact with them</w:t>
      </w:r>
    </w:p>
    <w:p w:rsidR="00565001" w:rsidRDefault="00565001">
      <w:pPr>
        <w:rPr>
          <w:b/>
          <w:bCs/>
          <w:u w:val="single"/>
        </w:rPr>
      </w:pPr>
      <w:r>
        <w:rPr>
          <w:b/>
          <w:bCs/>
          <w:i/>
          <w:iCs/>
        </w:rPr>
        <w:tab/>
      </w:r>
      <w:r>
        <w:t>It is also the one of the method to establish the relationship with the stakeholders that is the regular contact with them which means that it is essential to have the routine contact with the stakeholders so that they can maintain the long term relations and more engagement and involvement can be available with them.</w:t>
      </w:r>
    </w:p>
    <w:p w:rsidR="00565001" w:rsidRDefault="00565001">
      <w:pPr>
        <w:rPr>
          <w:b/>
          <w:bCs/>
          <w:i/>
          <w:iCs/>
        </w:rPr>
      </w:pPr>
      <w:r>
        <w:rPr>
          <w:b/>
          <w:bCs/>
          <w:u w:val="single"/>
        </w:rPr>
        <w:t>Engagement with them</w:t>
      </w:r>
    </w:p>
    <w:p w:rsidR="00565001" w:rsidRDefault="00565001">
      <w:pPr>
        <w:rPr>
          <w:b/>
          <w:bCs/>
          <w:i/>
          <w:iCs/>
        </w:rPr>
      </w:pPr>
      <w:r>
        <w:rPr>
          <w:b/>
          <w:bCs/>
          <w:i/>
          <w:iCs/>
        </w:rPr>
        <w:t>Social media platforms</w:t>
      </w:r>
    </w:p>
    <w:p w:rsidR="00565001" w:rsidRDefault="00565001">
      <w:pPr>
        <w:rPr>
          <w:b/>
          <w:bCs/>
          <w:i/>
          <w:iCs/>
        </w:rPr>
      </w:pPr>
      <w:r>
        <w:rPr>
          <w:b/>
          <w:bCs/>
          <w:i/>
          <w:iCs/>
        </w:rPr>
        <w:tab/>
      </w:r>
      <w:r>
        <w:t>It is one of the method to engage with the stakeholders that is the social media platforms which means that it is the most strongest way to engage with the stakeholders because now a days online interaction is more easy and valuable to communicate with someone either for the professional work or for the personal work (</w:t>
      </w:r>
      <w:proofErr w:type="spellStart"/>
      <w:r>
        <w:rPr>
          <w:szCs w:val="24"/>
        </w:rPr>
        <w:t>Chilisa</w:t>
      </w:r>
      <w:proofErr w:type="spellEnd"/>
      <w:r>
        <w:rPr>
          <w:szCs w:val="24"/>
        </w:rPr>
        <w:t xml:space="preserve">., Major. and </w:t>
      </w:r>
      <w:proofErr w:type="spellStart"/>
      <w:r>
        <w:rPr>
          <w:szCs w:val="24"/>
        </w:rPr>
        <w:t>Khudu-Petersen</w:t>
      </w:r>
      <w:proofErr w:type="spellEnd"/>
      <w:r>
        <w:rPr>
          <w:szCs w:val="24"/>
        </w:rPr>
        <w:t>., 2017)</w:t>
      </w:r>
      <w:r>
        <w:t>.</w:t>
      </w:r>
    </w:p>
    <w:p w:rsidR="00565001" w:rsidRDefault="00565001">
      <w:pPr>
        <w:rPr>
          <w:b/>
          <w:bCs/>
          <w:i/>
          <w:iCs/>
        </w:rPr>
      </w:pPr>
      <w:r>
        <w:rPr>
          <w:b/>
          <w:bCs/>
          <w:i/>
          <w:iCs/>
        </w:rPr>
        <w:t>E-mailing</w:t>
      </w:r>
    </w:p>
    <w:p w:rsidR="00565001" w:rsidRDefault="00565001">
      <w:r>
        <w:rPr>
          <w:b/>
          <w:bCs/>
          <w:i/>
          <w:iCs/>
        </w:rPr>
        <w:tab/>
      </w:r>
      <w:r>
        <w:t>It is an another method to engage with the stakeholders that is the E-mailing which means that it is the most professional way to communicate with the stakeholders on a regular basis so that the contact can be enhanced which can help in the future projects of the company.</w:t>
      </w:r>
    </w:p>
    <w:p w:rsidR="00565001" w:rsidRDefault="00565001">
      <w:pPr>
        <w:pStyle w:val="Heading2"/>
      </w:pPr>
      <w:r>
        <w:t>2. Evaluate different areas of the organisation and highlight about how community engagement evolved. Discuss about range of skills, knowledge and strategies employees require</w:t>
      </w:r>
      <w:r>
        <w:cr/>
        <w:t xml:space="preserve"> to carry out their jobs effectively and efficiently.</w:t>
      </w:r>
    </w:p>
    <w:p w:rsidR="00565001" w:rsidRDefault="00565001">
      <w:pPr>
        <w:rPr>
          <w:b/>
          <w:bCs/>
        </w:rPr>
      </w:pPr>
      <w:r>
        <w:tab/>
        <w:t xml:space="preserve">Different Areas of Community Engagement in perspective of “A London Service Ambulance” of NHS are: </w:t>
      </w:r>
    </w:p>
    <w:p w:rsidR="00565001" w:rsidRDefault="00565001">
      <w:pPr>
        <w:numPr>
          <w:ilvl w:val="0"/>
          <w:numId w:val="2"/>
        </w:numPr>
        <w:rPr>
          <w:b/>
          <w:bCs/>
        </w:rPr>
      </w:pPr>
      <w:r>
        <w:rPr>
          <w:b/>
          <w:bCs/>
        </w:rPr>
        <w:t>Community building</w:t>
      </w:r>
      <w:r>
        <w:t xml:space="preserve">: The project which define about bringing people together is to simply get to know each.  </w:t>
      </w:r>
    </w:p>
    <w:p w:rsidR="00565001" w:rsidRDefault="00565001">
      <w:pPr>
        <w:numPr>
          <w:ilvl w:val="0"/>
          <w:numId w:val="2"/>
        </w:numPr>
      </w:pPr>
      <w:r>
        <w:rPr>
          <w:b/>
          <w:bCs/>
        </w:rPr>
        <w:t>Community of Education</w:t>
      </w:r>
      <w:r>
        <w:t>: Through those projects which are entitled structure base studies for students and making social involvement to reduce issues that creates huge conflicts.</w:t>
      </w:r>
    </w:p>
    <w:p w:rsidR="00565001" w:rsidRDefault="00565001">
      <w:pPr>
        <w:numPr>
          <w:ilvl w:val="0"/>
          <w:numId w:val="2"/>
        </w:numPr>
        <w:rPr>
          <w:b/>
          <w:bCs/>
        </w:rPr>
      </w:pPr>
      <w:r>
        <w:t>Community of organising: These one of most important community that depicts about making combined people together for more longer time (</w:t>
      </w:r>
      <w:r>
        <w:rPr>
          <w:szCs w:val="24"/>
        </w:rPr>
        <w:t xml:space="preserve">De </w:t>
      </w:r>
      <w:proofErr w:type="spellStart"/>
      <w:r>
        <w:rPr>
          <w:szCs w:val="24"/>
        </w:rPr>
        <w:t>Weger</w:t>
      </w:r>
      <w:proofErr w:type="spellEnd"/>
      <w:r>
        <w:rPr>
          <w:szCs w:val="24"/>
        </w:rPr>
        <w:t xml:space="preserve"> and et. al ., 2018)</w:t>
      </w:r>
      <w:r>
        <w:t xml:space="preserve">. The </w:t>
      </w:r>
      <w:r>
        <w:lastRenderedPageBreak/>
        <w:t>objective is to reduce community problems that contribute to create solution for local issues partition. Through the example of assistance is establishing within Latino parent advisory Board.</w:t>
      </w:r>
    </w:p>
    <w:p w:rsidR="00565001" w:rsidRDefault="00565001">
      <w:pPr>
        <w:numPr>
          <w:ilvl w:val="0"/>
          <w:numId w:val="2"/>
        </w:numPr>
        <w:rPr>
          <w:u w:val="single"/>
        </w:rPr>
      </w:pPr>
      <w:r>
        <w:rPr>
          <w:b/>
          <w:bCs/>
        </w:rPr>
        <w:t>Economic Development:</w:t>
      </w:r>
      <w:r>
        <w:t xml:space="preserve"> The project which commence around work within regional economy in such sustainable way.</w:t>
      </w:r>
    </w:p>
    <w:p w:rsidR="00565001" w:rsidRDefault="00565001">
      <w:r>
        <w:rPr>
          <w:u w:val="single"/>
        </w:rPr>
        <w:t>Skills knowledge and strategies in “A London Service Ambulance” of NHS community engagement:</w:t>
      </w:r>
    </w:p>
    <w:p w:rsidR="00565001" w:rsidRDefault="00565001">
      <w:pPr>
        <w:rPr>
          <w:b/>
          <w:bCs/>
        </w:rPr>
      </w:pPr>
      <w:r>
        <w:tab/>
        <w:t>The Engagement skills is essential to having more including about the ability which motivate to others as well as they could act in differently that better resolve for making conflicts challenges for inspire creativity (</w:t>
      </w:r>
      <w:r>
        <w:rPr>
          <w:szCs w:val="24"/>
        </w:rPr>
        <w:t xml:space="preserve">Di Napoli, Dolce and </w:t>
      </w:r>
      <w:proofErr w:type="spellStart"/>
      <w:r>
        <w:rPr>
          <w:szCs w:val="24"/>
        </w:rPr>
        <w:t>Arcidiacono</w:t>
      </w:r>
      <w:proofErr w:type="spellEnd"/>
      <w:r>
        <w:rPr>
          <w:szCs w:val="24"/>
        </w:rPr>
        <w:t>., 2019)</w:t>
      </w:r>
      <w:r>
        <w:t>. There are some important skills which is require in community engagement for “A London Service Ambulance” of NHS:</w:t>
      </w:r>
    </w:p>
    <w:p w:rsidR="00565001" w:rsidRDefault="00565001">
      <w:pPr>
        <w:numPr>
          <w:ilvl w:val="0"/>
          <w:numId w:val="3"/>
        </w:numPr>
        <w:rPr>
          <w:b/>
          <w:bCs/>
        </w:rPr>
      </w:pPr>
      <w:r>
        <w:rPr>
          <w:b/>
          <w:bCs/>
        </w:rPr>
        <w:t>Self productivity</w:t>
      </w:r>
      <w:r>
        <w:t xml:space="preserve">: This competency is produce better result for moving forward through having sound which create better </w:t>
      </w:r>
      <w:proofErr w:type="spellStart"/>
      <w:r>
        <w:t>priorties</w:t>
      </w:r>
      <w:proofErr w:type="spellEnd"/>
      <w:r>
        <w:t xml:space="preserve"> on the basis of decision making, discipline, delegation and better goal setting etc. </w:t>
      </w:r>
    </w:p>
    <w:p w:rsidR="00565001" w:rsidRDefault="00565001">
      <w:pPr>
        <w:numPr>
          <w:ilvl w:val="0"/>
          <w:numId w:val="3"/>
        </w:numPr>
        <w:rPr>
          <w:b/>
          <w:bCs/>
        </w:rPr>
      </w:pPr>
      <w:r>
        <w:rPr>
          <w:b/>
          <w:bCs/>
        </w:rPr>
        <w:t>Self Control</w:t>
      </w:r>
      <w:r>
        <w:t>: It is being able about what to commence for accomplishing goals and major aims or roles. On he basis of this adaptivity it create better capacity and integrity as well as resilience within better manner. It is also helps to manage stress and be flexible to create better confidence for attaining work.</w:t>
      </w:r>
    </w:p>
    <w:p w:rsidR="00565001" w:rsidRDefault="00565001">
      <w:r>
        <w:rPr>
          <w:b/>
          <w:bCs/>
        </w:rPr>
        <w:t>Strategies:</w:t>
      </w:r>
    </w:p>
    <w:p w:rsidR="00565001" w:rsidRDefault="00565001">
      <w:r>
        <w:t xml:space="preserve">There are some important strategies which helps to “A London Service Ambulance” of NHS better community engagement in following below:   </w:t>
      </w:r>
    </w:p>
    <w:p w:rsidR="00565001" w:rsidRDefault="00565001">
      <w:pPr>
        <w:numPr>
          <w:ilvl w:val="0"/>
          <w:numId w:val="4"/>
        </w:numPr>
      </w:pPr>
      <w:r>
        <w:t xml:space="preserve">To make community express their thoughts and opinion for that chosen those peoples who are obsessed to talk and more extrovert type of </w:t>
      </w:r>
      <w:proofErr w:type="spellStart"/>
      <w:r>
        <w:t>personlity</w:t>
      </w:r>
      <w:proofErr w:type="spellEnd"/>
      <w:r>
        <w:t>. These kind of member could better create more engagement, in perspective of “A London Service Ambulance” of NHS they can more work engagement that allows for positive environment.</w:t>
      </w:r>
    </w:p>
    <w:p w:rsidR="00565001" w:rsidRDefault="00565001">
      <w:pPr>
        <w:numPr>
          <w:ilvl w:val="0"/>
          <w:numId w:val="4"/>
        </w:numPr>
      </w:pPr>
      <w:r>
        <w:t xml:space="preserve">Focuses on community moderation  really important for allows more community to share member for themselves. In other hand which is taken up measure for making keep community to safe space in order to prevents trolling, bullying and having offensive as unappropriated manner.    </w:t>
      </w:r>
    </w:p>
    <w:p w:rsidR="00565001" w:rsidRDefault="00565001"/>
    <w:p w:rsidR="00565001" w:rsidRDefault="00565001">
      <w:pPr>
        <w:rPr>
          <w:b/>
          <w:bCs/>
        </w:rPr>
      </w:pPr>
      <w:r>
        <w:rPr>
          <w:b/>
          <w:bCs/>
        </w:rPr>
        <w:lastRenderedPageBreak/>
        <w:t>Evaluation:</w:t>
      </w:r>
    </w:p>
    <w:p w:rsidR="00565001" w:rsidRDefault="00565001">
      <w:pPr>
        <w:rPr>
          <w:u w:val="single"/>
        </w:rPr>
      </w:pPr>
      <w:r>
        <w:rPr>
          <w:b/>
          <w:bCs/>
        </w:rPr>
        <w:tab/>
      </w:r>
      <w:r>
        <w:t>On  above strategies is summarised to creation of better community engagement that allows more “A London Service Ambulance” of NHS better engagement positive outcomes (</w:t>
      </w:r>
      <w:r>
        <w:rPr>
          <w:szCs w:val="24"/>
        </w:rPr>
        <w:t>Harsh, Woodson and Castillo., 2017)</w:t>
      </w:r>
      <w:r>
        <w:t xml:space="preserve">. For for implement major engagement that enhance environment to make engage people work responsibility.   </w:t>
      </w:r>
    </w:p>
    <w:p w:rsidR="00565001" w:rsidRDefault="00565001">
      <w:pPr>
        <w:pStyle w:val="Heading2"/>
        <w:rPr>
          <w:bCs w:val="0"/>
          <w:u w:val="none"/>
        </w:rPr>
      </w:pPr>
      <w:r>
        <w:rPr>
          <w:bCs w:val="0"/>
        </w:rPr>
        <w:t>3. Provide a detailed narrative of how they use different social media platforms as an outreach to support the programme/ business</w:t>
      </w:r>
    </w:p>
    <w:p w:rsidR="00565001" w:rsidRDefault="00565001">
      <w:pPr>
        <w:rPr>
          <w:b/>
          <w:bCs/>
        </w:rPr>
      </w:pPr>
      <w:r>
        <w:tab/>
        <w:t>There are different social media platform for “A London Service Ambulance” of NHS perspective are:</w:t>
      </w:r>
    </w:p>
    <w:p w:rsidR="00565001" w:rsidRDefault="00565001">
      <w:pPr>
        <w:numPr>
          <w:ilvl w:val="0"/>
          <w:numId w:val="5"/>
        </w:numPr>
        <w:rPr>
          <w:b/>
          <w:bCs/>
        </w:rPr>
      </w:pPr>
      <w:r>
        <w:rPr>
          <w:b/>
          <w:bCs/>
        </w:rPr>
        <w:t>Facebook:</w:t>
      </w:r>
      <w:r>
        <w:t xml:space="preserve"> It is one of largest and trending social media networking platform in which majority of world used. In perspective of “A London Service Ambulance” for NHS can use Facebook to promoting product and service, motivation posts, picture, videos and blogs related to any specific topic, As NHS of London ambulance create better community engagement in social networking for creates better people interaction with their services. </w:t>
      </w:r>
    </w:p>
    <w:p w:rsidR="00565001" w:rsidRDefault="00565001">
      <w:pPr>
        <w:numPr>
          <w:ilvl w:val="0"/>
          <w:numId w:val="5"/>
        </w:numPr>
        <w:rPr>
          <w:b/>
          <w:bCs/>
        </w:rPr>
      </w:pPr>
      <w:proofErr w:type="spellStart"/>
      <w:r>
        <w:rPr>
          <w:b/>
          <w:bCs/>
        </w:rPr>
        <w:t>Whatsapp</w:t>
      </w:r>
      <w:proofErr w:type="spellEnd"/>
      <w:r>
        <w:rPr>
          <w:b/>
          <w:bCs/>
        </w:rPr>
        <w:t xml:space="preserve">: </w:t>
      </w:r>
      <w:r>
        <w:t xml:space="preserve">After Facebook, </w:t>
      </w:r>
      <w:proofErr w:type="spellStart"/>
      <w:r>
        <w:t>Whatsapp</w:t>
      </w:r>
      <w:proofErr w:type="spellEnd"/>
      <w:r>
        <w:t xml:space="preserve"> is high social messenger site to create better platform as it arrived to capture million of people are now engaged to actively participate in it. For “A London Service Ambulance” for NHS in </w:t>
      </w:r>
      <w:proofErr w:type="spellStart"/>
      <w:r>
        <w:t>Whatsapp</w:t>
      </w:r>
      <w:proofErr w:type="spellEnd"/>
      <w:r>
        <w:t xml:space="preserve"> can used to create awareness about health base community engagement while creating </w:t>
      </w:r>
      <w:proofErr w:type="spellStart"/>
      <w:r>
        <w:t>Whatsapp</w:t>
      </w:r>
      <w:proofErr w:type="spellEnd"/>
      <w:r>
        <w:t xml:space="preserve"> group.</w:t>
      </w:r>
    </w:p>
    <w:p w:rsidR="00565001" w:rsidRDefault="00565001">
      <w:pPr>
        <w:numPr>
          <w:ilvl w:val="0"/>
          <w:numId w:val="5"/>
        </w:numPr>
      </w:pPr>
      <w:r>
        <w:rPr>
          <w:b/>
          <w:bCs/>
        </w:rPr>
        <w:t>Zoom Calling</w:t>
      </w:r>
      <w:r>
        <w:t xml:space="preserve">: It is video conferencing social media platform this could also be beneficial as “A London Service Ambulance” NHS can make member to engage video calling for better engage in member.      </w:t>
      </w:r>
    </w:p>
    <w:p w:rsidR="00565001" w:rsidRDefault="00565001">
      <w:pPr>
        <w:pStyle w:val="Heading2"/>
        <w:rPr>
          <w:bCs w:val="0"/>
          <w:u w:val="none"/>
        </w:rPr>
      </w:pPr>
      <w:r>
        <w:rPr>
          <w:bCs w:val="0"/>
        </w:rPr>
        <w:t>4. Explain the training and development required to equip employees in dealing with socio-cultural issues within society.</w:t>
      </w:r>
    </w:p>
    <w:p w:rsidR="00565001" w:rsidRDefault="00565001">
      <w:r>
        <w:tab/>
        <w:t>Social culture issues create impact on lifestyle and values that creates more value that characterised towards society.  “A London Service Ambulance” for NHS can adopt training and development style for equipment employees better manner are:</w:t>
      </w:r>
    </w:p>
    <w:p w:rsidR="00565001" w:rsidRDefault="00565001">
      <w:pPr>
        <w:numPr>
          <w:ilvl w:val="0"/>
          <w:numId w:val="6"/>
        </w:numPr>
      </w:pPr>
      <w:r>
        <w:t xml:space="preserve">The importance of training and development allows more skills and knowledge strengthen and weakness get improvise in proper manner. London of ambulance of National Health Services could attain better manpower through hiring process which is practically important towards new employees. This can be summarised that human resource </w:t>
      </w:r>
      <w:r>
        <w:lastRenderedPageBreak/>
        <w:t>management is reliable for recruiting and selecting potential candidate for long term aspect .</w:t>
      </w:r>
    </w:p>
    <w:p w:rsidR="00565001" w:rsidRDefault="00565001">
      <w:pPr>
        <w:numPr>
          <w:ilvl w:val="0"/>
          <w:numId w:val="6"/>
        </w:numPr>
      </w:pPr>
      <w:r>
        <w:t>Improvement in performance on the basis of analysing through leader about lack factor in performance of employees (</w:t>
      </w:r>
      <w:r>
        <w:rPr>
          <w:szCs w:val="24"/>
        </w:rPr>
        <w:t>Kimmel and et. al., 2019)</w:t>
      </w:r>
      <w:r>
        <w:t xml:space="preserve">. Leaders enhance some strategies which address about performance improvement. Training and Development creates new skills and knowledge enhance new strengthen of skill sets. This is important to the NHS for development need implement on target employees. </w:t>
      </w:r>
    </w:p>
    <w:p w:rsidR="00565001" w:rsidRDefault="00565001">
      <w:pPr>
        <w:numPr>
          <w:ilvl w:val="0"/>
          <w:numId w:val="6"/>
        </w:numPr>
      </w:pPr>
      <w:r>
        <w:t>As per above two major training and development requirement could create better performance development as per the level (</w:t>
      </w:r>
      <w:proofErr w:type="spellStart"/>
      <w:r>
        <w:rPr>
          <w:szCs w:val="24"/>
        </w:rPr>
        <w:t>Poncian</w:t>
      </w:r>
      <w:proofErr w:type="spellEnd"/>
      <w:r>
        <w:rPr>
          <w:szCs w:val="24"/>
        </w:rPr>
        <w:t>., 2019)</w:t>
      </w:r>
      <w:r>
        <w:t xml:space="preserve">. In  “A London Service Ambulance” for NHS their administrative team need to focus on skilled and unskilled employees for providing essential resources within effective manner.   </w:t>
      </w:r>
    </w:p>
    <w:p w:rsidR="00565001" w:rsidRDefault="00565001">
      <w:r>
        <w:tab/>
      </w:r>
    </w:p>
    <w:p w:rsidR="00565001" w:rsidRDefault="00565001">
      <w:pPr>
        <w:pStyle w:val="Heading2"/>
        <w:rPr>
          <w:bCs w:val="0"/>
          <w:u w:val="none"/>
        </w:rPr>
      </w:pPr>
      <w:r>
        <w:rPr>
          <w:bCs w:val="0"/>
        </w:rPr>
        <w:t>5. Consider why the organisations need to adopt a forward-looking approach in training their employees on multiculturalism, and the external factors that should be considered in building and sustaining business relationship between the Organisation and its network partners.</w:t>
      </w:r>
    </w:p>
    <w:p w:rsidR="00565001" w:rsidRDefault="00565001">
      <w:r>
        <w:tab/>
        <w:t>The organisation is seeking for further development in their employees as advance level because as per time to time manager and leaders of particular organisation could implies better training and development practises (</w:t>
      </w:r>
      <w:proofErr w:type="spellStart"/>
      <w:r>
        <w:rPr>
          <w:szCs w:val="24"/>
        </w:rPr>
        <w:t>Kimminau</w:t>
      </w:r>
      <w:proofErr w:type="spellEnd"/>
      <w:r>
        <w:rPr>
          <w:szCs w:val="24"/>
        </w:rPr>
        <w:t xml:space="preserve"> and et . al., 2018)</w:t>
      </w:r>
      <w:r>
        <w:t xml:space="preserve">. By providing valuable resources through which employees could enhance their skills within effective manner. The main reason that organisation seeking for advanced multiculturalism to make potential enough for upcoming or further uncertainty or challenges that they could face and overcome from that. </w:t>
      </w:r>
    </w:p>
    <w:p w:rsidR="00565001" w:rsidRDefault="00565001">
      <w:pPr>
        <w:pStyle w:val="Heading1"/>
        <w:rPr>
          <w:szCs w:val="24"/>
        </w:rPr>
      </w:pPr>
      <w:r>
        <w:t>CONCLUSION</w:t>
      </w:r>
    </w:p>
    <w:p w:rsidR="00565001" w:rsidRDefault="00565001">
      <w:r>
        <w:rPr>
          <w:szCs w:val="24"/>
        </w:rPr>
        <w:t xml:space="preserve"> </w:t>
      </w:r>
      <w:r>
        <w:rPr>
          <w:szCs w:val="24"/>
        </w:rPr>
        <w:tab/>
        <w:t xml:space="preserve">It is concluded that community engagement is an important part to learn in order to make the </w:t>
      </w:r>
      <w:proofErr w:type="spellStart"/>
      <w:r>
        <w:rPr>
          <w:szCs w:val="24"/>
        </w:rPr>
        <w:t>organization</w:t>
      </w:r>
      <w:proofErr w:type="spellEnd"/>
      <w:r>
        <w:rPr>
          <w:szCs w:val="24"/>
        </w:rPr>
        <w:t xml:space="preserve"> successful in the market place because it defines the long term relationship of </w:t>
      </w:r>
      <w:proofErr w:type="spellStart"/>
      <w:r>
        <w:rPr>
          <w:szCs w:val="24"/>
        </w:rPr>
        <w:t>organization</w:t>
      </w:r>
      <w:proofErr w:type="spellEnd"/>
      <w:r>
        <w:rPr>
          <w:szCs w:val="24"/>
        </w:rPr>
        <w:t xml:space="preserve"> and other internal as well as external stakeholders. Therefore, in order to apply such concept in the real time </w:t>
      </w:r>
      <w:proofErr w:type="spellStart"/>
      <w:r>
        <w:rPr>
          <w:szCs w:val="24"/>
        </w:rPr>
        <w:t>organization</w:t>
      </w:r>
      <w:proofErr w:type="spellEnd"/>
      <w:r>
        <w:rPr>
          <w:szCs w:val="24"/>
        </w:rPr>
        <w:t xml:space="preserve">, it is important to analyse the benefits of the social program to the society, it is essential to examine the relationship with stakeholders and engagement with the company, it is necessary to determine the different areas of </w:t>
      </w:r>
      <w:proofErr w:type="spellStart"/>
      <w:r>
        <w:rPr>
          <w:szCs w:val="24"/>
        </w:rPr>
        <w:t>organization</w:t>
      </w:r>
      <w:proofErr w:type="spellEnd"/>
      <w:r>
        <w:rPr>
          <w:szCs w:val="24"/>
        </w:rPr>
        <w:t xml:space="preserve"> along with the skills that are required by the employees to perform their jobs in a effective manner, it is significant to learn about the social media platforms to outreach the community, it is crucial to study the training </w:t>
      </w:r>
      <w:r>
        <w:rPr>
          <w:szCs w:val="24"/>
        </w:rPr>
        <w:lastRenderedPageBreak/>
        <w:t xml:space="preserve">and development requirement in an </w:t>
      </w:r>
      <w:proofErr w:type="spellStart"/>
      <w:r>
        <w:rPr>
          <w:szCs w:val="24"/>
        </w:rPr>
        <w:t>organization</w:t>
      </w:r>
      <w:proofErr w:type="spellEnd"/>
      <w:r>
        <w:rPr>
          <w:szCs w:val="24"/>
        </w:rPr>
        <w:t xml:space="preserve"> and it is required to gain the knowledge about the forward looking approach for employees to build the networks within or outside the </w:t>
      </w:r>
      <w:proofErr w:type="spellStart"/>
      <w:r>
        <w:rPr>
          <w:szCs w:val="24"/>
        </w:rPr>
        <w:t>organization</w:t>
      </w:r>
      <w:proofErr w:type="spellEnd"/>
      <w:r>
        <w:rPr>
          <w:szCs w:val="24"/>
        </w:rPr>
        <w:t xml:space="preserve">. Hence, this report covers all such areas in order to better understand the </w:t>
      </w:r>
      <w:proofErr w:type="spellStart"/>
      <w:r>
        <w:rPr>
          <w:szCs w:val="24"/>
        </w:rPr>
        <w:t>conceptualization</w:t>
      </w:r>
      <w:proofErr w:type="spellEnd"/>
      <w:r>
        <w:rPr>
          <w:szCs w:val="24"/>
        </w:rPr>
        <w:t xml:space="preserve"> of the community engagement in the real time world so that the company can gain the competitive advantage in the market place.</w:t>
      </w:r>
    </w:p>
    <w:p w:rsidR="00565001" w:rsidRDefault="00565001"/>
    <w:p w:rsidR="00565001" w:rsidRDefault="00565001"/>
    <w:p w:rsidR="00565001" w:rsidRDefault="00565001">
      <w:pPr>
        <w:pageBreakBefore/>
      </w:pPr>
    </w:p>
    <w:p w:rsidR="00565001" w:rsidRDefault="00565001">
      <w:pPr>
        <w:pStyle w:val="Heading1"/>
        <w:rPr>
          <w:szCs w:val="24"/>
          <w:u w:val="single"/>
        </w:rPr>
      </w:pPr>
      <w:r>
        <w:rPr>
          <w:szCs w:val="24"/>
        </w:rPr>
        <w:t>REFERENCES</w:t>
      </w:r>
    </w:p>
    <w:p w:rsidR="00565001" w:rsidRDefault="00565001">
      <w:r>
        <w:rPr>
          <w:szCs w:val="24"/>
          <w:u w:val="single"/>
        </w:rPr>
        <w:t>Books and Journals</w:t>
      </w:r>
    </w:p>
    <w:p w:rsidR="00565001" w:rsidRDefault="00565001">
      <w:pPr>
        <w:ind w:left="735" w:hanging="705"/>
      </w:pPr>
    </w:p>
    <w:p w:rsidR="00565001" w:rsidRDefault="00565001">
      <w:pPr>
        <w:ind w:left="735" w:hanging="705"/>
        <w:rPr>
          <w:szCs w:val="24"/>
        </w:rPr>
      </w:pPr>
      <w:proofErr w:type="spellStart"/>
      <w:r>
        <w:rPr>
          <w:szCs w:val="24"/>
        </w:rPr>
        <w:t>Abimbola</w:t>
      </w:r>
      <w:proofErr w:type="spellEnd"/>
      <w:r>
        <w:rPr>
          <w:szCs w:val="24"/>
        </w:rPr>
        <w:t xml:space="preserve">, S., 2020. Beyond positive a priori bias: reframing community engagement in LMICs. </w:t>
      </w:r>
      <w:r>
        <w:rPr>
          <w:i/>
          <w:szCs w:val="24"/>
        </w:rPr>
        <w:t>Health promotion international</w:t>
      </w:r>
      <w:r>
        <w:rPr>
          <w:szCs w:val="24"/>
        </w:rPr>
        <w:t>, 35(3), pp.598-609.</w:t>
      </w:r>
    </w:p>
    <w:p w:rsidR="00565001" w:rsidRDefault="00565001">
      <w:pPr>
        <w:ind w:left="735" w:hanging="705"/>
        <w:rPr>
          <w:szCs w:val="24"/>
        </w:rPr>
      </w:pPr>
      <w:proofErr w:type="spellStart"/>
      <w:r>
        <w:rPr>
          <w:szCs w:val="24"/>
        </w:rPr>
        <w:t>Brunton</w:t>
      </w:r>
      <w:proofErr w:type="spellEnd"/>
      <w:r>
        <w:rPr>
          <w:szCs w:val="24"/>
        </w:rPr>
        <w:t xml:space="preserve">, G, Jamal, F and </w:t>
      </w:r>
      <w:proofErr w:type="spellStart"/>
      <w:r>
        <w:rPr>
          <w:szCs w:val="24"/>
        </w:rPr>
        <w:t>Kavanagh</w:t>
      </w:r>
      <w:proofErr w:type="spellEnd"/>
      <w:r>
        <w:rPr>
          <w:szCs w:val="24"/>
        </w:rPr>
        <w:t xml:space="preserve">, J., 2017. Narratives of community engagement: a systematic review-derived conceptual framework for public health interventions. </w:t>
      </w:r>
      <w:r>
        <w:rPr>
          <w:i/>
          <w:szCs w:val="24"/>
        </w:rPr>
        <w:t>BMC Public Health.</w:t>
      </w:r>
      <w:r>
        <w:rPr>
          <w:szCs w:val="24"/>
        </w:rPr>
        <w:t xml:space="preserve"> 17(1), pp.1-15.</w:t>
      </w:r>
    </w:p>
    <w:p w:rsidR="00565001" w:rsidRDefault="00565001">
      <w:pPr>
        <w:ind w:left="735" w:hanging="705"/>
        <w:rPr>
          <w:szCs w:val="24"/>
        </w:rPr>
      </w:pPr>
      <w:proofErr w:type="spellStart"/>
      <w:r>
        <w:rPr>
          <w:szCs w:val="24"/>
        </w:rPr>
        <w:t>Chilisa</w:t>
      </w:r>
      <w:proofErr w:type="spellEnd"/>
      <w:r>
        <w:rPr>
          <w:szCs w:val="24"/>
        </w:rPr>
        <w:t xml:space="preserve">, B., Major, T.E. and </w:t>
      </w:r>
      <w:proofErr w:type="spellStart"/>
      <w:r>
        <w:rPr>
          <w:szCs w:val="24"/>
        </w:rPr>
        <w:t>Khudu-Petersen</w:t>
      </w:r>
      <w:proofErr w:type="spellEnd"/>
      <w:r>
        <w:rPr>
          <w:szCs w:val="24"/>
        </w:rPr>
        <w:t xml:space="preserve">, K., 2017. Community engagement with a postcolonial, African-based relational paradigm. </w:t>
      </w:r>
      <w:r>
        <w:rPr>
          <w:i/>
          <w:szCs w:val="24"/>
        </w:rPr>
        <w:t>Qualitative Research.</w:t>
      </w:r>
      <w:r>
        <w:rPr>
          <w:szCs w:val="24"/>
        </w:rPr>
        <w:t xml:space="preserve"> 17(3), pp.326-339.</w:t>
      </w:r>
    </w:p>
    <w:p w:rsidR="00565001" w:rsidRDefault="00565001">
      <w:pPr>
        <w:ind w:left="735" w:hanging="705"/>
        <w:rPr>
          <w:szCs w:val="24"/>
        </w:rPr>
      </w:pPr>
      <w:r>
        <w:rPr>
          <w:szCs w:val="24"/>
        </w:rPr>
        <w:t xml:space="preserve">De </w:t>
      </w:r>
      <w:proofErr w:type="spellStart"/>
      <w:r>
        <w:rPr>
          <w:szCs w:val="24"/>
        </w:rPr>
        <w:t>Weger</w:t>
      </w:r>
      <w:proofErr w:type="spellEnd"/>
      <w:r>
        <w:rPr>
          <w:szCs w:val="24"/>
        </w:rPr>
        <w:t xml:space="preserve"> and et. al ., 2018. Achieving successful community engagement: a rapid realist review. </w:t>
      </w:r>
      <w:r>
        <w:rPr>
          <w:i/>
          <w:szCs w:val="24"/>
        </w:rPr>
        <w:t>BMC health services research</w:t>
      </w:r>
      <w:r>
        <w:rPr>
          <w:szCs w:val="24"/>
        </w:rPr>
        <w:t>, 18(1). p.285.</w:t>
      </w:r>
    </w:p>
    <w:p w:rsidR="00565001" w:rsidRDefault="00565001">
      <w:pPr>
        <w:ind w:left="735" w:hanging="705"/>
        <w:rPr>
          <w:szCs w:val="24"/>
        </w:rPr>
      </w:pPr>
      <w:r>
        <w:rPr>
          <w:szCs w:val="24"/>
        </w:rPr>
        <w:t xml:space="preserve">Di Napoli, I., Dolce, P. and </w:t>
      </w:r>
      <w:proofErr w:type="spellStart"/>
      <w:r>
        <w:rPr>
          <w:szCs w:val="24"/>
        </w:rPr>
        <w:t>Arcidiacono</w:t>
      </w:r>
      <w:proofErr w:type="spellEnd"/>
      <w:r>
        <w:rPr>
          <w:szCs w:val="24"/>
        </w:rPr>
        <w:t xml:space="preserve">, C., 2019. Community trust: A social indicator related to community engagement. </w:t>
      </w:r>
      <w:r>
        <w:rPr>
          <w:i/>
          <w:szCs w:val="24"/>
        </w:rPr>
        <w:t>Social Indicators Research.</w:t>
      </w:r>
      <w:r>
        <w:rPr>
          <w:szCs w:val="24"/>
        </w:rPr>
        <w:t xml:space="preserve"> 145(2). pp.551-579.</w:t>
      </w:r>
    </w:p>
    <w:p w:rsidR="00565001" w:rsidRDefault="00565001">
      <w:pPr>
        <w:ind w:left="735" w:hanging="705"/>
        <w:rPr>
          <w:szCs w:val="24"/>
        </w:rPr>
      </w:pPr>
      <w:r>
        <w:rPr>
          <w:szCs w:val="24"/>
        </w:rPr>
        <w:t xml:space="preserve">Harsh, Woodson, T. and Castillo, R., 2017. Preparing engineers for the challenges of community engagement. </w:t>
      </w:r>
      <w:r>
        <w:rPr>
          <w:i/>
          <w:szCs w:val="24"/>
        </w:rPr>
        <w:t>European Journal of Engineering Education.</w:t>
      </w:r>
      <w:r>
        <w:rPr>
          <w:szCs w:val="24"/>
        </w:rPr>
        <w:t xml:space="preserve"> 42(6). pp.1154-1173.</w:t>
      </w:r>
    </w:p>
    <w:p w:rsidR="00565001" w:rsidRDefault="00565001">
      <w:pPr>
        <w:ind w:left="735" w:hanging="705"/>
        <w:rPr>
          <w:szCs w:val="24"/>
        </w:rPr>
      </w:pPr>
      <w:r>
        <w:rPr>
          <w:szCs w:val="24"/>
        </w:rPr>
        <w:t xml:space="preserve">Kimmel and et. al., 2019. How community engagement is enhancing NIDDK research. </w:t>
      </w:r>
      <w:r>
        <w:rPr>
          <w:i/>
          <w:szCs w:val="24"/>
        </w:rPr>
        <w:t>Clinical Journal of the American Society of Nephrology.</w:t>
      </w:r>
      <w:r>
        <w:rPr>
          <w:szCs w:val="24"/>
        </w:rPr>
        <w:t xml:space="preserve"> 14(5). pp.768-770.</w:t>
      </w:r>
    </w:p>
    <w:p w:rsidR="00565001" w:rsidRDefault="00565001">
      <w:pPr>
        <w:ind w:left="735" w:hanging="705"/>
        <w:rPr>
          <w:szCs w:val="24"/>
        </w:rPr>
      </w:pPr>
      <w:proofErr w:type="spellStart"/>
      <w:r>
        <w:rPr>
          <w:szCs w:val="24"/>
        </w:rPr>
        <w:t>Kimminau</w:t>
      </w:r>
      <w:proofErr w:type="spellEnd"/>
      <w:r>
        <w:rPr>
          <w:szCs w:val="24"/>
        </w:rPr>
        <w:t xml:space="preserve"> and et . al., 2018. Patient vs. community engagement: emerging issues. </w:t>
      </w:r>
      <w:r>
        <w:rPr>
          <w:i/>
          <w:szCs w:val="24"/>
        </w:rPr>
        <w:t>Medical care,.</w:t>
      </w:r>
      <w:r>
        <w:rPr>
          <w:szCs w:val="24"/>
        </w:rPr>
        <w:t xml:space="preserve"> 56(10 </w:t>
      </w:r>
      <w:proofErr w:type="spellStart"/>
      <w:r>
        <w:rPr>
          <w:szCs w:val="24"/>
        </w:rPr>
        <w:t>Suppl</w:t>
      </w:r>
      <w:proofErr w:type="spellEnd"/>
      <w:r>
        <w:rPr>
          <w:szCs w:val="24"/>
        </w:rPr>
        <w:t xml:space="preserve"> 1), p.S53.</w:t>
      </w:r>
    </w:p>
    <w:p w:rsidR="00565001" w:rsidRDefault="00565001">
      <w:pPr>
        <w:ind w:left="735" w:hanging="705"/>
        <w:rPr>
          <w:szCs w:val="24"/>
        </w:rPr>
      </w:pPr>
      <w:r>
        <w:rPr>
          <w:szCs w:val="24"/>
        </w:rPr>
        <w:t xml:space="preserve">O’Meara, K. and Jaeger, A.J., 2019. PREPARING FUTURE FACULTY FOR COMMUNITY ENGAGEMENT. </w:t>
      </w:r>
      <w:r>
        <w:rPr>
          <w:i/>
          <w:szCs w:val="24"/>
        </w:rPr>
        <w:t>Building the field of higher education engagement: Foundational ideas and future directions</w:t>
      </w:r>
      <w:r>
        <w:rPr>
          <w:szCs w:val="24"/>
        </w:rPr>
        <w:t>.</w:t>
      </w:r>
    </w:p>
    <w:p w:rsidR="00565001" w:rsidRDefault="00565001">
      <w:pPr>
        <w:ind w:left="735" w:hanging="705"/>
      </w:pPr>
      <w:proofErr w:type="spellStart"/>
      <w:r>
        <w:rPr>
          <w:szCs w:val="24"/>
        </w:rPr>
        <w:t>Poncian</w:t>
      </w:r>
      <w:proofErr w:type="spellEnd"/>
      <w:r>
        <w:rPr>
          <w:szCs w:val="24"/>
        </w:rPr>
        <w:t xml:space="preserve">, J., 2019. When government commitment meets community proactiveness: governing gas and community engagement in Tanzania. </w:t>
      </w:r>
      <w:r>
        <w:rPr>
          <w:i/>
          <w:szCs w:val="24"/>
        </w:rPr>
        <w:t>Energy Research &amp; Social Science.</w:t>
      </w:r>
      <w:r>
        <w:rPr>
          <w:szCs w:val="24"/>
        </w:rPr>
        <w:t xml:space="preserve"> 52</w:t>
      </w:r>
      <w:r>
        <w:rPr>
          <w:i/>
          <w:szCs w:val="24"/>
        </w:rPr>
        <w:t>.</w:t>
      </w:r>
      <w:r>
        <w:rPr>
          <w:szCs w:val="24"/>
        </w:rPr>
        <w:t xml:space="preserve"> pp.78-90.</w:t>
      </w:r>
    </w:p>
    <w:p w:rsidR="00565001" w:rsidRDefault="00565001">
      <w:pPr>
        <w:ind w:left="735" w:hanging="705"/>
      </w:pPr>
    </w:p>
    <w:p w:rsidR="00565001" w:rsidRDefault="00565001">
      <w:pPr>
        <w:ind w:left="735" w:hanging="705"/>
      </w:pPr>
    </w:p>
    <w:p w:rsidR="00565001" w:rsidRDefault="00565001">
      <w:pPr>
        <w:ind w:left="735" w:hanging="705"/>
      </w:pPr>
    </w:p>
    <w:p w:rsidR="00565001" w:rsidRDefault="00565001">
      <w:pPr>
        <w:spacing w:line="100" w:lineRule="atLeast"/>
        <w:ind w:left="700" w:hanging="700"/>
      </w:pPr>
      <w:r>
        <w:rPr>
          <w:color w:val="222222"/>
          <w:szCs w:val="20"/>
          <w:u w:val="single"/>
          <w:shd w:val="clear" w:color="auto" w:fill="FFFFFF"/>
        </w:rPr>
        <w:t>Online:</w:t>
      </w:r>
    </w:p>
    <w:p w:rsidR="00565001" w:rsidRDefault="00565001"/>
    <w:p w:rsidR="00565001" w:rsidRDefault="00565001">
      <w:pPr>
        <w:ind w:left="750" w:hanging="750"/>
      </w:pPr>
      <w:r>
        <w:t>Creative Community Engagement Strategies, 2020. [Online] Available through; &lt;</w:t>
      </w:r>
      <w:r>
        <w:rPr>
          <w:rStyle w:val="Hyperlink"/>
          <w:color w:val="00000A"/>
          <w:u w:val="none"/>
        </w:rPr>
        <w:t>https://www.disciplemedia.com/engaging-your-community/community-engagement-strategies/</w:t>
      </w:r>
      <w:r>
        <w:t>&gt;.</w:t>
      </w:r>
    </w:p>
    <w:p w:rsidR="00565001" w:rsidRDefault="00565001">
      <w:pPr>
        <w:ind w:left="700" w:hanging="683"/>
      </w:pPr>
    </w:p>
    <w:p w:rsidR="00565001" w:rsidRDefault="00565001">
      <w:pPr>
        <w:ind w:left="700" w:hanging="683"/>
      </w:pPr>
      <w:r>
        <w:rPr>
          <w:szCs w:val="24"/>
        </w:rPr>
        <w:t>Social Networking sites to Know, 2020. [Online] Available through; &lt;</w:t>
      </w:r>
      <w:r>
        <w:rPr>
          <w:rStyle w:val="Hyperlink"/>
          <w:color w:val="00000A"/>
          <w:szCs w:val="24"/>
          <w:u w:val="none"/>
        </w:rPr>
        <w:t>https://makeawebsitehub.com/social-media-sites/</w:t>
      </w:r>
      <w:r>
        <w:rPr>
          <w:szCs w:val="24"/>
        </w:rPr>
        <w:t>&gt;.</w:t>
      </w:r>
    </w:p>
    <w:p w:rsidR="00565001" w:rsidRDefault="00565001">
      <w:pPr>
        <w:spacing w:line="100" w:lineRule="atLeast"/>
        <w:ind w:left="700" w:hanging="700"/>
      </w:pPr>
    </w:p>
    <w:p w:rsidR="00565001" w:rsidRDefault="00565001">
      <w:pPr>
        <w:ind w:left="700" w:hanging="683"/>
      </w:pPr>
      <w:r>
        <w:t>Importance of Training and Development in organisation, 2020. [Online] Available through; &lt;</w:t>
      </w:r>
      <w:r>
        <w:rPr>
          <w:rStyle w:val="Hyperlink"/>
          <w:color w:val="00000A"/>
          <w:u w:val="none"/>
        </w:rPr>
        <w:t>https://economictimes.indiatimes.com/small-biz/hr-leadership/people/importance-of-training-and-development-in-an-organization/articleshow/48739569.cms?from=mdr</w:t>
      </w:r>
      <w:r>
        <w:t>&gt;.</w:t>
      </w:r>
    </w:p>
    <w:p w:rsidR="00565001" w:rsidRDefault="00565001">
      <w:pPr>
        <w:ind w:left="700" w:hanging="683"/>
      </w:pPr>
    </w:p>
    <w:sectPr w:rsidR="00565001">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72A9" w:rsidRDefault="00FA72A9">
      <w:pPr>
        <w:spacing w:line="240" w:lineRule="auto"/>
      </w:pPr>
      <w:r>
        <w:separator/>
      </w:r>
    </w:p>
  </w:endnote>
  <w:endnote w:type="continuationSeparator" w:id="0">
    <w:p w:rsidR="00FA72A9" w:rsidRDefault="00FA72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altName w:val="MS Gothic"/>
    <w:panose1 w:val="020B0604020202020204"/>
    <w:charset w:val="80"/>
    <w:family w:val="roman"/>
    <w:pitch w:val="variable"/>
  </w:font>
  <w:font w:name="Times">
    <w:altName w:val="Sylfaen"/>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65001" w:rsidRDefault="00565001">
    <w:pPr>
      <w:pStyle w:val="Footer"/>
      <w:jc w:val="center"/>
    </w:pPr>
    <w:r>
      <w:fldChar w:fldCharType="begin"/>
    </w:r>
    <w:r>
      <w:instrText xml:space="preserve"> PAGE </w:instrText>
    </w:r>
    <w:r>
      <w:fldChar w:fldCharType="separate"/>
    </w:r>
    <w:r w:rsidR="00044997">
      <w:rPr>
        <w:noProof/>
      </w:rPr>
      <w:t>8</w:t>
    </w:r>
    <w:r>
      <w:fldChar w:fldCharType="end"/>
    </w:r>
  </w:p>
  <w:p w:rsidR="00565001" w:rsidRDefault="00565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72A9" w:rsidRDefault="00FA72A9">
      <w:pPr>
        <w:spacing w:line="240" w:lineRule="auto"/>
      </w:pPr>
      <w:r>
        <w:separator/>
      </w:r>
    </w:p>
  </w:footnote>
  <w:footnote w:type="continuationSeparator" w:id="0">
    <w:p w:rsidR="00FA72A9" w:rsidRDefault="00FA72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C8A" w:rsidRDefault="00A46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840"/>
        </w:tabs>
        <w:ind w:left="840" w:hanging="360"/>
      </w:pPr>
      <w:rPr>
        <w:rFonts w:ascii="Symbol" w:hAnsi="Symbol" w:cs="OpenSymbol"/>
      </w:rPr>
    </w:lvl>
    <w:lvl w:ilvl="1">
      <w:start w:val="1"/>
      <w:numFmt w:val="bullet"/>
      <w:lvlText w:val="◦"/>
      <w:lvlJc w:val="left"/>
      <w:pPr>
        <w:tabs>
          <w:tab w:val="num" w:pos="1200"/>
        </w:tabs>
        <w:ind w:left="1200" w:hanging="360"/>
      </w:pPr>
      <w:rPr>
        <w:rFonts w:ascii="OpenSymbol" w:hAnsi="OpenSymbol" w:cs="OpenSymbol"/>
      </w:rPr>
    </w:lvl>
    <w:lvl w:ilvl="2">
      <w:start w:val="1"/>
      <w:numFmt w:val="bullet"/>
      <w:lvlText w:val="▪"/>
      <w:lvlJc w:val="left"/>
      <w:pPr>
        <w:tabs>
          <w:tab w:val="num" w:pos="1560"/>
        </w:tabs>
        <w:ind w:left="1560" w:hanging="360"/>
      </w:pPr>
      <w:rPr>
        <w:rFonts w:ascii="OpenSymbol" w:hAnsi="OpenSymbol" w:cs="OpenSymbol"/>
      </w:rPr>
    </w:lvl>
    <w:lvl w:ilvl="3">
      <w:start w:val="1"/>
      <w:numFmt w:val="bullet"/>
      <w:lvlText w:val=""/>
      <w:lvlJc w:val="left"/>
      <w:pPr>
        <w:tabs>
          <w:tab w:val="num" w:pos="1920"/>
        </w:tabs>
        <w:ind w:left="1920" w:hanging="360"/>
      </w:pPr>
      <w:rPr>
        <w:rFonts w:ascii="Symbol" w:hAnsi="Symbol" w:cs="OpenSymbol"/>
      </w:rPr>
    </w:lvl>
    <w:lvl w:ilvl="4">
      <w:start w:val="1"/>
      <w:numFmt w:val="bullet"/>
      <w:lvlText w:val="◦"/>
      <w:lvlJc w:val="left"/>
      <w:pPr>
        <w:tabs>
          <w:tab w:val="num" w:pos="2280"/>
        </w:tabs>
        <w:ind w:left="2280" w:hanging="360"/>
      </w:pPr>
      <w:rPr>
        <w:rFonts w:ascii="OpenSymbol" w:hAnsi="OpenSymbol" w:cs="OpenSymbol"/>
      </w:rPr>
    </w:lvl>
    <w:lvl w:ilvl="5">
      <w:start w:val="1"/>
      <w:numFmt w:val="bullet"/>
      <w:lvlText w:val="▪"/>
      <w:lvlJc w:val="left"/>
      <w:pPr>
        <w:tabs>
          <w:tab w:val="num" w:pos="2640"/>
        </w:tabs>
        <w:ind w:left="2640" w:hanging="360"/>
      </w:pPr>
      <w:rPr>
        <w:rFonts w:ascii="OpenSymbol" w:hAnsi="OpenSymbol" w:cs="OpenSymbol"/>
      </w:rPr>
    </w:lvl>
    <w:lvl w:ilvl="6">
      <w:start w:val="1"/>
      <w:numFmt w:val="bullet"/>
      <w:lvlText w:val=""/>
      <w:lvlJc w:val="left"/>
      <w:pPr>
        <w:tabs>
          <w:tab w:val="num" w:pos="3000"/>
        </w:tabs>
        <w:ind w:left="3000" w:hanging="360"/>
      </w:pPr>
      <w:rPr>
        <w:rFonts w:ascii="Symbol" w:hAnsi="Symbol" w:cs="OpenSymbol"/>
      </w:rPr>
    </w:lvl>
    <w:lvl w:ilvl="7">
      <w:start w:val="1"/>
      <w:numFmt w:val="bullet"/>
      <w:lvlText w:val="◦"/>
      <w:lvlJc w:val="left"/>
      <w:pPr>
        <w:tabs>
          <w:tab w:val="num" w:pos="3360"/>
        </w:tabs>
        <w:ind w:left="3360" w:hanging="360"/>
      </w:pPr>
      <w:rPr>
        <w:rFonts w:ascii="OpenSymbol" w:hAnsi="OpenSymbol" w:cs="OpenSymbol"/>
      </w:rPr>
    </w:lvl>
    <w:lvl w:ilvl="8">
      <w:start w:val="1"/>
      <w:numFmt w:val="bullet"/>
      <w:lvlText w:val="▪"/>
      <w:lvlJc w:val="left"/>
      <w:pPr>
        <w:tabs>
          <w:tab w:val="num" w:pos="3720"/>
        </w:tabs>
        <w:ind w:left="372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97"/>
    <w:rsid w:val="00044997"/>
    <w:rsid w:val="000E51A6"/>
    <w:rsid w:val="00565001"/>
    <w:rsid w:val="0081209C"/>
    <w:rsid w:val="00A46C8A"/>
    <w:rsid w:val="00B02BED"/>
    <w:rsid w:val="00C627F7"/>
    <w:rsid w:val="00E8107E"/>
    <w:rsid w:val="00FA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7368488"/>
  <w15:chartTrackingRefBased/>
  <w15:docId w15:val="{1FEEC05A-8D23-8249-A274-CCED20374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Mihaela-cristina Teleanu (1919245)</cp:lastModifiedBy>
  <cp:revision>7</cp:revision>
  <cp:lastPrinted>1900-01-01T00:00:00Z</cp:lastPrinted>
  <dcterms:created xsi:type="dcterms:W3CDTF">2021-04-16T22:21:00Z</dcterms:created>
  <dcterms:modified xsi:type="dcterms:W3CDTF">2021-05-05T12:09:00Z</dcterms:modified>
</cp:coreProperties>
</file>